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</w:t>
        </w:r>
        <w:r>
          <w:rPr>
            <w:rStyle w:val="InternetLink"/>
            <w:rFonts w:eastAsia="宋体" w:cs="Times New Roman"/>
            <w:color w:val="0563C1"/>
            <w:kern w:val="0"/>
            <w:sz w:val="20"/>
            <w:szCs w:val="20"/>
            <w:u w:val="single"/>
            <w:lang w:val="zxx" w:eastAsia="zxx" w:bidi="zxx"/>
          </w:rPr>
          <w:t>t</w:t>
        </w:r>
      </w:hyperlink>
      <w:r>
        <w:rPr>
          <w:rFonts w:eastAsia="宋体" w:cs="Times New Roman"/>
          <w:color w:val="0563C1"/>
          <w:kern w:val="0"/>
          <w:sz w:val="20"/>
          <w:szCs w:val="20"/>
          <w:u w:val="single"/>
          <w:lang w:val="zxx" w:eastAsia="zxx" w:bidi="zxx"/>
        </w:rPr>
        <w:t>@andrew.cmu.edu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clustering the cell from the single-cell 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Produce a simulation pipeline for validate the spatial transcriptomics clustering tools and benchmark and visualization the clustering result. (Program page: </w:t>
      </w:r>
      <w:hyperlink r:id="rId7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none"/>
        </w:rPr>
      </w:pPr>
      <w:r>
        <w:rPr>
          <w:b/>
          <w:szCs w:val="22"/>
          <w:u w:val="none"/>
        </w:rPr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</w:t>
      </w:r>
      <w:r>
        <w:rPr>
          <w:b w:val="false"/>
          <w:bCs w:val="false"/>
          <w:szCs w:val="22"/>
          <w:u w:val="none"/>
        </w:rPr>
        <w:t xml:space="preserve">2019.10 –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2021.12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Apply VQ-VAE to do semi-supervised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.7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0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China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2018.9-2019.02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2017.6-2018.7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Worked on Oxford Nanopore Technologies Long-read Nanopore direct RNA sequencing data processing, improve the sequencing accuracy and efficiency, improve the succeed sequencing reads ratio by 15X compared to the original pipeline for long poly-A tail reads.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Biodynamics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China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fabricated,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Nanopre_Tool" TargetMode="External"/><Relationship Id="rId10" Type="http://schemas.openxmlformats.org/officeDocument/2006/relationships/hyperlink" Target="https://github.com/haotianteng/PHANTOM-toolbox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1051</Words>
  <Characters>6735</Characters>
  <CharactersWithSpaces>8244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2021-12-18T16:05:12Z</dcterms:modified>
  <cp:revision>24</cp:revision>
  <dc:subject/>
  <dc:title/>
</cp:coreProperties>
</file>