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业财融合视域下</w:t>
        <w:br/>
        <w:t>卫生健康经济管理人才培养</w:t>
        <w:br/>
        <w:t>调查分析报告</w:t>
      </w:r>
    </w:p>
    <w:p>
      <w:pPr/>
      <w:r>
        <w:t>162份答卷的完整重算与证据复核</w:t>
      </w:r>
    </w:p>
    <w:p>
      <w:pPr/>
      <w:r>
        <w:t>研究对象：受访者本人特征、所在机构培养现状、能力与课程需求、实践路径及保障机制。</w:t>
      </w:r>
    </w:p>
    <w:p>
      <w:pPr/>
      <w:r>
        <w:t>本报告面向人才培养项目设计与管理决策。问卷显示数智与业务能力培养需求突出，跟岗、项目与案例学习具有较高偏好；落实制度、过程跟踪及成果运用仍存在改进空间。所有结论均限定于本次答卷，不等同于独立医院调查或全国总体估计。</w:t>
      </w:r>
    </w:p>
    <w:p>
      <w:pPr/>
      <w:r>
        <w:t>分析日期  2026年10月17日</w:t>
      </w:r>
    </w:p>
    <w:p>
      <w:pPr>
        <w:pStyle w:val="Caption"/>
      </w:pPr>
      <w:r>
        <w:t>公开汇总版  不含原始答卷、个人标识、IP、逐人时间或可识别开放原文</w:t>
      </w:r>
    </w:p>
    <w:p>
      <w:pPr>
        <w:pStyle w:val="Caption"/>
      </w:pPr>
      <w:r>
        <w:t>基于原始两份Excel重新计算。本版独立生成，不宣称恢复此前无法取得的报告二进制文件。</w:t>
      </w:r>
    </w:p>
    <w:p>
      <w:r>
        <w:br w:type="page"/>
      </w:r>
    </w:p>
    <w:p>
      <w:pPr>
        <w:pStyle w:val="Heading1"/>
      </w:pPr>
      <w:r>
        <w:t>阅读导航</w:t>
      </w:r>
    </w:p>
    <w:p>
      <w:pPr/>
      <w:r>
        <w:t>一 主要结论与决策含义</w:t>
      </w:r>
    </w:p>
    <w:p>
      <w:pPr/>
      <w:r>
        <w:t>二 数据基础与分析方法</w:t>
      </w:r>
    </w:p>
    <w:p>
      <w:pPr/>
      <w:r>
        <w:t>三 受访者结构与机构培养现状</w:t>
      </w:r>
    </w:p>
    <w:p>
      <w:pPr/>
      <w:r>
        <w:t>四 复合能力差距与人才需求</w:t>
      </w:r>
    </w:p>
    <w:p>
      <w:pPr/>
      <w:r>
        <w:t>五 培养方式及课程供需</w:t>
      </w:r>
    </w:p>
    <w:p>
      <w:pPr/>
      <w:r>
        <w:t>六 组织保障与成果转化</w:t>
      </w:r>
    </w:p>
    <w:p>
      <w:pPr/>
      <w:r>
        <w:t>七 探索性比较与不确定性</w:t>
      </w:r>
    </w:p>
    <w:p>
      <w:pPr/>
      <w:r>
        <w:t>八 人员结构选答的专门核验</w:t>
      </w:r>
    </w:p>
    <w:p>
      <w:pPr/>
      <w:r>
        <w:t>九 稳健性与旧结论检查</w:t>
      </w:r>
    </w:p>
    <w:p>
      <w:pPr/>
      <w:r>
        <w:t>十 可执行建议与后续研究</w:t>
      </w:r>
    </w:p>
    <w:p>
      <w:pPr/>
      <w:r>
        <w:t>附录A 47题完整统计</w:t>
      </w:r>
    </w:p>
    <w:p>
      <w:pPr/>
      <w:r>
        <w:t>附录B 完整比较与追溯说明</w:t>
      </w:r>
    </w:p>
    <w:p>
      <w:pPr>
        <w:pStyle w:val="Caption"/>
      </w:pPr>
      <w:r>
        <w:t>使用顺序：先看主要结论，再查看对应原题和分母；需要引用数值时以本报告与配套统计工作簿同口径结果为准。附件代码可在本地读取原始输入后重新产生公开聚合结果。</w:t>
      </w:r>
    </w:p>
    <w:p>
      <w:r>
        <w:br w:type="page"/>
      </w:r>
    </w:p>
    <w:p>
      <w:pPr>
        <w:pStyle w:val="Heading1"/>
      </w:pPr>
      <w:r>
        <w:t>一 主要结论与决策含义</w:t>
      </w:r>
    </w:p>
    <w:p>
      <w:pPr/>
      <w:r>
        <w:t>最明确的需求是数智课程与业务实践的结合。Q26数智化运营与数据分析必要程度达到4至5分的有156/162份（96.3%），但Q17报告已有信息化与数据工具培训的仅49/162份（30.2%）。同一答卷中同时满足高需求且未勾选现有供给的有109份，占全样本67.3%，占高需求者69.9%。两个题项概念接近但不完全相同，不能直接解释为109家医院完全没有数据培训。</w:t>
      </w:r>
    </w:p>
    <w:p>
      <w:pPr/>
      <w:r>
        <w:t>当前能力差距呈现业务、数据与管理相对突出，财务相对较小的格局。业务高差距66份（40.7%），数据57份（35.2%），财务42份（25.9%）。业务与数据的配对差异未获得明确统计支持，不能把两者机械排序为显著不同的优先级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32"/>
        <w:gridCol w:w="4234"/>
      </w:tblGrid>
      <w:tr>
        <w:trPr>
          <w:tblHeader/>
        </w:trPr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403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证据</w:t>
            </w:r>
          </w:p>
        </w:tc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决策含义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人才供需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未来需求前三：运营133、数据120、综合89份</w:t>
            </w:r>
          </w:p>
        </w:tc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用运营项目承载数据与业务课程，兼顾综合协调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实践方式</w:t>
            </w:r>
          </w:p>
        </w:tc>
        <w:tc>
          <w:tcPr>
            <w:tcW w:type="dxa" w:w="403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跟岗前三125、项目95、案例90份</w:t>
            </w:r>
          </w:p>
        </w:tc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优先试点可交付真实成果的实践组合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过程管理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缺跟踪108份；分层不足82份</w:t>
            </w:r>
          </w:p>
        </w:tc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加入阶段复盘与分层任务设计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成果转化</w:t>
            </w:r>
          </w:p>
        </w:tc>
        <w:tc>
          <w:tcPr>
            <w:tcW w:type="dxa" w:w="403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实践机会不足126份；激励障碍96份</w:t>
            </w:r>
          </w:p>
        </w:tc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设置真实项目入口及结果运用机制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制度关联</w:t>
            </w:r>
          </w:p>
        </w:tc>
        <w:tc>
          <w:tcPr>
            <w:tcW w:type="dxa" w:w="40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制度落实组无评估9/32，其他组76/130</w:t>
            </w:r>
          </w:p>
        </w:tc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将制度建设与实际评价工具同时推进</w:t>
            </w:r>
          </w:p>
        </w:tc>
      </w:tr>
    </w:tbl>
    <w:p/>
    <w:p>
      <w:pPr/>
      <w:r>
        <w:t>这些结果支持“优先试点什么”，尚不能证明“某种培养方式最有效”。偏好、必要性与现有供给属于不同测量对象；有效性需要培训前后指标、对照或分阶段实施评价。</w:t>
      </w:r>
    </w:p>
    <w:p>
      <w:pPr>
        <w:pStyle w:val="Heading2"/>
      </w:pPr>
      <w:r>
        <w:t>需要保留的三条边界</w:t>
      </w:r>
    </w:p>
    <w:p>
      <w:pPr/>
      <w:r>
        <w:t>第一，162份答卷不等于162家独立医院，缺少医院唯一标识，不能去重或处理院内聚类。第二，样本高度集中于三级类别与财审背景，基层覆盖不足。第三，Q11和Q12为选答，人数合计受异常大值、重复机构和填报口径影响，不构成可靠的独立人员样本。</w:t>
      </w:r>
    </w:p>
    <w:p>
      <w:r>
        <w:br w:type="page"/>
      </w:r>
    </w:p>
    <w:p>
      <w:pPr>
        <w:pStyle w:val="Heading1"/>
      </w:pPr>
      <w:r>
        <w:t>二 数据基础与分析方法</w:t>
      </w:r>
    </w:p>
    <w:p>
      <w:pPr/>
      <w:r>
        <w:t>原始数据为同一问卷的两个导出版本，均为Sheet1和162行。数值版207列，文本版129列，含47题。按答卷序号对齐后，对201个实质字段进行重建与交叉比较，共32562格一致。多选按文本选项拆解，排序按箭头顺序重建，单选按选项字母或是非标签重建。元数据和标识仅用于内部匹配，不进入公开附件。</w:t>
      </w:r>
    </w:p>
    <w:p>
      <w:pPr/>
      <w:r>
        <w:t>参考PDF《高端会计人才项目在线学习情况调研报告》为另一项1495份答卷的调查，仅借鉴“样本画像—现状—需求—建议”的结构，不迁用其中任何样本数、比例或研究结论。本报告使用当前162份真实数据重新分析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18"/>
        <w:gridCol w:w="5342"/>
        <w:gridCol w:w="2419"/>
      </w:tblGrid>
      <w:tr>
        <w:trPr>
          <w:tblHeader/>
        </w:trPr>
        <w:tc>
          <w:tcPr>
            <w:tcW w:type="dxa" w:w="231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题型</w:t>
            </w:r>
          </w:p>
        </w:tc>
        <w:tc>
          <w:tcPr>
            <w:tcW w:type="dxa" w:w="534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处理规则</w:t>
            </w:r>
          </w:p>
        </w:tc>
        <w:tc>
          <w:tcPr>
            <w:tcW w:type="dxa" w:w="241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</w:tr>
      <w:tr>
        <w:tc>
          <w:tcPr>
            <w:tcW w:type="dxa" w:w="23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单选与是非矩阵</w:t>
            </w:r>
          </w:p>
        </w:tc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按原始代码及文本标签汇总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本次均为162</w:t>
            </w:r>
          </w:p>
        </w:tc>
      </w:tr>
      <w:tr>
        <w:tc>
          <w:tcPr>
            <w:tcW w:type="dxa" w:w="231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多选题</w:t>
            </w:r>
          </w:p>
        </w:tc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每项单独计算选择人数；比例可累计超过100%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</w:tr>
      <w:tr>
        <w:tc>
          <w:tcPr>
            <w:tcW w:type="dxa" w:w="23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Q23 Q25 Q38前三排序</w:t>
            </w:r>
          </w:p>
        </w:tc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分别列第1、第2、第3名、首选率与前三率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</w:tr>
      <w:tr>
        <w:tc>
          <w:tcPr>
            <w:tcW w:type="dxa" w:w="231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五级量表</w:t>
            </w:r>
          </w:p>
        </w:tc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报告1至5分分布、均值、标准差、中位数及高低分率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各子项有效数，本次162</w:t>
            </w:r>
          </w:p>
        </w:tc>
      </w:tr>
      <w:tr>
        <w:tc>
          <w:tcPr>
            <w:tcW w:type="dxa" w:w="23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Q11 Q12人数选答</w:t>
            </w:r>
          </w:p>
        </w:tc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非负整数为有效；空白与非空无效分开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每字段自己的有效填报数</w:t>
            </w:r>
          </w:p>
        </w:tc>
      </w:tr>
      <w:tr>
        <w:tc>
          <w:tcPr>
            <w:tcW w:type="dxa" w:w="231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Q47开放题</w:t>
            </w:r>
          </w:p>
        </w:tc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12份实质意见，多主题编码，仅公开聚合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12份实质意见</w:t>
            </w:r>
          </w:p>
        </w:tc>
      </w:tr>
    </w:tbl>
    <w:p/>
    <w:p>
      <w:pPr>
        <w:pStyle w:val="Heading2"/>
      </w:pPr>
      <w:r>
        <w:t>统计推断与多重比较</w:t>
      </w:r>
    </w:p>
    <w:p>
      <w:pPr/>
      <w:r>
        <w:t>二元比例采用Wilson 95%区间。探索性分组比较采用双侧Fisher精确检验，比例差采用Newcombe 95%区间。分别在医院类别12项、职务分组12项、制度落实3项与Q11可用性6项家族内实施Benjamini–Hochberg校正。正文和工作簿均保留未经校正p与校正q；95%区间未作多重性调整。</w:t>
      </w:r>
    </w:p>
    <w:p>
      <w:pPr/>
      <w:r>
        <w:t>Q22同一受访者的五维差距采用Friedman检验，并报告Kendall W。10个维度对的均值差采用保留零差与并列的精确符号翻转置换检验，10对共同BH校正；均值差区间为配对t近似，仅辅助描述。此方法把五级评分视为近似等距，并要求零假设下差值可交换符号，解释时保留这一假设。</w:t>
      </w:r>
    </w:p>
    <w:p>
      <w:pPr/>
      <w:r>
        <w:t>上述区间及检验是模型条件下的探索性描述。因抽样方式未证实为概率抽样、机构可能重复、医院聚类无法识别，它们不能修正代表性偏差，不能作为全国推断或因果证明。统计不显著也不等同于两组相同。</w:t>
      </w:r>
    </w:p>
    <w:p>
      <w:r>
        <w:br w:type="page"/>
      </w:r>
    </w:p>
    <w:p>
      <w:pPr>
        <w:pStyle w:val="Heading1"/>
      </w:pPr>
      <w:r>
        <w:t>三 受访者结构与机构培养现状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637"/>
        <w:gridCol w:w="3629"/>
      </w:tblGrid>
      <w:tr>
        <w:trPr>
          <w:tblHeader/>
        </w:trPr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变量</w:t>
            </w:r>
          </w:p>
        </w:tc>
        <w:tc>
          <w:tcPr>
            <w:tcW w:type="dxa" w:w="4637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主要结果</w:t>
            </w:r>
          </w:p>
        </w:tc>
        <w:tc>
          <w:tcPr>
            <w:tcW w:type="dxa" w:w="362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含义与限制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医院类别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三级145/162（89.5%）；二级14/162（8.6%）；其他3/162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按原题编码，不将其他填报细节重新识别为医院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职务</w:t>
            </w:r>
          </w:p>
        </w:tc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院级领导6，总会计师14，部门正职41，副职30，其他71</w:t>
            </w:r>
          </w:p>
        </w:tc>
        <w:tc>
          <w:tcPr>
            <w:tcW w:type="dxa" w:w="362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管理者定义为Q4编码1至4，共91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年龄与学历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31至40岁99份；硕士88、本科70、博士3、大专及以下1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不能精确重建36至55岁年龄段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职称</w:t>
            </w:r>
          </w:p>
        </w:tc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正高级25、副高级50、中级83、初级及以下1、未评聘3</w:t>
            </w:r>
          </w:p>
        </w:tc>
        <w:tc>
          <w:tcPr>
            <w:tcW w:type="dxa" w:w="362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高级合计75/162（46.3%）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部门与专业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财务或审计部门109；财审专业142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部门归属与教育专业不可混用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地区构成</w:t>
            </w:r>
          </w:p>
        </w:tc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江苏38、河南33，合计71/162（43.8%）</w:t>
            </w:r>
          </w:p>
        </w:tc>
        <w:tc>
          <w:tcPr>
            <w:tcW w:type="dxa" w:w="362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统一省市后缀；不公开城市与个人组合</w:t>
            </w:r>
          </w:p>
        </w:tc>
      </w:tr>
    </w:tbl>
    <w:p/>
    <w:p>
      <w:pPr/>
      <w:r>
        <w:t>样本以具有较高学历的财审背景在职人员为主，适合识别这部分群体对业财融合培养的评价。与基层、初入职、非财审背景人员的需求差异尚需进一步补样。不能将受访者个人结构当作其所在医院全体经济管理人员的结构。</w:t>
      </w:r>
    </w:p>
    <w:p>
      <w:pPr>
        <w:pStyle w:val="Heading2"/>
      </w:pPr>
      <w:r>
        <w:t>岗位与机构设置的报告比例</w:t>
      </w:r>
    </w:p>
    <w:p>
      <w:r>
        <w:drawing>
          <wp:inline xmlns:a="http://schemas.openxmlformats.org/drawingml/2006/main" xmlns:pic="http://schemas.openxmlformats.org/drawingml/2006/picture">
            <wp:extent cx="6217920" cy="211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it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Q10；每项分母162；1=是、2=否</w:t>
      </w:r>
    </w:p>
    <w:p>
      <w:pPr>
        <w:pStyle w:val="Heading2"/>
      </w:pPr>
      <w:r>
        <w:t>培养制度与资源投入</w:t>
      </w:r>
    </w:p>
    <w:p>
      <w:pPr/>
      <w:r>
        <w:t>32/162份（19.8%）回答有制度且落实到位，49份（30.2%）有制度但落实不足，81份（50.0%）无系统制度安排。后两类共130份，需按其原始含义区分，不能全部称为无制度。</w:t>
      </w:r>
    </w:p>
    <w:p>
      <w:pPr/>
      <w:r>
        <w:t>年人均培训学时在20学时以下与20至40学时两个档次的合计103份（63.6%）；年人均经费在1000元以下与1000至3000元档次合计110份（67.9%）。档位边界来自原题，不能用组中值反推精确平均学时或平均经费。人员配置严重不足或相对不足82份（50.6%），提示课程安排应与学习时间和人员替补安排结合。</w:t>
      </w:r>
    </w:p>
    <w:p>
      <w:r>
        <w:br w:type="page"/>
      </w:r>
    </w:p>
    <w:p>
      <w:pPr>
        <w:pStyle w:val="Heading1"/>
      </w:pPr>
      <w:r>
        <w:t>四 复合能力差距与人才需求</w:t>
      </w:r>
    </w:p>
    <w:p>
      <w:pPr>
        <w:pStyle w:val="Heading2"/>
      </w:pPr>
      <w:r>
        <w:t>五维能力高差距比例</w:t>
      </w:r>
    </w:p>
    <w:p>
      <w:r>
        <w:drawing>
          <wp:inline xmlns:a="http://schemas.openxmlformats.org/drawingml/2006/main" xmlns:pic="http://schemas.openxmlformats.org/drawingml/2006/picture">
            <wp:extent cx="6217920" cy="2114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Q22；4至5分表示差距较大；每项分母162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1210"/>
        <w:gridCol w:w="1210"/>
        <w:gridCol w:w="1814"/>
        <w:gridCol w:w="2520"/>
      </w:tblGrid>
      <w:tr>
        <w:trPr>
          <w:tblHeader/>
        </w:trPr>
        <w:tc>
          <w:tcPr>
            <w:tcW w:type="dxa" w:w="332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中位数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高差距 n/N</w:t>
            </w:r>
          </w:p>
        </w:tc>
        <w:tc>
          <w:tcPr>
            <w:tcW w:type="dxa" w:w="252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Wilson 95%区间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3.30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66/162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33.5% 至 48.4%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D2 通财务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2.66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42/162</w:t>
            </w:r>
          </w:p>
        </w:tc>
        <w:tc>
          <w:tcPr>
            <w:tcW w:type="dxa" w:w="252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19.8% 至 33.2%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D3 善管理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3.09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45/162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21.5% 至 35.1%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D4 会数据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3.13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57/162</w:t>
            </w:r>
          </w:p>
        </w:tc>
        <w:tc>
          <w:tcPr>
            <w:tcW w:type="dxa" w:w="252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28.3% 至 42.8%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D5 防风险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49/162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23.7% 至 37.7%</w:t>
            </w:r>
          </w:p>
        </w:tc>
      </w:tr>
    </w:tbl>
    <w:p/>
    <w:p>
      <w:pPr/>
      <w:r>
        <w:t>五维整体分布存在差异，Friedman统计量为66.65，p=1.16e-13，Kendall W=0.103。效应大小较有限，不能因p值很小就认为差距悬殊。业务与数据均应纳入课程优先议题；两者均值差0.173分，精确置换p=0.05049，10对BH q=0.07214，未形成明确区分证据。</w:t>
      </w:r>
    </w:p>
    <w:p>
      <w:pPr>
        <w:pStyle w:val="Heading2"/>
      </w:pPr>
      <w:r>
        <w:t>未来三年人才需求排序</w:t>
      </w:r>
    </w:p>
    <w:p>
      <w:r>
        <w:drawing>
          <wp:inline xmlns:a="http://schemas.openxmlformats.org/drawingml/2006/main" xmlns:pic="http://schemas.openxmlformats.org/drawingml/2006/picture">
            <wp:extent cx="6217920" cy="211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l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Q23；同时呈现前三入选率与首选率；每项分母162</w:t>
      </w:r>
    </w:p>
    <w:p>
      <w:pPr/>
      <w:r>
        <w:t>按前三入选，运营管理133份、数据分析120份、综合管理89份位列前三；成本与预算83份排第四。按首选，运营67份、综合34份、成本与预算29份位列前三。两套排名回答不同问题，不能交换。医保人才前三42份（25.9%），而医保课程高必要性149份（92.0%）；前者是有限名额下的相对人才需求排序，后者是绝对课程必要性，不能据此认定医保重要性被低估。</w:t>
      </w:r>
    </w:p>
    <w:p>
      <w:r>
        <w:br w:type="page"/>
      </w:r>
    </w:p>
    <w:p>
      <w:pPr>
        <w:pStyle w:val="Heading1"/>
      </w:pPr>
      <w:r>
        <w:t>五 培养方式及课程供需</w:t>
      </w:r>
    </w:p>
    <w:p>
      <w:pPr>
        <w:pStyle w:val="Heading2"/>
      </w:pPr>
      <w:r>
        <w:t>各课程模块的高必要性比例</w:t>
      </w:r>
    </w:p>
    <w:p>
      <w:r>
        <w:drawing>
          <wp:inline xmlns:a="http://schemas.openxmlformats.org/drawingml/2006/main" xmlns:pic="http://schemas.openxmlformats.org/drawingml/2006/picture">
            <wp:extent cx="6217920" cy="31918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9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Q26；4至5分；每项分母162</w:t>
      </w:r>
    </w:p>
    <w:p>
      <w:pPr/>
      <w:r>
        <w:t>多项课程均呈现高必要性，说明培养需要兼顾业务理解、管理协同和数据方法。高认可可能受共同方法偏差或倾向性回答影响，单凭必要性打分难以决定课时分配；应结合岗位任务、现有基础与实践成果进行选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37"/>
        <w:gridCol w:w="1814"/>
        <w:gridCol w:w="1814"/>
        <w:gridCol w:w="1814"/>
      </w:tblGrid>
      <w:tr>
        <w:trPr>
          <w:tblHeader/>
        </w:trPr>
        <w:tc>
          <w:tcPr>
            <w:tcW w:type="dxa" w:w="4637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同一答卷的数智需求与供给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报告已有数据工具培训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未勾选现有培训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合计</w:t>
            </w:r>
          </w:p>
        </w:tc>
      </w:tr>
      <w:tr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数智高需求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109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156</w:t>
            </w:r>
          </w:p>
        </w:tc>
      </w:tr>
      <w:tr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非高需求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</w:t>
            </w:r>
          </w:p>
        </w:tc>
      </w:tr>
      <w:tr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合计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</w:tr>
    </w:tbl>
    <w:p/>
    <w:p>
      <w:pPr/>
      <w:r>
        <w:t>109份“高需求且未勾选供给”是可优先跟进的需求信号。Q26涉及数智化运营与数据分析课程，Q17涉及信息化与数据工具，概念并不完全一致；现有培训还可能存在记忆遗漏。因此建议在课程试点前进行简短课程清单核对，而非直接认定供给空白。</w:t>
      </w:r>
    </w:p>
    <w:p>
      <w:r>
        <w:br w:type="page"/>
      </w:r>
    </w:p>
    <w:p>
      <w:pPr>
        <w:pStyle w:val="Heading1"/>
      </w:pPr>
      <w:r>
        <w:t>培养方式偏好与可落地组合</w:t>
      </w:r>
    </w:p>
    <w:p>
      <w:pPr>
        <w:pStyle w:val="Heading2"/>
      </w:pPr>
      <w:r>
        <w:t>培养方式的前三入选率与首选率</w:t>
      </w:r>
    </w:p>
    <w:p>
      <w:r>
        <w:drawing>
          <wp:inline xmlns:a="http://schemas.openxmlformats.org/drawingml/2006/main" xmlns:pic="http://schemas.openxmlformats.org/drawingml/2006/picture">
            <wp:extent cx="6217920" cy="2648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8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Q25；每项分母162</w:t>
      </w:r>
    </w:p>
    <w:p>
      <w:pPr/>
      <w:r>
        <w:t>前三入选最普遍的方式是跟岗125份（77.2%）、项目95份（58.6%）和案例90份（55.6%）。双导师62份（38.3%）虽不是前三覆盖的前三项，但首选33份，仅次于跟岗65份，显示有一部分受访者将持续导师支持置于较高优先级。不能仅依据前三覆盖率否定导师制价值。</w:t>
      </w:r>
    </w:p>
    <w:p>
      <w:pPr/>
      <w:r>
        <w:t>已有跟岗或轮岗培训方式70份（43.2%）；偏好跟岗且未报告现有相应方式72份（44.4%）。另一方面，双导师已实施仅7份，另有12份希望一年内启动、91份有意愿但条件暂不具备、52份暂无意愿。导师安排需要明确工作量、激励、业务导师与财务导师职责，而不能只列入课程方案。</w:t>
      </w:r>
    </w:p>
    <w:p>
      <w:pPr/>
      <w:r>
        <w:t>合理培养周期以3至5年103份（63.6%）为主。建议将短期实训嵌入多阶段发展安排，而非把一次培训认定为复合能力形成。Q24和Q40对分层与全链条路径的完整认可分布见附录，尚不能证明任一阶段安排具有因果效果。</w:t>
      </w:r>
    </w:p>
    <w:p>
      <w:r>
        <w:br w:type="page"/>
      </w:r>
    </w:p>
    <w:p>
      <w:pPr>
        <w:pStyle w:val="Heading1"/>
      </w:pPr>
      <w:r>
        <w:t>六 组织保障与成果转化</w:t>
      </w:r>
    </w:p>
    <w:p>
      <w:pPr>
        <w:pStyle w:val="Heading2"/>
      </w:pPr>
      <w:r>
        <w:t>现有培训的主要问题</w:t>
      </w:r>
    </w:p>
    <w:p>
      <w:r>
        <w:drawing>
          <wp:inline xmlns:a="http://schemas.openxmlformats.org/drawingml/2006/main" xmlns:pic="http://schemas.openxmlformats.org/drawingml/2006/picture">
            <wp:extent cx="6217920" cy="2920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20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Q19；最多4项；分母162</w:t>
      </w:r>
    </w:p>
    <w:p>
      <w:pPr/>
      <w:r>
        <w:t>短期集中为主、缺乏跟踪管理108份（66.7%），分层分类不够、针对性不强82份（50.6%）。这提示改善重点不仅是增加课程，还包括明确学习前目标、过程辅导、培训后项目成果与持续追踪。</w:t>
      </w:r>
    </w:p>
    <w:p>
      <w:pPr>
        <w:pStyle w:val="Heading2"/>
      </w:pPr>
      <w:r>
        <w:t>成果转化落地的主要障碍</w:t>
      </w:r>
    </w:p>
    <w:p>
      <w:r>
        <w:drawing>
          <wp:inline xmlns:a="http://schemas.openxmlformats.org/drawingml/2006/main" xmlns:pic="http://schemas.openxmlformats.org/drawingml/2006/picture">
            <wp:extent cx="6217920" cy="21140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ri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来源 Q46；最多3项；分母162</w:t>
      </w:r>
    </w:p>
    <w:p>
      <w:pPr/>
      <w:r>
        <w:t>实践锻炼与项目历练机会不足126份（77.8%），考核激励与结果运用机制不完善96份（59.3%）。实践基地、真实项目池与评价机制应同步设计，避免只有培训而没有可执行任务，也避免把培训完成率当作管理改善成效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42"/>
        <w:gridCol w:w="1512"/>
        <w:gridCol w:w="1512"/>
        <w:gridCol w:w="1714"/>
      </w:tblGrid>
      <w:tr>
        <w:trPr>
          <w:tblHeader/>
        </w:trPr>
        <w:tc>
          <w:tcPr>
            <w:tcW w:type="dxa" w:w="534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主管部门政策支持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首选人数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前三人数</w:t>
            </w:r>
          </w:p>
        </w:tc>
        <w:tc>
          <w:tcPr>
            <w:tcW w:type="dxa" w:w="17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前三率</w:t>
            </w:r>
          </w:p>
        </w:tc>
      </w:tr>
      <w:tr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纳入卫生健康人才发展规划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120</w:t>
            </w:r>
          </w:p>
        </w:tc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74.1%</w:t>
            </w:r>
          </w:p>
        </w:tc>
      </w:tr>
      <w:tr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设立专项培养经费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106</w:t>
            </w:r>
          </w:p>
        </w:tc>
        <w:tc>
          <w:tcPr>
            <w:tcW w:type="dxa" w:w="17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65.4%</w:t>
            </w:r>
          </w:p>
        </w:tc>
      </w:tr>
      <w:tr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高端人才计划倾斜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68</w:t>
            </w:r>
          </w:p>
        </w:tc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42.0%</w:t>
            </w:r>
          </w:p>
        </w:tc>
      </w:tr>
      <w:tr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薪酬激励政策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</w:t>
            </w:r>
          </w:p>
        </w:tc>
        <w:tc>
          <w:tcPr>
            <w:tcW w:type="dxa" w:w="17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37.0%</w:t>
            </w:r>
          </w:p>
        </w:tc>
      </w:tr>
      <w:tr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岗位设置与编制保障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</w:t>
            </w:r>
          </w:p>
        </w:tc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29.0%</w:t>
            </w:r>
          </w:p>
        </w:tc>
      </w:tr>
      <w:tr>
        <w:tc>
          <w:tcPr>
            <w:tcW w:type="dxa" w:w="534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学时学分认定与职称衔接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</w:t>
            </w:r>
          </w:p>
        </w:tc>
        <w:tc>
          <w:tcPr>
            <w:tcW w:type="dxa" w:w="17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26.5%</w:t>
            </w:r>
          </w:p>
        </w:tc>
      </w:tr>
      <w:tr>
        <w:tc>
          <w:tcPr>
            <w:tcW w:type="dxa" w:w="534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实训基地与师资库建设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</w:t>
            </w:r>
          </w:p>
        </w:tc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25.9%</w:t>
            </w:r>
          </w:p>
        </w:tc>
      </w:tr>
    </w:tbl>
    <w:p/>
    <w:p>
      <w:pPr/>
      <w:r>
        <w:t>Q28有3份同时选择尚无合作与具体合作形式，标为潜在矛盾但主分析保留；Q30有7份同时选择尚无系统评估与某具体评价方式，可能存在零散评价但尚未形成体系，不能改写为完全没有任何评价。</w:t>
      </w:r>
    </w:p>
    <w:p>
      <w:pPr/>
      <w:r>
        <w:t>政策前三需求以纳入卫生健康人才发展规划120份（74.1%）和设立专项培养经费106份（65.4%）较突出。结合Q32至Q35对组织机制、激励与职业通道的评分，建议政策试点把职责、经费、实践任务及职业发展衔接成完整流程，并记录实际执行程度。</w:t>
      </w:r>
    </w:p>
    <w:p>
      <w:r>
        <w:br w:type="page"/>
      </w:r>
    </w:p>
    <w:p>
      <w:pPr>
        <w:pStyle w:val="Heading1"/>
      </w:pPr>
      <w:r>
        <w:t>七 探索性比较与不确定性</w:t>
      </w:r>
    </w:p>
    <w:p>
      <w:pPr>
        <w:pStyle w:val="Heading2"/>
      </w:pPr>
      <w:r>
        <w:t>制度落实与评估的关联</w:t>
      </w:r>
    </w:p>
    <w:p>
      <w:pPr/>
      <w:r>
        <w:t>制度落实到位者32份中，选择“尚无系统评估”的有9份（28.1%）；其他回答130份中有76份（58.5%）。两组比例差为-30.3个百分点，未作多重性调整的Newcombe 95%区间为-45.3至-11.1个百分点；双侧Fisher p=0.002773，制度落实3项家族BH q=0.008318。</w:t>
      </w:r>
    </w:p>
    <w:p>
      <w:pPr/>
      <w:r>
        <w:t>这一结果说明制度落实与评估安排同时出现，但横截面问卷无法判断时间先后、共同治理能力或机构资源的作用。其他130份由49份“有制度但落实不足”和81份“无系统制度安排”组成；不得把组间差异写成制度的净因果效果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3"/>
        <w:gridCol w:w="1411"/>
        <w:gridCol w:w="1411"/>
        <w:gridCol w:w="1814"/>
        <w:gridCol w:w="1210"/>
        <w:gridCol w:w="1310"/>
      </w:tblGrid>
      <w:tr>
        <w:trPr>
          <w:tblHeader/>
        </w:trPr>
        <w:tc>
          <w:tcPr>
            <w:tcW w:type="dxa" w:w="292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结局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落实组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其他回答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比例差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BH q</w:t>
            </w:r>
          </w:p>
        </w:tc>
      </w:tr>
      <w:tr>
        <w:tc>
          <w:tcPr>
            <w:tcW w:type="dxa" w:w="29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无系统评估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9/32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76/130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-30.3个百分点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0.0028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0.0083</w:t>
            </w:r>
          </w:p>
        </w:tc>
      </w:tr>
      <w:tr>
        <w:tc>
          <w:tcPr>
            <w:tcW w:type="dxa" w:w="292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缺乏培训后跟踪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20/32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88/130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-5.2个百分点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0.6760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0.6760</w:t>
            </w:r>
          </w:p>
        </w:tc>
      </w:tr>
      <w:tr>
        <w:tc>
          <w:tcPr>
            <w:tcW w:type="dxa" w:w="29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激励结果运用障碍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22/32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74/130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11.8个百分点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0.2369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0.3554</w:t>
            </w:r>
          </w:p>
        </w:tc>
      </w:tr>
    </w:tbl>
    <w:p/>
    <w:p>
      <w:pPr>
        <w:pStyle w:val="Heading2"/>
      </w:pPr>
      <w:r>
        <w:t>医院类别与职务的探索性分组</w:t>
      </w:r>
    </w:p>
    <w:p>
      <w:pPr/>
      <w:r>
        <w:t>医院类别比较限定原题三级类别145份与二级类别14份，其他3份不进入该比较。本次列明的12个探索性结局中，最低BH q=0.5621。小组样本不足、统计功效有限，不足以据此制定已经验证的医院层级最优方案。职务比较为Q4编码1至4共91份与其他71份；其他类别含多种岗位经历，不能称为统一的非管理专业群体。</w:t>
      </w:r>
    </w:p>
    <w:p>
      <w:pPr/>
      <w:r>
        <w:t>本次分组表是探索性比较，不构成回归调整后的效应。医院类别、地区、职务、专业与机构资源可能同时影响回答。应在下一轮采样时明确医院标识和抽样框，预先选定少量关键终点，按医院聚类评估。完整33项比较见附录与工作簿。</w:t>
      </w:r>
    </w:p>
    <w:p>
      <w:r>
        <w:br w:type="page"/>
      </w:r>
    </w:p>
    <w:p>
      <w:pPr>
        <w:pStyle w:val="Heading1"/>
      </w:pPr>
      <w:r>
        <w:t>八 人员结构选答的专门核验</w:t>
      </w:r>
    </w:p>
    <w:p>
      <w:pPr/>
      <w:r>
        <w:t>Q11的原题范围是总会计师、财务（不含窗口收费人员）、审计、运营、合规、医保、绩效等部门人员。不能默认填报值代表全院职工，也不能认定所有受访者对经济管理范围有相同理解。Q11总人数字段有效98份、合计12573、最大5300；如此大的单条计数需要回访核实，但大值本身不证明错误，本次主样本不予删除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1764"/>
        <w:gridCol w:w="1764"/>
        <w:gridCol w:w="1764"/>
        <w:gridCol w:w="1764"/>
      </w:tblGrid>
      <w:tr>
        <w:trPr>
          <w:tblHeader/>
        </w:trPr>
        <w:tc>
          <w:tcPr>
            <w:tcW w:type="dxa" w:w="302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题目</w:t>
            </w:r>
          </w:p>
        </w:tc>
        <w:tc>
          <w:tcPr>
            <w:tcW w:type="dxa" w:w="176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任一非空</w:t>
            </w:r>
          </w:p>
        </w:tc>
        <w:tc>
          <w:tcPr>
            <w:tcW w:type="dxa" w:w="176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任一有效数值</w:t>
            </w:r>
          </w:p>
        </w:tc>
        <w:tc>
          <w:tcPr>
            <w:tcW w:type="dxa" w:w="176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全部字段有效</w:t>
            </w:r>
          </w:p>
        </w:tc>
        <w:tc>
          <w:tcPr>
            <w:tcW w:type="dxa" w:w="176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整题空白</w:t>
            </w:r>
          </w:p>
        </w:tc>
      </w:tr>
      <w:t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Q11 15字段</w:t>
            </w:r>
          </w:p>
        </w:tc>
        <w:tc>
          <w:tcPr>
            <w:tcW w:type="dxa" w:w="17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102</w:t>
            </w:r>
          </w:p>
        </w:tc>
        <w:tc>
          <w:tcPr>
            <w:tcW w:type="dxa" w:w="17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</w:t>
            </w:r>
          </w:p>
        </w:tc>
        <w:tc>
          <w:tcPr>
            <w:tcW w:type="dxa" w:w="17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78</w:t>
            </w:r>
          </w:p>
        </w:tc>
        <w:tc>
          <w:tcPr>
            <w:tcW w:type="dxa" w:w="176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</w:t>
            </w:r>
          </w:p>
        </w:tc>
      </w:tr>
      <w:tr>
        <w:tc>
          <w:tcPr>
            <w:tcW w:type="dxa" w:w="302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Q12 6字段</w:t>
            </w:r>
          </w:p>
        </w:tc>
        <w:tc>
          <w:tcPr>
            <w:tcW w:type="dxa" w:w="176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</w:t>
            </w:r>
          </w:p>
        </w:tc>
        <w:tc>
          <w:tcPr>
            <w:tcW w:type="dxa" w:w="176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98</w:t>
            </w:r>
          </w:p>
        </w:tc>
        <w:tc>
          <w:tcPr>
            <w:tcW w:type="dxa" w:w="176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81</w:t>
            </w:r>
          </w:p>
        </w:tc>
        <w:tc>
          <w:tcPr>
            <w:tcW w:type="dxa" w:w="176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</w:tr>
    </w:tbl>
    <w:p/>
    <w:p>
      <w:pPr/>
      <w:r>
        <w:t>原始空白包含字符串“(空)”，另有“不清楚”“不知道”等非数值。有效数字定义为非负整数；零是有效填报，不按空白处理。总人数有效98份与其余64份的可用性比较，分组口径不同于“任一作答102与空白60”，不得混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48"/>
        <w:gridCol w:w="1814"/>
        <w:gridCol w:w="2218"/>
      </w:tblGrid>
      <w:tr>
        <w:trPr>
          <w:tblHeader/>
        </w:trPr>
        <w:tc>
          <w:tcPr>
            <w:tcW w:type="dxa" w:w="604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总人数字段情景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记录数</w:t>
            </w:r>
          </w:p>
        </w:tc>
        <w:tc>
          <w:tcPr>
            <w:tcW w:type="dxa" w:w="221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计数合计</w:t>
            </w:r>
          </w:p>
        </w:tc>
      </w:tr>
      <w:tr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仅去除最大0条总人数记录的情景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98</w:t>
            </w:r>
          </w:p>
        </w:tc>
        <w:tc>
          <w:tcPr>
            <w:tcW w:type="dxa" w:w="22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12,573</w:t>
            </w:r>
          </w:p>
        </w:tc>
      </w:tr>
      <w:tr>
        <w:tc>
          <w:tcPr>
            <w:tcW w:type="dxa" w:w="604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仅去除最大1条总人数记录的情景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97</w:t>
            </w:r>
          </w:p>
        </w:tc>
        <w:tc>
          <w:tcPr>
            <w:tcW w:type="dxa" w:w="221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7,273</w:t>
            </w:r>
          </w:p>
        </w:tc>
      </w:tr>
      <w:tr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仅去除最大2条总人数记录的情景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96</w:t>
            </w:r>
          </w:p>
        </w:tc>
        <w:tc>
          <w:tcPr>
            <w:tcW w:type="dxa" w:w="22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5,926</w:t>
            </w:r>
          </w:p>
        </w:tc>
      </w:tr>
      <w:tr>
        <w:tc>
          <w:tcPr>
            <w:tcW w:type="dxa" w:w="604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仅去除最大3条总人数记录的情景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95</w:t>
            </w:r>
          </w:p>
        </w:tc>
        <w:tc>
          <w:tcPr>
            <w:tcW w:type="dxa" w:w="221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4,915</w:t>
            </w:r>
          </w:p>
        </w:tc>
      </w:tr>
    </w:tbl>
    <w:p/>
    <w:p>
      <w:pPr/>
      <w:r>
        <w:t>以上均为未按医院去重的记录计数之和，不是真实独立人员数。最大记录移除后合计变化显著，表明用一个汇总总量描述行业人员规模不稳妥。</w:t>
      </w:r>
    </w:p>
    <w:p>
      <w:pPr>
        <w:pStyle w:val="Heading2"/>
      </w:pPr>
      <w:r>
        <w:t>类别加总只用于假设性敏感性</w:t>
      </w:r>
    </w:p>
    <w:p>
      <w:pPr/>
      <w:r>
        <w:t>学历、职称、专业分项是否互斥且穷尽未获证实。分项和等于总人数是一种核对条件，不能被当作无误填写的认证。不同结构的可用记录不同，不能把各列全部有效值合计拼成同一总体画像。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38"/>
        <w:gridCol w:w="1210"/>
        <w:gridCol w:w="2520"/>
        <w:gridCol w:w="1512"/>
      </w:tblGrid>
      <w:tr>
        <w:trPr>
          <w:tblHeader/>
        </w:trPr>
        <w:tc>
          <w:tcPr>
            <w:tcW w:type="dxa" w:w="483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结构与情景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记录数</w:t>
            </w:r>
          </w:p>
        </w:tc>
        <w:tc>
          <w:tcPr>
            <w:tcW w:type="dxa" w:w="252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项目计数/同记录总数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计数比</w:t>
            </w:r>
          </w:p>
        </w:tc>
      </w:tr>
      <w:tr>
        <w:tc>
          <w:tcPr>
            <w:tcW w:type="dxa" w:w="48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学历 本科 分项和等于总人数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73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5317/9166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58.0%</w:t>
            </w:r>
          </w:p>
        </w:tc>
      </w:tr>
      <w:tr>
        <w:tc>
          <w:tcPr>
            <w:tcW w:type="dxa" w:w="483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学历 本科 相等且总人数不超IQR上界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</w:t>
            </w:r>
          </w:p>
        </w:tc>
        <w:tc>
          <w:tcPr>
            <w:tcW w:type="dxa" w:w="252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1498/2129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70.4%</w:t>
            </w:r>
          </w:p>
        </w:tc>
      </w:tr>
      <w:tr>
        <w:tc>
          <w:tcPr>
            <w:tcW w:type="dxa" w:w="48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专业 财会审计类 分项和等于总人数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65</w:t>
            </w:r>
          </w:p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1405/3619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38.8%</w:t>
            </w:r>
          </w:p>
        </w:tc>
      </w:tr>
      <w:tr>
        <w:tc>
          <w:tcPr>
            <w:tcW w:type="dxa" w:w="483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专业 财会审计类 相等且总人数不超IQR上界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  <w:tc>
          <w:tcPr>
            <w:tcW w:type="dxa" w:w="252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1332/1882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70.8%</w:t>
            </w:r>
          </w:p>
        </w:tc>
      </w:tr>
    </w:tbl>
    <w:p/>
    <w:p>
      <w:pPr/>
      <w:r>
        <w:t>IQR高值上界由Q11总人数有效记录计算，为102；超过该阈值仅作为敏感性排除条件，不认定为错误。教育和专业占比对大额记录的敏感程度不同，专业计数比从38.8%到70.8%的变化尤其提示口径风险。</w:t>
      </w:r>
    </w:p>
    <w:p>
      <w:pPr>
        <w:pStyle w:val="Heading2"/>
      </w:pPr>
      <w:r>
        <w:t>Q12的资格计数不可相加为持证人数</w:t>
      </w:r>
    </w:p>
    <w:p>
      <w:pPr/>
      <w:r>
        <w:t>Q12明确要求同一人持有多项资格分别计入。CPA字段有效87份、计数和91；CMA字段有效82份、计数和32。各字段来自不同可用记录，资格可能重叠，不能把两者或全部资格合计解释为独立持证人数。旧建议中CPA45和管理会计14未在相同口径下重现，应以原始题目和明确分母重做，而不是强制对齐旧数。</w:t>
      </w:r>
    </w:p>
    <w:p>
      <w:r>
        <w:br w:type="page"/>
      </w:r>
    </w:p>
    <w:p>
      <w:pPr>
        <w:pStyle w:val="Heading1"/>
      </w:pPr>
      <w:r>
        <w:t>九 稳健性与旧结论检查</w:t>
      </w:r>
    </w:p>
    <w:p>
      <w:pPr/>
      <w:r>
        <w:t>少于300秒的答卷2份，59个量表子项全部同分的答卷5份，合并标记6份。此类特征仅提示需要复核，不是无效认定。主分析保留全部162份，敏感性分析排除这6份后使用156份。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22"/>
        <w:gridCol w:w="1814"/>
        <w:gridCol w:w="1814"/>
        <w:gridCol w:w="1814"/>
        <w:gridCol w:w="1814"/>
      </w:tblGrid>
      <w:tr>
        <w:trPr>
          <w:tblHeader/>
        </w:trPr>
        <w:tc>
          <w:tcPr>
            <w:tcW w:type="dxa" w:w="282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数智高需求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跟岗前三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缺乏跟踪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数据高差距</w:t>
            </w:r>
          </w:p>
        </w:tc>
      </w:tr>
      <w:tr>
        <w:tc>
          <w:tcPr>
            <w:tcW w:type="dxa" w:w="28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全样本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156/162（96.3%）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125/162（77.2%）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108/162（66.7%）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57/162（35.2%）</w:t>
            </w:r>
          </w:p>
        </w:tc>
      </w:tr>
      <w:tr>
        <w:tc>
          <w:tcPr>
            <w:tcW w:type="dxa" w:w="282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剔除快速或全量表同分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150/156（96.2%）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120/156（76.9%）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104/156（66.7%）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51/156（32.7%）</w:t>
            </w:r>
          </w:p>
        </w:tc>
      </w:tr>
      <w:tr>
        <w:tc>
          <w:tcPr>
            <w:tcW w:type="dxa" w:w="28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去除江苏与河南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87/91（95.6%）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70/91（76.9%）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58/91（63.7%）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25/91（27.5%）</w:t>
            </w:r>
          </w:p>
        </w:tc>
      </w:tr>
    </w:tbl>
    <w:p/>
    <w:p>
      <w:pPr/>
      <w:r>
        <w:t>去除江苏与河南后为91份，数据高差距25/91（27.5%），低于全样本35.2%。因此只能说若干核心需求方向在快速或同分标记敏感性中相近，不能笼统宣称全部结论对地区构成都稳健。地区排除同时改变样本结构，也不能解释为地区本身的因果影响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4334"/>
        <w:gridCol w:w="2419"/>
      </w:tblGrid>
      <w:tr>
        <w:trPr>
          <w:tblHeader/>
        </w:trPr>
        <w:tc>
          <w:tcPr>
            <w:tcW w:type="dxa" w:w="332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待核验说法</w:t>
            </w:r>
          </w:p>
        </w:tc>
        <w:tc>
          <w:tcPr>
            <w:tcW w:type="dxa" w:w="43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本次证据</w:t>
            </w:r>
          </w:p>
        </w:tc>
        <w:tc>
          <w:tcPr>
            <w:tcW w:type="dxa" w:w="241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本科主导、中级及以下超过85%</w:t>
            </w:r>
          </w:p>
        </w:tc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个人硕士54.3%；高级46.3%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不适用于受访者个人结构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管理者或领导人数混用</w:t>
            </w:r>
          </w:p>
        </w:tc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管理者91；院领导及总会计师20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必须明确Q4定义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业务差距显著高于数据差距</w:t>
            </w:r>
          </w:p>
        </w:tc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精确p=.05049；10对BH q=.07214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差异不确定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未来需求前三为运营、数据、成本</w:t>
            </w:r>
          </w:p>
        </w:tc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综合89高于成本83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第三位应为综合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医保排名低说明不重要</w:t>
            </w:r>
          </w:p>
        </w:tc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人才前三25.9%；课程高必要92.0%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两题不可作该推论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1140、1144、1145为可靠总人数</w:t>
            </w:r>
          </w:p>
        </w:tc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Q11有效98、计数12573，未医院去重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旧总数未重现且口径不明</w:t>
            </w:r>
          </w:p>
        </w:tc>
      </w:tr>
      <w:t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CPA45、管理会计14</w:t>
            </w:r>
          </w:p>
        </w:tc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CPA计数91；CMA计数32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相应口径未重现</w:t>
            </w:r>
          </w:p>
        </w:tc>
      </w:tr>
      <w:tr>
        <w:tc>
          <w:tcPr>
            <w:tcW w:type="dxa" w:w="33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按医院层级已证明最优策略不同</w:t>
            </w:r>
          </w:p>
        </w:tc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二级仅14份，探索性比较有限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证据不足</w:t>
            </w:r>
          </w:p>
        </w:tc>
      </w:tr>
    </w:tbl>
    <w:p/>
    <w:p>
      <w:pPr>
        <w:pStyle w:val="Heading2"/>
      </w:pPr>
      <w:r>
        <w:t>开放意见的编码解释</w:t>
      </w:r>
    </w:p>
    <w:p>
      <w:pPr/>
      <w:r>
        <w:t>Q47有12份实质意见。本次采用公开可复现关键词规则并人工检查，多标签主题为治理与组织支持7、职业发展与公平激励3、实践应用3、经费或学习实践机会2、协同与案例共享1。此前汇总的治理制度为6，本版将领导认可等组织支持纳入更宽的治理与组织支持主题，不能把主题计数变化当作受访者新增意见。主题分母为12，原文及序号不公开。</w:t>
      </w:r>
    </w:p>
    <w:p>
      <w:pPr/>
      <w:r>
        <w:t>旧汇总中的业务与数据p约0.0502来自随机模拟。本版使用精确符号翻转p=0.0504946，并对完整10对维度进行BH校正，因此q与此前较小的三对比较家族不完全相同。方法变化不改变“业务与数据之间尚不明确”的判断。</w:t>
      </w:r>
    </w:p>
    <w:p>
      <w:r>
        <w:br w:type="page"/>
      </w:r>
    </w:p>
    <w:p>
      <w:pPr>
        <w:pStyle w:val="Heading1"/>
      </w:pPr>
      <w:r>
        <w:t>十 可执行建议与后续研究</w:t>
      </w:r>
    </w:p>
    <w:p>
      <w:pPr>
        <w:pStyle w:val="Heading2"/>
      </w:pPr>
      <w:r>
        <w:t>第一阶段  核实需求与确定试点</w:t>
      </w:r>
    </w:p>
    <w:p>
      <w:pPr/>
      <w:r>
        <w:t>由医院培养归口部门会同财务、运营、医保、临床与信息部门，在现有培训目录基础上核对数据工具、业务流程与真实管理项目供给。以问卷显示的数智、业务和运营需求为线索，选取2至3个能获得数据和业务配合的项目，例如病种成本与运营分析、预算执行偏差分析或医保精细化管理。具体项目数量为实施建议，不是调查测量结果。</w:t>
      </w:r>
    </w:p>
    <w:p>
      <w:pPr>
        <w:pStyle w:val="Heading2"/>
      </w:pPr>
      <w:r>
        <w:t>第二阶段  设计分层实践任务</w:t>
      </w:r>
    </w:p>
    <w:p>
      <w:pPr/>
      <w:r>
        <w:t>新入职人员以流程理解、制度规范和数据基础为主；业务骨干承担分析与改进任务；中层侧重跨部门协同、项目治理与带教；领军人才侧重战略和系统治理。该分层来自原题及管理设计逻辑，需根据岗位实测能力调整，不应仅凭职称或年龄分配学习机会。采用跟岗、真实项目、案例复盘与双导师支持的组合，明确每项任务的业务问题、交付物和评价人。</w:t>
      </w:r>
    </w:p>
    <w:p>
      <w:pPr>
        <w:pStyle w:val="Heading2"/>
      </w:pPr>
      <w:r>
        <w:t>第三阶段  跟踪评估与结果运用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637"/>
        <w:gridCol w:w="3629"/>
      </w:tblGrid>
      <w:tr>
        <w:trPr>
          <w:tblHeader/>
        </w:trPr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4637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建议记录的可观察指标</w:t>
            </w:r>
          </w:p>
        </w:tc>
        <w:tc>
          <w:tcPr>
            <w:tcW w:type="dxa" w:w="362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解释要求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学习前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岗位任务清单、基线能力测评、项目基线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不把自评需求当作客观能力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学习中</w:t>
            </w:r>
          </w:p>
        </w:tc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导师反馈、参与时间、阶段成果</w:t>
            </w:r>
          </w:p>
        </w:tc>
        <w:tc>
          <w:tcPr>
            <w:tcW w:type="dxa" w:w="362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跟踪过程，避免只记出勤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学习后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案例与分析报告质量、应用情况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培训完成不等于成果落地</w:t>
            </w:r>
          </w:p>
        </w:tc>
      </w:tr>
      <w:tr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后续追踪</w:t>
            </w:r>
          </w:p>
        </w:tc>
        <w:tc>
          <w:tcPr>
            <w:tcW w:type="dxa" w:w="463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同口径业务指标、使用部门反馈、持续应用</w:t>
            </w:r>
          </w:p>
        </w:tc>
        <w:tc>
          <w:tcPr>
            <w:tcW w:type="dxa" w:w="362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注明同时期改革和资源变化</w:t>
            </w:r>
          </w:p>
        </w:tc>
      </w:tr>
      <w:tr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激励运用</w:t>
            </w:r>
          </w:p>
        </w:tc>
        <w:tc>
          <w:tcPr>
            <w:tcW w:type="dxa" w:w="46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公开评价标准、岗位与成长机会衔接</w:t>
            </w:r>
          </w:p>
        </w:tc>
        <w:tc>
          <w:tcPr>
            <w:tcW w:type="dxa" w:w="36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避免仅以证书或短期分数定优劣</w:t>
            </w:r>
          </w:p>
        </w:tc>
      </w:tr>
    </w:tbl>
    <w:p/>
    <w:p>
      <w:pPr/>
      <w:r>
        <w:t>建议先进行小规模分阶段试点，再评价是否扩展。若资源允许，可采用分批上线的比较设计，预先确定主要终点、追踪时间、缺失处理和分析计划。避免事后挑选显著结果作为有效性证明。</w:t>
      </w:r>
    </w:p>
    <w:p>
      <w:pPr>
        <w:pStyle w:val="Heading2"/>
      </w:pPr>
      <w:r>
        <w:t>下一轮调查的必要改进</w:t>
      </w:r>
    </w:p>
    <w:p>
      <w:pPr/>
      <w:r>
        <w:t>建立非公开、可去重的医院标识；补充抽样框、邀请范围和响应率；扩大二级与基层覆盖；对Q11明确总人数范围、分项是否互斥及类别加总规则；对Q12区分资格人次与独立人数；在Q41与Q42之间加入跳题或“从未开展”选项；采集现有课程名称、实际培训投入和项目成果，以缩小当前“主观偏好”与“实际效果”之间的证据距离。</w:t>
      </w:r>
    </w:p>
    <w:p>
      <w:r>
        <w:br w:type="page"/>
      </w:r>
    </w:p>
    <w:p>
      <w:pPr>
        <w:pStyle w:val="Heading1"/>
      </w:pPr>
      <w:r>
        <w:t>附录A 47题完整统计</w:t>
      </w:r>
    </w:p>
    <w:p>
      <w:pPr>
        <w:pStyle w:val="Caption"/>
      </w:pPr>
      <w:r>
        <w:t>本附录按原题顺序列出全部题目。除Q11、Q12和Q47专门分母外，表中人数均为答卷数。量表分布依次为1至5分人数，高分为4至5分；Q22与Q35含义不同，必须连同题目锚点阅读。多选和排序选项保留原始术语，其他项的自由填写内容不公开。</w:t>
      </w:r>
    </w:p>
    <w:p>
      <w:pPr>
        <w:pStyle w:val="Heading2"/>
      </w:pPr>
      <w:r>
        <w:t>Q1 (1)1.贵院所在省份:___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江苏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河南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上海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广西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浙江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北京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4.9%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湖北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吉林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湖南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四川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广东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山东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天津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陕西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云南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河北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</w:tbl>
    <w:p/>
    <w:p>
      <w:pPr>
        <w:pStyle w:val="Caption"/>
      </w:pPr>
      <w:r>
        <w:t>仅按省份汇总，统一去除省、市后缀（如江苏省与江苏合并）；不发布城市或省份与个人特征交叉组合，不能据省份数量推断地区代表性。</w:t>
      </w:r>
    </w:p>
    <w:p>
      <w:pPr>
        <w:pStyle w:val="Caption"/>
      </w:pPr>
      <w:r>
        <w:t>数据追溯  数值版 Sheet1!G2:H163</w:t>
      </w:r>
    </w:p>
    <w:p>
      <w:pPr>
        <w:pStyle w:val="Heading2"/>
      </w:pPr>
      <w:r>
        <w:t>Q2 2.贵院类别（单选）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三级综合医院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65.4%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三级专科医院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24.1%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二级综合医院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二级专科医院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其他（请注明）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Sheet1!I2:I163</w:t>
      </w:r>
    </w:p>
    <w:p>
      <w:pPr>
        <w:pStyle w:val="Heading2"/>
      </w:pPr>
      <w:r>
        <w:t>Q3 3.您所在部门（单选）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领导班子成员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财务部门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56.8%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审计部门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运营管理部门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医保管理部门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绩效/人事部门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院办/综合管理部门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Sheet1!J2:J163</w:t>
      </w:r>
    </w:p>
    <w:p>
      <w:pPr>
        <w:pStyle w:val="Heading2"/>
      </w:pPr>
      <w:r>
        <w:t>Q4 4.您的职务（单选）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院级领导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总会计师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部门正职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部门副职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43.8%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Sheet1!K2:K163</w:t>
      </w:r>
    </w:p>
    <w:p>
      <w:pPr>
        <w:pStyle w:val="Heading2"/>
      </w:pPr>
      <w:r>
        <w:t xml:space="preserve">Q5 5.您的年龄（单选）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51岁及以上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41—50岁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26.5%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31—40岁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61.1%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30岁及以下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Sheet1!L2:L163</w:t>
      </w:r>
    </w:p>
    <w:p>
      <w:pPr>
        <w:pStyle w:val="Heading2"/>
      </w:pPr>
      <w:r>
        <w:t>Q6 6.您的最高学历（单选）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博士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硕士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54.3%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本科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大专及以下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Sheet1!M2:M163</w:t>
      </w:r>
    </w:p>
    <w:p>
      <w:pPr>
        <w:pStyle w:val="Heading2"/>
      </w:pPr>
      <w:r>
        <w:t>Q7 7.您的专业背景（单选）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财会审计类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87.7%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医疗/护理类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卫生管理类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经济金融类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信息技术类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Sheet1!N2:N163</w:t>
      </w:r>
    </w:p>
    <w:p>
      <w:pPr>
        <w:pStyle w:val="Heading2"/>
      </w:pPr>
      <w:r>
        <w:t xml:space="preserve">Q8 8.您的职称（单选）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正高级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15.4%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副高级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30.9%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中级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初级及以下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未评聘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Sheet1!O2:O163</w:t>
      </w:r>
    </w:p>
    <w:p>
      <w:pPr>
        <w:pStyle w:val="Heading2"/>
      </w:pPr>
      <w:r>
        <w:t>Q9 9.您从事卫生健康经济管理相关工作的年限（单选）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20年以上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11—20年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6—10年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27.8%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3—5年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3年以下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Sheet1!P2:P163</w:t>
      </w:r>
    </w:p>
    <w:p>
      <w:pPr>
        <w:pStyle w:val="Heading2"/>
      </w:pPr>
      <w:r>
        <w:t>Q10 10.贵院岗位与机构设置情况（分别勾选）—设置总会计师岗位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1210"/>
        <w:gridCol w:w="1210"/>
        <w:gridCol w:w="1210"/>
        <w:gridCol w:w="1411"/>
      </w:tblGrid>
      <w:tr>
        <w:trPr>
          <w:tblHeader/>
        </w:trPr>
        <w:tc>
          <w:tcPr>
            <w:tcW w:type="dxa" w:w="504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是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否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是比例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设置总会计师岗位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109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67.3%</w:t>
            </w:r>
          </w:p>
        </w:tc>
      </w:tr>
      <w:tr>
        <w:tc>
          <w:tcPr>
            <w:tcW w:type="dxa" w:w="504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设立独立运营管理部门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102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63.0%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设置独立医保管理部门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504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设置独立内部审计部门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明确经济管理人员培养归口管理部门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86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46.9%</w:t>
            </w:r>
          </w:p>
        </w:tc>
      </w:tr>
    </w:tbl>
    <w:p/>
    <w:p>
      <w:pPr>
        <w:pStyle w:val="Caption"/>
      </w:pPr>
      <w:r>
        <w:t>数值编码1=是、2=否，已与文本版交叉核对。</w:t>
      </w:r>
    </w:p>
    <w:p>
      <w:pPr>
        <w:pStyle w:val="Caption"/>
      </w:pPr>
      <w:r>
        <w:t>数据追溯  数值版 Sheet1!Q2:U163</w:t>
      </w:r>
    </w:p>
    <w:p>
      <w:pPr>
        <w:pStyle w:val="Heading2"/>
      </w:pPr>
      <w:r>
        <w:t>Q11 (1)11.贵院经济管理人员队伍结构（填写人数，本部分所称经济管理人员，是指总会计师、财务（不含窗口收费人员）、审计、运营、合规、医保、绩效等部门人员，下同。） 在岗总人数___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31"/>
        <w:gridCol w:w="1008"/>
        <w:gridCol w:w="1008"/>
        <w:gridCol w:w="1210"/>
        <w:gridCol w:w="1008"/>
        <w:gridCol w:w="1008"/>
        <w:gridCol w:w="907"/>
      </w:tblGrid>
      <w:tr>
        <w:trPr>
          <w:tblHeader/>
        </w:trPr>
        <w:tc>
          <w:tcPr>
            <w:tcW w:type="dxa" w:w="393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有效数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空白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非空无效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计数和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中位数</w:t>
            </w:r>
          </w:p>
        </w:tc>
        <w:tc>
          <w:tcPr>
            <w:tcW w:type="dxa" w:w="907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最大值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在岗总人数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98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12573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其中:博士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523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硕士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1909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本科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5992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大专及以下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1672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职称:正高级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479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副高级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1544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中级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3086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初级及以下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4117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专业背景:财会审计类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1985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医疗/护理类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85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75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5495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卫生管理类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84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信息技术类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200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经济金融类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84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193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78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944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500</w:t>
            </w:r>
          </w:p>
        </w:tc>
      </w:tr>
    </w:tbl>
    <w:p/>
    <w:p>
      <w:pPr>
        <w:pStyle w:val="Caption"/>
      </w:pPr>
      <w:r>
        <w:t>每列使用各自有效非负整数记录；空白与非数值分别报告。计数合计未经医院去重，不能视为独立人员总量。Q12明确允许同人多证。</w:t>
      </w:r>
    </w:p>
    <w:p>
      <w:pPr>
        <w:pStyle w:val="Caption"/>
      </w:pPr>
      <w:r>
        <w:t>数据追溯  数值版 Sheet1!V2:AJ163</w:t>
      </w:r>
    </w:p>
    <w:p>
      <w:pPr>
        <w:pStyle w:val="Heading2"/>
      </w:pPr>
      <w:r>
        <w:t>Q12 (1)12.贵院经济管理人员中持有会计、审计、经济专业技术资格或CPA/CMA/CIA等职业资格的人员情况（同一人持有多项资格的分别计入） 正高级专业技术资格___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31"/>
        <w:gridCol w:w="1008"/>
        <w:gridCol w:w="1008"/>
        <w:gridCol w:w="1210"/>
        <w:gridCol w:w="1008"/>
        <w:gridCol w:w="1008"/>
        <w:gridCol w:w="907"/>
      </w:tblGrid>
      <w:tr>
        <w:trPr>
          <w:tblHeader/>
        </w:trPr>
        <w:tc>
          <w:tcPr>
            <w:tcW w:type="dxa" w:w="393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有效数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空白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非空无效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计数和</w:t>
            </w:r>
          </w:p>
        </w:tc>
        <w:tc>
          <w:tcPr>
            <w:tcW w:type="dxa" w:w="100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中位数</w:t>
            </w:r>
          </w:p>
        </w:tc>
        <w:tc>
          <w:tcPr>
            <w:tcW w:type="dxa" w:w="907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最大值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正高级专业技术资格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68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副高级专业技术资格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329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中级专业技术资格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799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36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初级及以下专业技术资格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971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注册会计师（CPA）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87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73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0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</w:t>
            </w:r>
          </w:p>
        </w:tc>
        <w:tc>
          <w:tcPr>
            <w:tcW w:type="dxa" w:w="9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管理会计师（CMA）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78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</w:t>
            </w:r>
          </w:p>
        </w:tc>
        <w:tc>
          <w:tcPr>
            <w:tcW w:type="dxa" w:w="100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</w:t>
            </w:r>
          </w:p>
        </w:tc>
        <w:tc>
          <w:tcPr>
            <w:tcW w:type="dxa" w:w="907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</w:tr>
    </w:tbl>
    <w:p/>
    <w:p>
      <w:pPr>
        <w:pStyle w:val="Caption"/>
      </w:pPr>
      <w:r>
        <w:t>每列使用各自有效非负整数记录；空白与非数值分别报告。计数合计未经医院去重，不能视为独立人员总量。Q12明确允许同人多证。</w:t>
      </w:r>
    </w:p>
    <w:p>
      <w:pPr>
        <w:pStyle w:val="Caption"/>
      </w:pPr>
      <w:r>
        <w:t>数据追溯  数值版 Sheet1!AK2:AP163</w:t>
      </w:r>
    </w:p>
    <w:p>
      <w:pPr>
        <w:pStyle w:val="Heading2"/>
      </w:pPr>
      <w:r>
        <w:t>Q13 13.贵院经济管理人员配置的充足程度（单选）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严重不足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相对不足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基本满足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比较充足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7.4%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Sheet1!AQ2:AQ163</w:t>
      </w:r>
    </w:p>
    <w:p>
      <w:pPr>
        <w:pStyle w:val="Heading2"/>
      </w:pPr>
      <w:r>
        <w:t>Q14 14.当前最紧缺的岗位（可多选，最多3项）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成本核算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预算管理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36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运营分析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57.4%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医保管理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13.0%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内部审计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物价管理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6.8%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绩效管理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数据分析/信息化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综合财务管理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38.9%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Sheet1!AR2:AZ163</w:t>
      </w:r>
    </w:p>
    <w:p>
      <w:pPr>
        <w:pStyle w:val="Heading2"/>
      </w:pPr>
      <w:r>
        <w:t>Q15 15.贵院是否建立了经济管理人员培养培训制度并落实到位（单选）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有制度且落实到位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19.8%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有制度但落实不足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无系统制度安排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50.0%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Sheet1!BA2:BA163</w:t>
      </w:r>
    </w:p>
    <w:p>
      <w:pPr>
        <w:pStyle w:val="Heading2"/>
      </w:pPr>
      <w:r>
        <w:t>Q16 16.贵院经济管理人员年人均培训学时（单选）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20学时以下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20—40学时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32.7%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41—60学时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61—90学时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90学时以上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11.1%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Sheet1!BB2:BB163</w:t>
      </w:r>
    </w:p>
    <w:p>
      <w:pPr>
        <w:pStyle w:val="Heading2"/>
      </w:pPr>
      <w:r>
        <w:t>Q17 17.贵院现有培养培训的内容（可多选）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会计准则与制度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预算绩效管理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61.7%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DRG/DIP与医保政策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59.9%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成本核算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信息化与数据工具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管理沟通与领导力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政策法规与合规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52.5%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Sheet1!BC2:BJ163</w:t>
      </w:r>
    </w:p>
    <w:p>
      <w:pPr>
        <w:pStyle w:val="Heading2"/>
      </w:pPr>
      <w:r>
        <w:t>Q18 18.贵院现有培养培训的方式（可多选）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院内讲座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外派短期集中培训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75.3%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学历学位教育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34.0%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跟岗学习/轮岗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线上课程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导师制带教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学术会议与专题研讨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41.4%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Sheet1!BK2:BQ163</w:t>
      </w:r>
    </w:p>
    <w:p>
      <w:pPr>
        <w:pStyle w:val="Heading2"/>
      </w:pPr>
      <w:r>
        <w:t>Q19 19.当前培养培训工作存在的主要问题（可多选，最多4项）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培训内容脱离医院实务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28.4%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短期集中为主、缺乏跟踪管理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108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66.7%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缺乏效果评估机制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分层分类不够、针对性不强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师资力量不足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工作学习矛盾突出、时间难保障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缺乏考核激励、学用脱节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经费投入不足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36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Sheet1!BR2:BZ163</w:t>
      </w:r>
    </w:p>
    <w:p>
      <w:pPr>
        <w:pStyle w:val="Heading2"/>
      </w:pPr>
      <w:r>
        <w:t xml:space="preserve">Q20 20.贵院业财融合推进程度（单选）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尚未起步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试点探索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部分领域推进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全面推进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19.1%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深度融合发展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Sheet1!CA2:CA163</w:t>
      </w:r>
    </w:p>
    <w:p>
      <w:pPr>
        <w:pStyle w:val="Heading2"/>
      </w:pPr>
      <w:r>
        <w:t xml:space="preserve">Q21 21.贵院业财融合已实施的管理举措（可多选）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DRG/DIP医保支付方式改革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全面预算管理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78.4%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全成本核算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公立医院绩效考核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74.7%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内部控制建设与财会监督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智慧医院/运营数据中心建设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45.1%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Sheet1!CB2:CH163</w:t>
      </w:r>
    </w:p>
    <w:p>
      <w:pPr>
        <w:pStyle w:val="Heading2"/>
      </w:pPr>
      <w:r>
        <w:t>Q22 22.现有队伍与“懂业务、通财务、善管理、会数据、防风险”复合型人才要求的差距有多大?请在相应栏内打“✓”（1=差距很小，5=差距很大） —D1 懂业务:理解医疗业务流程与临床运行规律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懂业务:理解医疗业务流程与临床运行规律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 / 20 / 68 / 47 / 19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3.30±1.00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66/162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40.7%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D2 通财务:掌握财务、预算、成本专业知识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 / 44 / 43 / 29 / 13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2.66±1.22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25.9%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D3 善管理:具备运营管理与综合协调能力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 / 32 / 78 / 29 / 16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3.09±0.97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27.8%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D4 会数据:具备数字化工具与数据分析能力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 / 22 / 69 / 43 / 14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3.13±1.04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35.2%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D5 防风险:具备内控、审计与合规监督能力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 / 39 / 64 / 36 / 13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3.02±1.02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30.2%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Sheet1!CI2:CM163</w:t>
      </w:r>
    </w:p>
    <w:p>
      <w:pPr>
        <w:pStyle w:val="Heading2"/>
      </w:pPr>
      <w:r>
        <w:t>Q23 23.未来3年贵院最急需的经济管理人才类型（请排序前3位，1=最急需，2=次之，3=再次之）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31"/>
        <w:gridCol w:w="806"/>
        <w:gridCol w:w="806"/>
        <w:gridCol w:w="806"/>
        <w:gridCol w:w="1210"/>
        <w:gridCol w:w="1210"/>
        <w:gridCol w:w="1310"/>
      </w:tblGrid>
      <w:tr>
        <w:trPr>
          <w:tblHeader/>
        </w:trPr>
        <w:tc>
          <w:tcPr>
            <w:tcW w:type="dxa" w:w="393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第1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第2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第3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前三人数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首选率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前三率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成本与预算管理人才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83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17.9%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51.2%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运营管理人才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133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41.4%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82.1%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医保管理人才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25.9%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内审与监督人才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1.9%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11.7%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数据分析人才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14.2%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74.1%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综合管理人才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34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39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21.0%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54.9%</w:t>
            </w:r>
          </w:p>
        </w:tc>
      </w:tr>
    </w:tbl>
    <w:p/>
    <w:p>
      <w:pPr>
        <w:pStyle w:val="Caption"/>
      </w:pPr>
      <w:r>
        <w:t>首选率与前三入选率分别报告；3、2、1加权分仅为透明描述性排序，不是问卷原有量表或已验证效用。</w:t>
      </w:r>
    </w:p>
    <w:p>
      <w:pPr>
        <w:pStyle w:val="Caption"/>
      </w:pPr>
      <w:r>
        <w:t>数据追溯  数值版 Sheet1!CN2:CS163</w:t>
      </w:r>
    </w:p>
    <w:p>
      <w:pPr>
        <w:pStyle w:val="Heading2"/>
      </w:pPr>
      <w:r>
        <w:t>Q24 24.对分层分类培养模式各层级培养重点的认同程度（1=很不认同，5=很认同），请在相应栏内打“✓” —E1 新入职人员:夯实财务、医疗、管理、信息交叉基础，强化跟岗实训与基本制度规范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E1 新入职人员:夯实财务、医疗、管理、信息交叉基础，强化跟岗实训与基本制度规范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 / 4 / 13 / 29 / 111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4.46±0.97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86.4%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E2 业务骨干人员:围绕预算绩效、成本核算、数智运营、风控监督等专项能力系统深化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 / 1 / 12 / 26 / 119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4.57±0.85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145/162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89.5%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E3 中层管理人员:提升运营管理、跨部门协同与团队带教能力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 / 2 / 11 / 25 / 120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4.57±0.87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145/162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89.5%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E4 领军人才（总会计师及院领导）:提升战略思维、行业引领与穿透式监管能力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 / 1 / 8 / 25 / 123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4.60±0.87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148/162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91.4%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Sheet1!CT2:CW163</w:t>
      </w:r>
    </w:p>
    <w:p>
      <w:pPr>
        <w:pStyle w:val="Heading2"/>
      </w:pPr>
      <w:r>
        <w:t>Q25 25.您认为最有效的培养方式（请选出3项并排序，1=最有效，2=次之，3=再次之）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31"/>
        <w:gridCol w:w="806"/>
        <w:gridCol w:w="806"/>
        <w:gridCol w:w="806"/>
        <w:gridCol w:w="1210"/>
        <w:gridCol w:w="1210"/>
        <w:gridCol w:w="1310"/>
      </w:tblGrid>
      <w:tr>
        <w:trPr>
          <w:tblHeader/>
        </w:trPr>
        <w:tc>
          <w:tcPr>
            <w:tcW w:type="dxa" w:w="393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第1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第2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第3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前三人数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首选率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前三率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双导师制（业务导师+财务导师）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20.4%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38.3%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跟岗实训/实训医院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65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125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40.1%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77.2%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真实案例教学与案例库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39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13.0%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55.6%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项目制学习（参与实际管理项目）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95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18.5%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58.6%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学历学位教育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短期专题研修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17.3%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线上自主学习平台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跨部门交流挂职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5.6%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44.4%</w:t>
            </w:r>
          </w:p>
        </w:tc>
      </w:tr>
    </w:tbl>
    <w:p/>
    <w:p>
      <w:pPr>
        <w:pStyle w:val="Caption"/>
      </w:pPr>
      <w:r>
        <w:t>首选率与前三入选率分别报告；3、2、1加权分仅为透明描述性排序，不是问卷原有量表或已验证效用。</w:t>
      </w:r>
    </w:p>
    <w:p>
      <w:pPr>
        <w:pStyle w:val="Caption"/>
      </w:pPr>
      <w:r>
        <w:t>数据追溯  数值版 Sheet1!CX2:DE163</w:t>
      </w:r>
    </w:p>
    <w:p>
      <w:pPr>
        <w:pStyle w:val="Heading2"/>
      </w:pPr>
      <w:r>
        <w:t>Q26 26.下列课程模块对人才培养的必要程度（1=很没必要，5=很有必要），请在相应栏内打“✓” —F1 战略管理与领导力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F1 战略管理与领导力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5 / 26 / 49 / 82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4.28±0.84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131/162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80.9%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F2 卫生政策与财经法规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13 / 41 / 106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4.55±0.70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147/162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90.7%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F3 医疗业务流程与临床认知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11 / 49 / 101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4.54±0.65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F4 跨部门沟通与协同管理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0 / 10 / 42 / 110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4.62±0.60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152/162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93.8%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F5 DRG/DIP与医保精细化管理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12 / 44 / 105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4.56±0.66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92.0%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F6 预算管理与绩效评价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9 / 44 / 107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4.58±0.66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F7 成本核算与运营分析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5 / 45 / 111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4.64±0.58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156/162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96.3%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F8 数智化运营与数据分析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0 / 6 / 37 / 119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4.70±0.54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156/162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96.3%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F9 内部控制、审计与风险防控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17 / 38 / 106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4.54±0.71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144/162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88.9%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F10 科教管理与成果转化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10 / 37 / 54 / 60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4.00±0.95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114/162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70.4%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Sheet1!DF2:DO163</w:t>
      </w:r>
    </w:p>
    <w:p>
      <w:pPr>
        <w:pStyle w:val="Heading2"/>
      </w:pPr>
      <w:r>
        <w:t>Q27 27.下列培养方式对人才培养的支持作用（1=作用很小，5=作用很大），请在相应栏内打“✓” —G1 案例库与教学案例开发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G1 案例库与教学案例开发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3 / 18 / 53 / 87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4.37±0.80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86.4%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G2 实训基地（实训医院）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14 / 47 / 100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4.52±0.68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147/162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90.7%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G3 线上学习平台与移动微课堂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 / 13 / 44 / 55 / 47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3.80±1.01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102/162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63.0%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G4 真实管理项目池（项目制学习）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12 / 51 / 97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4.50±0.69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148/162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91.4%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G5 虚拟运营沙盘演练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 / 7 / 41 / 56 / 53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3.90±1.01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109/162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67.3%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Sheet1!DP2:DT163</w:t>
      </w:r>
    </w:p>
    <w:p>
      <w:pPr>
        <w:pStyle w:val="Heading2"/>
      </w:pPr>
      <w:r>
        <w:t xml:space="preserve">Q28 28.贵院与院校、专业机构的合作形式（可多选）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共建课程体系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共建案例库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35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共建实践基地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联合开展岗位能力评价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互派师资/导师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8.0%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委托开展专项培训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尚无合作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49.4%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Sheet1!DU2:EA163</w:t>
      </w:r>
    </w:p>
    <w:p>
      <w:pPr>
        <w:pStyle w:val="Heading2"/>
      </w:pPr>
      <w:r>
        <w:t>Q29 29.贵院与院校、专业机构的 “业务导师+财务导师”双导师制（单选）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已实施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有意愿、一年内启动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有意愿但条件暂不具备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56.2%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暂无意愿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32.1%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Sheet1!EB2:EB163</w:t>
      </w:r>
    </w:p>
    <w:p>
      <w:pPr>
        <w:pStyle w:val="Heading2"/>
      </w:pPr>
      <w:r>
        <w:t>Q30 30.贵院对培养效果的评估与结果运用方式（可多选）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阶段性测试或结业考核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26.5%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培训前后绩效指标对照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22.8%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成果汇报与案例产出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培训结果与考核、聘任挂钩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尚无系统评估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85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52.5%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Sheet1!EC2:EG163</w:t>
      </w:r>
    </w:p>
    <w:p>
      <w:pPr>
        <w:pStyle w:val="Heading2"/>
      </w:pPr>
      <w:r>
        <w:t>Q31 31.您认为经济管理骨干成长为复合型人才所需的合理培养周期（单选）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3年以下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3—5年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6—10年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10年及以上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4.9%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Sheet1!EH2:EH163</w:t>
      </w:r>
    </w:p>
    <w:p>
      <w:pPr>
        <w:pStyle w:val="Heading2"/>
      </w:pPr>
      <w:r>
        <w:t>Q32 32.下列院内长效保障机制对人才培养落地的重要程度（1=很不重要，5=很重要），请在相应栏内打“✓”—H1 组织领导与归口管理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H1 组织领导与归口管理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11 / 39 / 110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4.59±0.67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92.0%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H2 岗位设置与总会计师制度落实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1 / 17 / 47 / 96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4.46±0.76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143/162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88.3%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H3 师资队伍建设（双师型、行业导师库）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5 / 20 / 60 / 77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4.29±0.80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137/162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84.6%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H4 经费投入保障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3 / 8 / 47 / 104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4.56±0.68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H5 考核激励与培训结果运用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8 / 44 / 108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4.59±0.65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152/162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93.8%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H6 职业发展通道与职称晋升衔接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5 / 41 / 114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4.65±0.61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155/162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95.7%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H7 学习时间保障与安排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13 / 46 / 101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4.52±0.70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147/162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90.7%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H8 信息化学习平台与培训档案管理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26 / 61 / 73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4.27±0.77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134/162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82.7%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Sheet1!EI2:EP163</w:t>
      </w:r>
    </w:p>
    <w:p>
      <w:pPr>
        <w:pStyle w:val="Heading2"/>
      </w:pPr>
      <w:r>
        <w:t>Q33 33.对下列人才培养体系机制建设的认同程度（1=很不支持，5=很支持），请在相应栏内打“✓” —I1 建立分层分类培训体系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I1 建立分层分类培训体系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8 / 45 / 108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4.60±0.61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153/162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94.4%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I2 建立岗位胜任力评价体系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12 / 45 / 104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4.56±0.66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92.0%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I3 建立行业经济管理人才库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16 / 43 / 102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4.52±0.70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145/162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89.5%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I4 建立行业师资库与课程认证制度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18 / 49 / 94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4.46±0.71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143/162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88.3%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I5 继续教育学分与职称评审衔接制度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3 / 16 / 48 / 94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4.43±0.79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142/162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87.7%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Sheet1!EQ2:EU163</w:t>
      </w:r>
    </w:p>
    <w:p>
      <w:pPr>
        <w:pStyle w:val="Heading2"/>
      </w:pPr>
      <w:r>
        <w:t>Q34 34.培养结果与考核激励挂钩方式的选择（单选;下列挂钩方式的必要程度1=很没必要，5=很有必要），请在相应栏内打"✓" —J1 评优评先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J1 评优评先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 / 4 / 18 / 38 / 100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4.42±0.88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138/162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85.2%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J2 岗位聘任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4 / 7 / 37 / 113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4.59±0.74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J3   薪酬激励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5 / 6 / 38 / 112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4.57±0.76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J4   职称推荐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3 / 5 / 39 / 114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4.62±0.70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153/162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94.4%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J5 人才计划推荐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2 / 9 / 37 / 113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4.60±0.71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Sheet1!EV2:EZ163</w:t>
      </w:r>
    </w:p>
    <w:p>
      <w:pPr>
        <w:pStyle w:val="Heading2"/>
      </w:pPr>
      <w:r>
        <w:t>Q35 35.贵院经济管理人员职业发展通道各环节的畅通程度（1=严重梗阻，5=非常畅通），请在相应栏内打"✓" —K1 职称评审与聘任通道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K1 职称评审与聘任通道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 / 14 / 41 / 48 / 50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3.72±1.16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98/162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60.5%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K2 岗位层级与职务晋升通道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 / 15 / 50 / 46 / 43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3.62±1.12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54.9%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K3 跨部门轮岗与交流通道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 / 23 / 56 / 36 / 39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3.46±1.15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75/162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46.3%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K4 专业能力进阶与培训通道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 / 8 / 53 / 47 / 49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3.78±1.03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96/162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59.3%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K5 领军人才与后备人才成长通道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 / 10 / 52 / 46 / 47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3.72±1.08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57.4%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K6 薪酬待遇与个人价值体现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 / 17 / 49 / 52 / 39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3.64±1.06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56.2%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Sheet1!FA2:FF163</w:t>
      </w:r>
    </w:p>
    <w:p>
      <w:pPr>
        <w:pStyle w:val="Heading2"/>
      </w:pPr>
      <w:r>
        <w:t>Q36 36.贵院经济管理人员年人均培训经费（单选）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1000元以下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29.6%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1000—3000元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3000—5000元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5000—10000元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10000元以上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Sheet1!FG2:FG163</w:t>
      </w:r>
    </w:p>
    <w:p>
      <w:pPr>
        <w:pStyle w:val="Heading2"/>
      </w:pPr>
      <w:r>
        <w:t>Q37 37.贵院经济管理人员培养经费来源（可多选）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单位预算安排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91.4%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主管部门专项经费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38.3%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学会/协会项目支持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个人承担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1.2%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Sheet1!FH2:FL163</w:t>
      </w:r>
    </w:p>
    <w:p>
      <w:pPr>
        <w:pStyle w:val="Heading2"/>
      </w:pPr>
      <w:r>
        <w:t>Q38 38.您最希望主管部门出台的政策支持（请排序前3位，1=最迫切，2=次之，3=再次之）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31"/>
        <w:gridCol w:w="806"/>
        <w:gridCol w:w="806"/>
        <w:gridCol w:w="806"/>
        <w:gridCol w:w="1210"/>
        <w:gridCol w:w="1210"/>
        <w:gridCol w:w="1310"/>
      </w:tblGrid>
      <w:tr>
        <w:trPr>
          <w:tblHeader/>
        </w:trPr>
        <w:tc>
          <w:tcPr>
            <w:tcW w:type="dxa" w:w="393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第1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第2</w:t>
            </w:r>
          </w:p>
        </w:tc>
        <w:tc>
          <w:tcPr>
            <w:tcW w:type="dxa" w:w="80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第3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前三人数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首选率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前三率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纳入卫生健康人才发展规划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72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44.4%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74.1%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设立专项培养经费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46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106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20.4%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65.4%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学时学分认定与职称衔接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4.3%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26.5%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高端人才计划倾斜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68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10.5%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42.0%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实训基地与师资库建设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17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5.6%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25.9%</w:t>
            </w:r>
          </w:p>
        </w:tc>
      </w:tr>
      <w:tr>
        <w:tc>
          <w:tcPr>
            <w:tcW w:type="dxa" w:w="393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岗位设置与编制保障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</w:t>
            </w:r>
          </w:p>
        </w:tc>
        <w:tc>
          <w:tcPr>
            <w:tcW w:type="dxa" w:w="80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6.8%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29.0%</w:t>
            </w:r>
          </w:p>
        </w:tc>
      </w:tr>
      <w:tr>
        <w:tc>
          <w:tcPr>
            <w:tcW w:type="dxa" w:w="3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薪酬激励政策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</w:t>
            </w:r>
          </w:p>
        </w:tc>
        <w:tc>
          <w:tcPr>
            <w:tcW w:type="dxa" w:w="8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8.0%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37.0%</w:t>
            </w:r>
          </w:p>
        </w:tc>
      </w:tr>
    </w:tbl>
    <w:p/>
    <w:p>
      <w:pPr>
        <w:pStyle w:val="Caption"/>
      </w:pPr>
      <w:r>
        <w:t>首选率与前三入选率分别报告；3、2、1加权分仅为透明描述性排序，不是问卷原有量表或已验证效用。</w:t>
      </w:r>
    </w:p>
    <w:p>
      <w:pPr>
        <w:pStyle w:val="Caption"/>
      </w:pPr>
      <w:r>
        <w:t>数据追溯  数值版 Sheet1!FM2:FS163</w:t>
      </w:r>
    </w:p>
    <w:p>
      <w:pPr>
        <w:pStyle w:val="Heading2"/>
      </w:pPr>
      <w:r>
        <w:t>Q39 39.贵院人才培养组织管理情况（分别勾选）—成立人才培养领导小组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1210"/>
        <w:gridCol w:w="1210"/>
        <w:gridCol w:w="1210"/>
        <w:gridCol w:w="1411"/>
      </w:tblGrid>
      <w:tr>
        <w:trPr>
          <w:tblHeader/>
        </w:trPr>
        <w:tc>
          <w:tcPr>
            <w:tcW w:type="dxa" w:w="504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是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否</w:t>
            </w:r>
          </w:p>
        </w:tc>
        <w:tc>
          <w:tcPr>
            <w:tcW w:type="dxa" w:w="12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是比例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成立人才培养领导小组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115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29.0%</w:t>
            </w:r>
          </w:p>
        </w:tc>
      </w:tr>
      <w:tr>
        <w:tc>
          <w:tcPr>
            <w:tcW w:type="dxa" w:w="504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明确人才培养归口管理部门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56.2%</w:t>
            </w:r>
          </w:p>
        </w:tc>
      </w:tr>
      <w:tr>
        <w:tc>
          <w:tcPr>
            <w:tcW w:type="dxa" w:w="50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制定中长期人才培养规划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</w:t>
            </w:r>
          </w:p>
        </w:tc>
        <w:tc>
          <w:tcPr>
            <w:tcW w:type="dxa" w:w="12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42.6%</w:t>
            </w:r>
          </w:p>
        </w:tc>
      </w:tr>
      <w:tr>
        <w:tc>
          <w:tcPr>
            <w:tcW w:type="dxa" w:w="504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建立培养档案与学时台账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111</w:t>
            </w:r>
          </w:p>
        </w:tc>
        <w:tc>
          <w:tcPr>
            <w:tcW w:type="dxa" w:w="12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31.5%</w:t>
            </w:r>
          </w:p>
        </w:tc>
      </w:tr>
    </w:tbl>
    <w:p/>
    <w:p>
      <w:pPr>
        <w:pStyle w:val="Caption"/>
      </w:pPr>
      <w:r>
        <w:t>数值编码1=是、2=否，已与文本版交叉核对。</w:t>
      </w:r>
    </w:p>
    <w:p>
      <w:pPr>
        <w:pStyle w:val="Caption"/>
      </w:pPr>
      <w:r>
        <w:t>数据追溯  数值版 Sheet1!FT2:FW163</w:t>
      </w:r>
    </w:p>
    <w:p>
      <w:pPr>
        <w:pStyle w:val="Heading2"/>
      </w:pPr>
      <w:r>
        <w:t>Q40 40.对“在校培养—岗位适应—能力提升—领军人才”四阶段全链条培养路径各环节重点的认同程度（1=很不认同，5=很认同），请在相应栏内打“✓”—L1 在校培养阶段:夯实财务、医疗、管理、信息交叉基础知识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L1 在校培养阶段:夯实财务、医疗、管理、信息交叉基础知识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1 / 11 / 42 / 107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4.56±0.70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92.0%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L2 岗位适应阶段:通过跟岗实训、轮岗实现实务能力转化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1 / 9 / 36 / 115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4.62±0.68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L3 能力提升阶段:围绕预算绩效、数智运营、合规风控等专项系统深化进修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1 / 9 / 29 / 122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4.67±0.67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L4 领军人才阶段:提升战略思维与行业引领、穿透式监管能力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 / 0 / 10 / 32 / 119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4.65±0.65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Sheet1!FX2:GA163</w:t>
      </w:r>
    </w:p>
    <w:p>
      <w:pPr>
        <w:pStyle w:val="Heading2"/>
      </w:pPr>
      <w:r>
        <w:t>Q41 41.贵院经济管理人员跨部门轮岗开展情况（单选）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常态化开展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偶尔开展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49.4%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从未开展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27.2%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Sheet1!GB2:GB163</w:t>
      </w:r>
    </w:p>
    <w:p>
      <w:pPr>
        <w:pStyle w:val="Heading2"/>
      </w:pPr>
      <w:r>
        <w:t>Q42 42.贵院经济管理人员跨部门轮岗频次（单选）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比例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每年一轮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每三年一轮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18.5%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每五年一轮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22.2%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55.6%</w:t>
            </w:r>
          </w:p>
        </w:tc>
      </w:tr>
    </w:tbl>
    <w:p/>
    <w:p>
      <w:pPr>
        <w:pStyle w:val="Caption"/>
      </w:pPr>
      <w:r>
        <w:t>按原题编码和文本标签统计；其他选项中的填写内容不公开。仅展示本样本实际出现的编码。</w:t>
      </w:r>
    </w:p>
    <w:p>
      <w:pPr>
        <w:pStyle w:val="Caption"/>
      </w:pPr>
      <w:r>
        <w:t>数据追溯  数值版 Sheet1!GC2:GC163</w:t>
      </w:r>
    </w:p>
    <w:p>
      <w:pPr>
        <w:pStyle w:val="Heading2"/>
      </w:pPr>
      <w:r>
        <w:t>Q43 43.下列实战项目历练对能力提升的重要程度（1=很不重要，5=很重要），请在相应栏内打“✓” —M1 参与年度预算编制与执行分析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34"/>
        <w:gridCol w:w="2016"/>
        <w:gridCol w:w="1411"/>
        <w:gridCol w:w="1310"/>
        <w:gridCol w:w="1109"/>
      </w:tblGrid>
      <w:tr>
        <w:trPr>
          <w:tblHeader/>
        </w:trPr>
        <w:tc>
          <w:tcPr>
            <w:tcW w:type="dxa" w:w="42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子项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1至5分人数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均值±标准差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4至5分 n/N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高分比例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M1 参与年度预算编制与执行分析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4 / 8 / 39 / 111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4.59±0.70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150/162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92.6%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M2 参与成本核算与病种盈亏分析项目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12 / 29 / 120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4.65±0.64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149/162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92.0%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M3 参与内部控制建设与内部控制评价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14 / 47 / 99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4.50±0.71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146/162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90.1%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M4 参与运营分析、报告撰写与决策支持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0 / 11 / 30 / 121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4.68±0.60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151/162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93.2%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M5 参与审计监督与财会监督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3 / 16 / 48 / 95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4.45±0.75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143/162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88.3%</w:t>
            </w:r>
          </w:p>
        </w:tc>
      </w:tr>
      <w:tr>
        <w:tc>
          <w:tcPr>
            <w:tcW w:type="dxa" w:w="42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M6 参与绩效分配方案设计与更正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2 / 16 / 46 / 98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4.48±0.72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144/162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88.9%</w:t>
            </w:r>
          </w:p>
        </w:tc>
      </w:tr>
      <w:tr>
        <w:tc>
          <w:tcPr>
            <w:tcW w:type="dxa" w:w="42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M7 参与医保收费、物价检查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 / 1 / 19 / 46 / 96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4.46±0.72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142/162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87.7%</w:t>
            </w:r>
          </w:p>
        </w:tc>
      </w:tr>
    </w:tbl>
    <w:p/>
    <w:p>
      <w:pPr>
        <w:pStyle w:val="Caption"/>
      </w:pPr>
      <w:r>
        <w:t>保留完整五级分布，均值为辅助描述。Q22高分代表差距较大；Q35高分代表通道较畅通；其余各题以原题锚点解释。不同量表不能简单合并为人才能力总分。</w:t>
      </w:r>
    </w:p>
    <w:p>
      <w:pPr>
        <w:pStyle w:val="Caption"/>
      </w:pPr>
      <w:r>
        <w:t>数据追溯  数值版 Sheet1!GD2:GJ163</w:t>
      </w:r>
    </w:p>
    <w:p>
      <w:pPr>
        <w:pStyle w:val="Heading2"/>
      </w:pPr>
      <w:r>
        <w:t>Q44 44.您认为可行的实践基地建设路径（可多选）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院内设立实训岗位与教学点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73.5%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依托区域龙头医院建立实训基地联盟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129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79.6%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依托第三方共建实践基地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54.3%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其他（请注明）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Sheet1!GK2:GN163</w:t>
      </w:r>
    </w:p>
    <w:p>
      <w:pPr>
        <w:pStyle w:val="Heading2"/>
      </w:pPr>
      <w:r>
        <w:t>Q45 45.贵院培养成果转化途径（可多选）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改进工作:将培养成果转化为实际管理改进举措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139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85.8%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案例总结:提炼形成典型案例并交流推广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126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77.8%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决策参考:形成分析建议，为领导决策提供参考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80.9%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其他（请注明）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Sheet1!GO2:GR163</w:t>
      </w:r>
    </w:p>
    <w:p>
      <w:pPr>
        <w:pStyle w:val="Heading2"/>
      </w:pPr>
      <w:r>
        <w:t>Q46 46.您认为培养成果难以转化落地的主要障碍是（可多选，最多3项）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1512"/>
        <w:gridCol w:w="1512"/>
        <w:gridCol w:w="1512"/>
      </w:tblGrid>
      <w:tr>
        <w:trPr>
          <w:tblHeader/>
        </w:trPr>
        <w:tc>
          <w:tcPr>
            <w:tcW w:type="dxa" w:w="554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选项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选择人数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分母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选择率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培养内容与实际工作需求脱节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53.1%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实践锻炼与项目历练机会不足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126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77.8%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考核激励与结果运用机制不完善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96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59.3%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职业发展通道与职称晋升衔接不畅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37.0%</w:t>
            </w:r>
          </w:p>
        </w:tc>
      </w:tr>
      <w:tr>
        <w:tc>
          <w:tcPr>
            <w:tcW w:type="dxa" w:w="55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师资与经费投入不足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554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其他（请注明）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0.6%</w:t>
            </w:r>
          </w:p>
        </w:tc>
      </w:tr>
    </w:tbl>
    <w:p/>
    <w:p>
      <w:pPr>
        <w:pStyle w:val="Caption"/>
      </w:pPr>
      <w:r>
        <w:t>分母为全部162份答卷；多选比例之和可超过100%。未勾选不能等同独立核实没有。</w:t>
      </w:r>
    </w:p>
    <w:p>
      <w:pPr>
        <w:pStyle w:val="Caption"/>
      </w:pPr>
      <w:r>
        <w:t>数据追溯  数值版 Sheet1!GS2:GX163</w:t>
      </w:r>
    </w:p>
    <w:p>
      <w:pPr>
        <w:pStyle w:val="Heading2"/>
      </w:pPr>
      <w:r>
        <w:t>Q47 47.您对业财融合视角下卫生健康经济管理人才培养模式、机制建设与实践路径的意见建议: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34"/>
        <w:gridCol w:w="1915"/>
        <w:gridCol w:w="2016"/>
        <w:gridCol w:w="1814"/>
      </w:tblGrid>
      <w:tr>
        <w:trPr>
          <w:tblHeader/>
        </w:trPr>
        <w:tc>
          <w:tcPr>
            <w:tcW w:type="dxa" w:w="433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1915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涉及意见数</w:t>
            </w:r>
          </w:p>
        </w:tc>
        <w:tc>
          <w:tcPr>
            <w:tcW w:type="dxa" w:w="201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实质意见分母</w:t>
            </w:r>
          </w:p>
        </w:tc>
        <w:tc>
          <w:tcPr>
            <w:tcW w:type="dxa" w:w="181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意见内比例</w:t>
            </w:r>
          </w:p>
        </w:tc>
      </w:tr>
      <w:tr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治理与组织支持</w:t>
            </w:r>
          </w:p>
        </w:tc>
        <w:tc>
          <w:tcPr>
            <w:tcW w:type="dxa" w:w="1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职业发展与公平激励</w:t>
            </w:r>
          </w:p>
        </w:tc>
        <w:tc>
          <w:tcPr>
            <w:tcW w:type="dxa" w:w="191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25.0%</w:t>
            </w:r>
          </w:p>
        </w:tc>
      </w:tr>
      <w:tr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实践应用</w:t>
            </w:r>
          </w:p>
        </w:tc>
        <w:tc>
          <w:tcPr>
            <w:tcW w:type="dxa" w:w="1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25.0%</w:t>
            </w:r>
          </w:p>
        </w:tc>
      </w:tr>
      <w:tr>
        <w:tc>
          <w:tcPr>
            <w:tcW w:type="dxa" w:w="433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经费或学习实践机会</w:t>
            </w:r>
          </w:p>
        </w:tc>
        <w:tc>
          <w:tcPr>
            <w:tcW w:type="dxa" w:w="191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</w:t>
            </w:r>
          </w:p>
        </w:tc>
        <w:tc>
          <w:tcPr>
            <w:tcW w:type="dxa" w:w="201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81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16.7%</w:t>
            </w:r>
          </w:p>
        </w:tc>
      </w:tr>
      <w:tr>
        <w:tc>
          <w:tcPr>
            <w:tcW w:type="dxa" w:w="43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协同与案例共享</w:t>
            </w:r>
          </w:p>
        </w:tc>
        <w:tc>
          <w:tcPr>
            <w:tcW w:type="dxa" w:w="1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8.3%</w:t>
            </w:r>
          </w:p>
        </w:tc>
      </w:tr>
    </w:tbl>
    <w:p/>
    <w:p>
      <w:pPr>
        <w:pStyle w:val="Caption"/>
      </w:pPr>
      <w:r>
        <w:t>实质意见12份，其他150份；关键词辅助、逐条人工复核的多标签探索性编码，主题可重叠，不公开原文或答卷标识；比例不能外推至全样本。</w:t>
      </w:r>
    </w:p>
    <w:p>
      <w:pPr>
        <w:pStyle w:val="Caption"/>
      </w:pPr>
      <w:r>
        <w:t>数据追溯  文本版 Sheet1!DY2:DY163；数值版GY2:GY163仅用于有无意见计数</w:t>
      </w:r>
    </w:p>
    <w:p>
      <w:r>
        <w:br w:type="page"/>
      </w:r>
    </w:p>
    <w:p>
      <w:pPr>
        <w:pStyle w:val="Heading1"/>
      </w:pPr>
      <w:r>
        <w:t>附录B 完整比较与追溯说明</w:t>
      </w:r>
    </w:p>
    <w:p>
      <w:pPr>
        <w:pStyle w:val="Heading2"/>
      </w:pPr>
      <w:r>
        <w:t>Q22全部配对比较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28"/>
        <w:gridCol w:w="1310"/>
        <w:gridCol w:w="2419"/>
        <w:gridCol w:w="1411"/>
        <w:gridCol w:w="1411"/>
      </w:tblGrid>
      <w:tr>
        <w:trPr>
          <w:tblHeader/>
        </w:trPr>
        <w:tc>
          <w:tcPr>
            <w:tcW w:type="dxa" w:w="3528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维度对</w:t>
            </w:r>
          </w:p>
        </w:tc>
        <w:tc>
          <w:tcPr>
            <w:tcW w:type="dxa" w:w="1310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均值差</w:t>
            </w:r>
          </w:p>
        </w:tc>
        <w:tc>
          <w:tcPr>
            <w:tcW w:type="dxa" w:w="241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95%区间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精确p</w:t>
            </w:r>
          </w:p>
        </w:tc>
        <w:tc>
          <w:tcPr>
            <w:tcW w:type="dxa" w:w="1411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10对BH q</w:t>
            </w:r>
          </w:p>
        </w:tc>
      </w:tr>
      <w:tr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 / D2 通财务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0.642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0.442 至 0.842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2.1e-09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2.1e-08</w:t>
            </w:r>
          </w:p>
        </w:tc>
      </w:tr>
      <w:tr>
        <w:tc>
          <w:tcPr>
            <w:tcW w:type="dxa" w:w="352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 / D3 善管理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0.210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0.064 至 0.356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0.0064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0.0106</w:t>
            </w:r>
          </w:p>
        </w:tc>
      </w:tr>
      <w:tr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 / D4 会数据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0.173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0.006 至 0.340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0.0505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0.0721</w:t>
            </w:r>
          </w:p>
        </w:tc>
      </w:tr>
      <w:tr>
        <w:tc>
          <w:tcPr>
            <w:tcW w:type="dxa" w:w="352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D1 懂业务 / D5 防风险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0.284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0.104 至 0.464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0.0026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0.0052</w:t>
            </w:r>
          </w:p>
        </w:tc>
      </w:tr>
      <w:tr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D2 通财务 / D3 善管理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-0.432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-0.580 至 -0.284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3.01e-08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1.5e-07</w:t>
            </w:r>
          </w:p>
        </w:tc>
      </w:tr>
      <w:tr>
        <w:tc>
          <w:tcPr>
            <w:tcW w:type="dxa" w:w="352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D2 通财务 / D4 会数据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-0.469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-0.656 至 -0.283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2e-06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6.67e-06</w:t>
            </w:r>
          </w:p>
        </w:tc>
      </w:tr>
      <w:tr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D2 通财务 / D5 防风险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-0.358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-0.507 至 -0.209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4.29e-06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1.07e-05</w:t>
            </w:r>
          </w:p>
        </w:tc>
      </w:tr>
      <w:tr>
        <w:tc>
          <w:tcPr>
            <w:tcW w:type="dxa" w:w="352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D3 善管理 / D4 会数据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-0.037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-0.165 至 0.091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0.6368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0.6368</w:t>
            </w:r>
          </w:p>
        </w:tc>
      </w:tr>
      <w:tr>
        <w:tc>
          <w:tcPr>
            <w:tcW w:type="dxa" w:w="35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D3 善管理 / D5 防风险</w:t>
            </w:r>
          </w:p>
        </w:tc>
        <w:tc>
          <w:tcPr>
            <w:tcW w:type="dxa" w:w="131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0.074</w:t>
            </w:r>
          </w:p>
        </w:tc>
        <w:tc>
          <w:tcPr>
            <w:tcW w:type="dxa" w:w="24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-0.049 至 0.197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0.2790</w:t>
            </w:r>
          </w:p>
        </w:tc>
        <w:tc>
          <w:tcPr>
            <w:tcW w:type="dxa" w:w="1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0.3100</w:t>
            </w:r>
          </w:p>
        </w:tc>
      </w:tr>
      <w:tr>
        <w:tc>
          <w:tcPr>
            <w:tcW w:type="dxa" w:w="3528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D4 会数据 / D5 防风险</w:t>
            </w:r>
          </w:p>
        </w:tc>
        <w:tc>
          <w:tcPr>
            <w:tcW w:type="dxa" w:w="1310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0.111</w:t>
            </w:r>
          </w:p>
        </w:tc>
        <w:tc>
          <w:tcPr>
            <w:tcW w:type="dxa" w:w="241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-0.040 至 0.262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0.1715</w:t>
            </w:r>
          </w:p>
        </w:tc>
        <w:tc>
          <w:tcPr>
            <w:tcW w:type="dxa" w:w="1411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0.2143</w:t>
            </w:r>
          </w:p>
        </w:tc>
      </w:tr>
    </w:tbl>
    <w:p/>
    <w:p>
      <w:pPr>
        <w:pStyle w:val="Caption"/>
      </w:pPr>
      <w:r>
        <w:t>差值方向为表内第一维度减第二维度；区间未作多重比较调整。区间与精确检验采用不同方法，在临界值附近可能产生轻微边界差异，应以完整方法与效应大小解释。</w:t>
      </w:r>
    </w:p>
    <w:p>
      <w:pPr>
        <w:pStyle w:val="Heading2"/>
      </w:pPr>
      <w:r>
        <w:t>医院类别12项</w:t>
      </w:r>
    </w:p>
    <w:p>
      <w:pPr>
        <w:pStyle w:val="Caption"/>
      </w:pPr>
      <w:r>
        <w:t>比较方向  三级类别 减 二级类别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5"/>
        <w:gridCol w:w="1613"/>
        <w:gridCol w:w="1613"/>
        <w:gridCol w:w="1512"/>
        <w:gridCol w:w="1109"/>
        <w:gridCol w:w="1109"/>
      </w:tblGrid>
      <w:tr>
        <w:trPr>
          <w:tblHeader/>
        </w:trPr>
        <w:tc>
          <w:tcPr>
            <w:tcW w:type="dxa" w:w="3125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结局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组1 n/N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组0 n/N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差值百分点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BH q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业务能力高差距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58/145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-17.1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0.2607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0.7821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财务能力高差距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35/145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-18.7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0.1961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0.7821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40/145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-1.0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数据能力高差距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49/145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-9.1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0.5605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风险能力高差距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44/145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数智课程高需求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139/145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-4.1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跟岗进入前三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111/145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-2.0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无系统评估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73/145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10/14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-21.1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0.1660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0.7821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制度落实到位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30/145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6.4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0.7373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常态化轮岗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35/145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人员配置不足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69/145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11/14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-31.0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0.0468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0.5621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培训经费前两档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98/145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9/14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3.3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0.7735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</w:tbl>
    <w:p/>
    <w:p>
      <w:pPr>
        <w:pStyle w:val="Heading2"/>
      </w:pPr>
      <w:r>
        <w:t>职务分组12项</w:t>
      </w:r>
    </w:p>
    <w:p>
      <w:pPr>
        <w:pStyle w:val="Caption"/>
      </w:pPr>
      <w:r>
        <w:t>比较方向  Q4编码1至4 减 Q4其他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5"/>
        <w:gridCol w:w="1613"/>
        <w:gridCol w:w="1613"/>
        <w:gridCol w:w="1512"/>
        <w:gridCol w:w="1109"/>
        <w:gridCol w:w="1109"/>
      </w:tblGrid>
      <w:tr>
        <w:trPr>
          <w:tblHeader/>
        </w:trPr>
        <w:tc>
          <w:tcPr>
            <w:tcW w:type="dxa" w:w="3125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结局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组1 n/N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组0 n/N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差值百分点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BH q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业务能力高差距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-20.2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0.0104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0.1251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财务能力高差距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-4.0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0.5916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0.7888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21/91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-10.7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0.1581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0.3798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数据能力高差距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28/91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29/71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-10.1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0.1899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0.3798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风险能力高差距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-13.9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0.0608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0.3273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数智课程高需求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67/71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3.4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0.4057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0.6086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跟岗进入前三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51/71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9.5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0.1876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0.3798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无系统评估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42/91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43/71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-14.4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0.0818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0.3273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制度落实到位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19/91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13/71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2.6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0.8426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0.8426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常态化轮岗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14/71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6.7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0.3548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0.6083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人员配置不足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45/91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37/71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-2.7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0.7539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0.8224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培训经费前两档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63/91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47/71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3.0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0.7357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0.8224</w:t>
            </w:r>
          </w:p>
        </w:tc>
      </w:tr>
    </w:tbl>
    <w:p/>
    <w:p>
      <w:pPr>
        <w:pStyle w:val="Heading2"/>
      </w:pPr>
      <w:r>
        <w:t>制度落实3项</w:t>
      </w:r>
    </w:p>
    <w:p>
      <w:pPr>
        <w:pStyle w:val="Caption"/>
      </w:pPr>
      <w:r>
        <w:t>比较方向  有制度且落实到位 减 其他回答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5"/>
        <w:gridCol w:w="1613"/>
        <w:gridCol w:w="1613"/>
        <w:gridCol w:w="1512"/>
        <w:gridCol w:w="1109"/>
        <w:gridCol w:w="1109"/>
      </w:tblGrid>
      <w:tr>
        <w:trPr>
          <w:tblHeader/>
        </w:trPr>
        <w:tc>
          <w:tcPr>
            <w:tcW w:type="dxa" w:w="3125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结局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组1 n/N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组0 n/N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差值百分点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BH q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无系统评估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9/32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76/130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-30.3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0.0028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0.0083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缺乏培训后跟踪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20/32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88/130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-5.2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0.6760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0.6760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激励结果运用障碍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22/32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74/130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11.8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0.2369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0.3554</w:t>
            </w:r>
          </w:p>
        </w:tc>
      </w:tr>
    </w:tbl>
    <w:p/>
    <w:p>
      <w:pPr>
        <w:pStyle w:val="Heading2"/>
      </w:pPr>
      <w:r>
        <w:t>Q11可用性6项</w:t>
      </w:r>
    </w:p>
    <w:p>
      <w:pPr>
        <w:pStyle w:val="Caption"/>
      </w:pPr>
      <w:r>
        <w:t>比较方向  Q11总人数有效 减 其余答卷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5"/>
        <w:gridCol w:w="1613"/>
        <w:gridCol w:w="1613"/>
        <w:gridCol w:w="1512"/>
        <w:gridCol w:w="1109"/>
        <w:gridCol w:w="1109"/>
      </w:tblGrid>
      <w:tr>
        <w:trPr>
          <w:tblHeader/>
        </w:trPr>
        <w:tc>
          <w:tcPr>
            <w:tcW w:type="dxa" w:w="3125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结局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组1 n/N</w:t>
            </w:r>
          </w:p>
        </w:tc>
        <w:tc>
          <w:tcPr>
            <w:tcW w:type="dxa" w:w="1613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组0 n/N</w:t>
            </w:r>
          </w:p>
        </w:tc>
        <w:tc>
          <w:tcPr>
            <w:tcW w:type="dxa" w:w="1512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差值百分点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p</w:t>
            </w:r>
          </w:p>
        </w:tc>
        <w:tc>
          <w:tcPr>
            <w:tcW w:type="dxa" w:w="1109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BH q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三级类别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83/98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62/64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-12.2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0.0166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0.0249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管理者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64/98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27/64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23.1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0.0057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0.0114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硕士及以上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45/98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46/64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-26.0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0.0012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0.0067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高级职称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55/98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20/64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24.9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0.0022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0.0067</w:t>
            </w:r>
          </w:p>
        </w:tc>
      </w:tr>
      <w:tr>
        <w:tc>
          <w:tcPr>
            <w:tcW w:type="dxa" w:w="31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财审专业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89/98</w:t>
            </w:r>
          </w:p>
        </w:tc>
        <w:tc>
          <w:tcPr>
            <w:tcW w:type="dxa" w:w="16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53/64</w:t>
            </w:r>
          </w:p>
        </w:tc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8.0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0.1478</w:t>
            </w:r>
          </w:p>
        </w:tc>
        <w:tc>
          <w:tcPr>
            <w:tcW w:type="dxa" w:w="11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0.1774</w:t>
            </w:r>
          </w:p>
        </w:tc>
      </w:tr>
      <w:tr>
        <w:tc>
          <w:tcPr>
            <w:tcW w:type="dxa" w:w="3125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数智课程高需求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94/98</w:t>
            </w:r>
          </w:p>
        </w:tc>
        <w:tc>
          <w:tcPr>
            <w:tcW w:type="dxa" w:w="1613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62/64</w:t>
            </w:r>
          </w:p>
        </w:tc>
        <w:tc>
          <w:tcPr>
            <w:tcW w:type="dxa" w:w="1512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-1.0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  <w:tc>
          <w:tcPr>
            <w:tcW w:type="dxa" w:w="1109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1.0000</w:t>
            </w:r>
          </w:p>
        </w:tc>
      </w:tr>
    </w:tbl>
    <w:p/>
    <w:p>
      <w:pPr>
        <w:pStyle w:val="Heading2"/>
      </w:pPr>
      <w:r>
        <w:t>质量核查与复现路径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26"/>
        <w:gridCol w:w="6854"/>
      </w:tblGrid>
      <w:tr>
        <w:trPr>
          <w:tblHeader/>
        </w:trPr>
        <w:tc>
          <w:tcPr>
            <w:tcW w:type="dxa" w:w="3226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检查</w:t>
            </w:r>
          </w:p>
        </w:tc>
        <w:tc>
          <w:tcPr>
            <w:tcW w:type="dxa" w:w="6854"/>
            <w:shd w:fill="193A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输入结构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同批答卷 162 份；数值版207列，文本版129列；47题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对齐键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两份序号均唯一，按序号对齐；不发布序号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题目字段跨导出核验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32562 格；不一致 0 格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主样本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保留全部162份；Q11、Q12选答缺失不整行剔除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Q14 多选完整性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3 项；零项 0 份；超上限 0 份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Q17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7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Q18 多选完整性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7 项；零项 0 份；超上限 0 份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Q19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4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Q21 多选完整性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6 项；零项 0 份；超上限 0 份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Q23 排序约束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162/162 份恰含唯一名次1、2、3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Q25 排序约束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162/162 份恰含唯一名次1、2、3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Q28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6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Q30 多选完整性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4 项；零项 0 份；超上限 0 份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Q37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4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Q38 排序约束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162/162 份恰含唯一名次1、2、3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Q44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3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Q45 多选完整性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3 项；零项 0 份；超上限 0 份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Q46 多选完整性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每份选择 1 至 3 项；零项 0 份；超上限 0 份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Q28并选核查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尚无合作与具体合作形式同时选择 3 份，标为潜在矛盾，主分析保留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Q30并选核查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尚无系统评估与具体评价方式同时选择 7 份，可能为零散评价未成体系，不判定完全没有评价</w:t>
            </w:r>
          </w:p>
        </w:tc>
      </w:tr>
      <w:tr>
        <w:tc>
          <w:tcPr>
            <w:tcW w:type="dxa" w:w="32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59个量表子项</w:t>
            </w:r>
          </w:p>
        </w:tc>
        <w:tc>
          <w:tcPr>
            <w:tcW w:type="dxa" w:w="68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小于300秒 2 份；所有量表同分 5 份；合并标记 6 份，仅用于敏感性</w:t>
            </w:r>
          </w:p>
        </w:tc>
      </w:tr>
      <w:tr>
        <w:tc>
          <w:tcPr>
            <w:tcW w:type="dxa" w:w="3226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Q11总人数有效性</w:t>
            </w:r>
          </w:p>
        </w:tc>
        <w:tc>
          <w:tcPr>
            <w:tcW w:type="dxa" w:w="6854"/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sz w:val="17"/>
              </w:rPr>
              <w:t>有效 98 份，其余 64 份；后者包含空白和非数值，不等于整题空白</w:t>
            </w:r>
          </w:p>
        </w:tc>
      </w:tr>
    </w:tbl>
    <w:p/>
    <w:p>
      <w:pPr/>
      <w:r>
        <w:t>公开附件包含聚合表、统计工作簿、分析脚本、图表及生成报告脚本。数据字典标注每个问题及子项在数值版Sheet1的列范围；Excel第2至163行为162份答卷。原始输入不包含在复现包中，需由数据持有人自行在本地指定。</w:t>
      </w:r>
    </w:p>
    <w:p>
      <w:pPr/>
      <w:r>
        <w:t>复现主入口：analyze.py读取两个原始导出，输出aggregate_tables.json和CSV；build_report.py根据聚合JSON生成Word与PDF。完整重算需要Python、pandas、numpy、scipy、openpyxl、python-docx、reportlab、matplotlib及中文字体。工作簿由单独JS生成器从相同聚合JSON生成。</w:t>
      </w:r>
    </w:p>
    <w:p>
      <w:pPr/>
      <w:r>
        <w:t>已完成两版本32562格交叉核验，并由独立脚本直接解析XLSX的XML验证相同字段与关键计数。本报告所有公开计数均从本版脚本输出；参考模板仅作结构参考。公开版不包含输入文件、逐人数据、实际IP、时间戳、原始序号或可识别开放原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汇总公开版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卫生健康经济管理人才培养调查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hAnsi="Noto Sans CJK SC" w:eastAsia="Noto Sans CJK SC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