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业财融合视域下</w:t>
        <w:br/>
        <w:t>卫生健康经济管理人才培养</w:t>
        <w:br/>
        <w:t>调查分析报告</w:t>
      </w:r>
    </w:p>
    <w:p>
      <w:pPr>
        <w:keepNext w:val="0"/>
      </w:pPr>
      <w:r>
        <w:t>基于162份问卷的人才需求与培养路径分析</w:t>
      </w:r>
    </w:p>
    <w:p>
      <w:pPr>
        <w:keepNext w:val="0"/>
      </w:pPr>
      <w:r>
        <w:t>本报告围绕培养对象、能力短板、课程需求、实践方式和组织保障展开，为卫生健康经济管理人才培养项目提供决策参考。</w:t>
      </w:r>
    </w:p>
    <w:p>
      <w:pPr>
        <w:keepNext w:val="0"/>
      </w:pPr>
      <w:r>
        <w:t>调查呈现出清晰的培养方向：将业务理解与数据分析共同作为重点，以运营管理项目连接课程与岗位实践，并把导师指导、过程跟踪和成果运用纳入日常管理。</w:t>
      </w:r>
    </w:p>
    <w:p>
      <w:pPr>
        <w:keepNext w:val="0"/>
      </w:pPr>
      <w:r>
        <w:t>分析日期  2026年10月17日</w:t>
      </w:r>
    </w:p>
    <w:p>
      <w:pPr>
        <w:pStyle w:val="Caption"/>
        <w:keepNext w:val="0"/>
      </w:pPr>
      <w:r>
        <w:t>汇总报告  管理汇报修订版</w:t>
      </w:r>
    </w:p>
    <w:p>
      <w:pPr>
        <w:pStyle w:val="Heading1"/>
        <w:pageBreakBefore/>
      </w:pPr>
      <w:r>
        <w:t>阅读导航</w:t>
      </w:r>
    </w:p>
    <w:p>
      <w:pPr>
        <w:keepNext w:val="0"/>
      </w:pPr>
      <w:r>
        <w:t>一 主要发现与管理启示</w:t>
      </w:r>
    </w:p>
    <w:p>
      <w:pPr>
        <w:keepNext w:val="0"/>
      </w:pPr>
      <w:r>
        <w:t>二 调查对象与阅读口径</w:t>
      </w:r>
    </w:p>
    <w:p>
      <w:pPr>
        <w:keepNext w:val="0"/>
      </w:pPr>
      <w:r>
        <w:t>三 培养现状与资源配置</w:t>
      </w:r>
    </w:p>
    <w:p>
      <w:pPr>
        <w:keepNext w:val="0"/>
      </w:pPr>
      <w:r>
        <w:t>四 能力短板与人才需求</w:t>
      </w:r>
    </w:p>
    <w:p>
      <w:pPr>
        <w:keepNext w:val="0"/>
      </w:pPr>
      <w:r>
        <w:t>五 课程安排与实践方式</w:t>
      </w:r>
    </w:p>
    <w:p>
      <w:pPr>
        <w:keepNext w:val="0"/>
      </w:pPr>
      <w:r>
        <w:t>六 组织保障与职业发展</w:t>
      </w:r>
    </w:p>
    <w:p>
      <w:pPr>
        <w:keepNext w:val="0"/>
      </w:pPr>
      <w:r>
        <w:t>七 分组结果与培养安排</w:t>
      </w:r>
    </w:p>
    <w:p>
      <w:pPr>
        <w:keepNext w:val="0"/>
      </w:pPr>
      <w:r>
        <w:t>八 项目实施建议</w:t>
      </w:r>
    </w:p>
    <w:p>
      <w:pPr>
        <w:keepNext w:val="0"/>
      </w:pPr>
      <w:r>
        <w:t>附录A 各题统计结果</w:t>
      </w:r>
    </w:p>
    <w:p>
      <w:pPr>
        <w:keepNext w:val="0"/>
      </w:pPr>
      <w:r>
        <w:t>附录B 统计方法与比较结果</w:t>
      </w:r>
    </w:p>
    <w:p>
      <w:pPr>
        <w:pStyle w:val="Caption"/>
        <w:keepNext w:val="0"/>
      </w:pPr>
      <w:r>
        <w:t>正文按“发现了什么—意味着什么—可以怎样做”展开。各题详细数据及统计检验结果列于附录，配套Excel提供完整计算与核验记录。</w:t>
      </w:r>
    </w:p>
    <w:p>
      <w:pPr>
        <w:pStyle w:val="Heading1"/>
        <w:pageBreakBefore/>
      </w:pPr>
      <w:r>
        <w:t>一 主要发现与管理启示</w:t>
      </w:r>
    </w:p>
    <w:p>
      <w:pPr>
        <w:pStyle w:val="Heading2"/>
      </w:pPr>
      <w:r>
        <w:t>业务理解与数据分析应共同成为培养重点</w:t>
      </w:r>
    </w:p>
    <w:p>
      <w:pPr>
        <w:keepNext w:val="0"/>
      </w:pPr>
      <w:r>
        <w:t>受访者认为，业务能力和数据能力是较突出的短板。66人认为现有队伍的业务能力差距较大，占40.7%；57人认为队伍的数据能力差距较大，占35.2%；财务能力对应比例为25.9%。这说明培养内容需要在财务专业基础上，进一步加强医疗业务理解、运营分析和数据应用。</w:t>
      </w:r>
    </w:p>
    <w:p>
      <w:pPr>
        <w:keepNext w:val="0"/>
      </w:pPr>
      <w:r>
        <w:t>业务与数据两项评分比较接近，目前还不足以判断哪一项明显更急迫。课程设计宜将两者结合：通过一个实际业务问题，训练流程理解、数据分析和管理建议形成的完整过程。</w:t>
      </w:r>
    </w:p>
    <w:p>
      <w:pPr>
        <w:pStyle w:val="Heading2"/>
      </w:pPr>
      <w:r>
        <w:t>数智课程需求强烈 现有培训仍有拓展空间</w:t>
      </w:r>
    </w:p>
    <w:p>
      <w:pPr>
        <w:keepNext w:val="0"/>
      </w:pPr>
      <w:r>
        <w:t>156人认为数智化运营与数据分析课程较有必要，占96.3%；49人报告已有信息化与数据工具培训，占30.2%。其中，109人既表达了较高的数智课程需求，又未勾选现有数据工具培训，占全体受访者的67.3%。这部分需求值得在课程安排中优先关注，并结合实际课程目录确定补充内容。</w:t>
      </w:r>
    </w:p>
    <w:p>
      <w:pPr>
        <w:pStyle w:val="Heading2"/>
      </w:pPr>
      <w:r>
        <w:t>加强实践机会与持续指导</w:t>
      </w:r>
    </w:p>
    <w:p>
      <w:pPr>
        <w:keepNext w:val="0"/>
      </w:pPr>
      <w:r>
        <w:t>跟岗实训、项目制学习和真实案例学习获得较多选择。与此同时，108人指出现有培训缺乏持续跟踪，126人指出实践锻炼和项目历练机会不足。培养项目应把课程学习与真实任务衔接起来，使学员在学习之后有机会应用、有导师反馈、有成果评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334"/>
        <w:gridCol w:w="3931"/>
      </w:tblGrid>
      <w:tr>
        <w:trPr>
          <w:tblHeader/>
        </w:trPr>
        <w:tc>
          <w:tcPr>
            <w:tcW w:type="dxa" w:w="181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培养重点</w:t>
            </w:r>
          </w:p>
        </w:tc>
        <w:tc>
          <w:tcPr>
            <w:tcW w:type="dxa" w:w="43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调查发现</w:t>
            </w:r>
          </w:p>
        </w:tc>
        <w:tc>
          <w:tcPr>
            <w:tcW w:type="dxa" w:w="393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管理安排建议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人才方向</w:t>
            </w:r>
          </w:p>
        </w:tc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未来需求前三入选人数：运营133、数据120、综合89</w:t>
            </w:r>
          </w:p>
        </w:tc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围绕运营问题配置业务、数据和综合协调课程</w:t>
            </w:r>
          </w:p>
        </w:tc>
      </w:tr>
      <w:tr>
        <w:tc>
          <w:tcPr>
            <w:tcW w:type="dxa" w:w="18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实践方式</w:t>
            </w:r>
          </w:p>
        </w:tc>
        <w:tc>
          <w:tcPr>
            <w:tcW w:type="dxa" w:w="43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跟岗125、项目95、案例90人列入前三</w:t>
            </w:r>
          </w:p>
        </w:tc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建设跟岗岗位和项目清单，配套案例复盘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过程管理</w:t>
            </w:r>
          </w:p>
        </w:tc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108人反映缺乏跟踪；82人反映分层不足</w:t>
            </w:r>
          </w:p>
        </w:tc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明确阶段目标，按能力基础安排任务</w:t>
            </w:r>
          </w:p>
        </w:tc>
      </w:tr>
      <w:tr>
        <w:tc>
          <w:tcPr>
            <w:tcW w:type="dxa" w:w="18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成果运用</w:t>
            </w:r>
          </w:p>
        </w:tc>
        <w:tc>
          <w:tcPr>
            <w:tcW w:type="dxa" w:w="43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126人反映实践机会不足；96人反映激励与结果运用不完善</w:t>
            </w:r>
          </w:p>
        </w:tc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提供实际应用场景，将成果纳入评价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制度落实</w:t>
            </w:r>
          </w:p>
        </w:tc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落实到位组报告无系统评估的比例为28.1%，其他组为58.5%</w:t>
            </w:r>
          </w:p>
        </w:tc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同步建设培养制度与评价工具</w:t>
            </w:r>
          </w:p>
        </w:tc>
      </w:tr>
    </w:tbl>
    <w:p/>
    <w:p>
      <w:pPr>
        <w:keepNext w:val="0"/>
      </w:pPr>
      <w:r>
        <w:t>本报告据此提出课程与管理改进方向。实施时可先安排小规模试点，以项目成果质量和实际应用情况检验成效，再逐步扩大。</w:t>
      </w:r>
    </w:p>
    <w:p>
      <w:pPr>
        <w:pStyle w:val="Heading1"/>
        <w:pageBreakBefore/>
      </w:pPr>
      <w:r>
        <w:t>二 调查对象与阅读口径</w:t>
      </w:r>
    </w:p>
    <w:p>
      <w:pPr>
        <w:keepNext w:val="0"/>
      </w:pPr>
      <w:r>
        <w:t>本次分析包括162名受访者的47题问卷。两个Excel文件是同一批答卷的数值版与文本版，已逐项对照核验，合并用于分析。正文中的人数和比例以受访者为单位，反映本次参与调查人群的意见与情况。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14"/>
        <w:gridCol w:w="4637"/>
        <w:gridCol w:w="3730"/>
      </w:tblGrid>
      <w:tr>
        <w:trPr>
          <w:tblHeader/>
        </w:trPr>
        <w:tc>
          <w:tcPr>
            <w:tcW w:type="dxa" w:w="171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4637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人数与比例</w:t>
            </w:r>
          </w:p>
        </w:tc>
        <w:tc>
          <w:tcPr>
            <w:tcW w:type="dxa" w:w="373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培养设计启示</w:t>
            </w:r>
          </w:p>
        </w:tc>
      </w:tr>
      <w:tr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医院类别</w:t>
            </w:r>
          </w:p>
        </w:tc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三级145人（89.5%）；二级14人（8.6%）；其他3人</w:t>
            </w:r>
          </w:p>
        </w:tc>
        <w:tc>
          <w:tcPr>
            <w:tcW w:type="dxa" w:w="3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本次需求主要体现三级类别受访者的工作背景</w:t>
            </w:r>
          </w:p>
        </w:tc>
      </w:tr>
      <w:tr>
        <w:tc>
          <w:tcPr>
            <w:tcW w:type="dxa" w:w="17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管理岗位</w:t>
            </w:r>
          </w:p>
        </w:tc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院级领导6人、总会计师14人、部门正职41人、副职30人，共91人</w:t>
            </w:r>
          </w:p>
        </w:tc>
        <w:tc>
          <w:tcPr>
            <w:tcW w:type="dxa" w:w="373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兼顾管理决策、跨部门协同与骨干业务能力</w:t>
            </w:r>
          </w:p>
        </w:tc>
      </w:tr>
      <w:tr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年龄</w:t>
            </w:r>
          </w:p>
        </w:tc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31至40岁99人（61.1%）</w:t>
            </w:r>
          </w:p>
        </w:tc>
        <w:tc>
          <w:tcPr>
            <w:tcW w:type="dxa" w:w="3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围绕在职发展和能力进阶安排学习任务</w:t>
            </w:r>
          </w:p>
        </w:tc>
      </w:tr>
      <w:tr>
        <w:tc>
          <w:tcPr>
            <w:tcW w:type="dxa" w:w="17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学历</w:t>
            </w:r>
          </w:p>
        </w:tc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硕士88人（54.3%），本科70人（43.2%）</w:t>
            </w:r>
          </w:p>
        </w:tc>
        <w:tc>
          <w:tcPr>
            <w:tcW w:type="dxa" w:w="373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加强知识应用和综合分析训练</w:t>
            </w:r>
          </w:p>
        </w:tc>
      </w:tr>
      <w:tr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职称</w:t>
            </w:r>
          </w:p>
        </w:tc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正高级25人、副高级50人、中级83人；高级合计46.3%</w:t>
            </w:r>
          </w:p>
        </w:tc>
        <w:tc>
          <w:tcPr>
            <w:tcW w:type="dxa" w:w="3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将培养层次与实际承担任务相结合</w:t>
            </w:r>
          </w:p>
        </w:tc>
      </w:tr>
      <w:tr>
        <w:tc>
          <w:tcPr>
            <w:tcW w:type="dxa" w:w="17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专业背景</w:t>
            </w:r>
          </w:p>
        </w:tc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财务审计类142人（87.7%）</w:t>
            </w:r>
          </w:p>
        </w:tc>
        <w:tc>
          <w:tcPr>
            <w:tcW w:type="dxa" w:w="373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加强医疗业务、医保和信息技术的跨专业学习</w:t>
            </w:r>
          </w:p>
        </w:tc>
      </w:tr>
      <w:tr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部门归属</w:t>
            </w:r>
          </w:p>
        </w:tc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财务或审计部门109人（67.3%）</w:t>
            </w:r>
          </w:p>
        </w:tc>
        <w:tc>
          <w:tcPr>
            <w:tcW w:type="dxa" w:w="3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拓展财务与临床、运营、信息部门的协作场景</w:t>
            </w:r>
          </w:p>
        </w:tc>
      </w:tr>
    </w:tbl>
    <w:p/>
    <w:p>
      <w:pPr>
        <w:keepNext w:val="0"/>
      </w:pPr>
      <w:r>
        <w:t>受访者整体具有较好的学历与财审专业基础。人才培养可以更多转向“如何把专业知识用于医疗业务和运营管理”，通过跨部门项目把既有经验与新的数据方法结合起来。</w:t>
      </w:r>
    </w:p>
    <w:p>
      <w:pPr>
        <w:pStyle w:val="Heading2"/>
      </w:pPr>
      <w:r>
        <w:t>数据怎样阅读</w:t>
      </w:r>
    </w:p>
    <w:p>
      <w:pPr>
        <w:keepNext w:val="0"/>
      </w:pPr>
      <w:r>
        <w:t>单选题比例表示选择该项的人数占比。多选题允许一人选择多项，因此各项比例相加可以超过100%。排序题同时报告“列入前三”和“列为首选”：前者说明需求覆盖面，后者说明最优先考虑的方向。</w:t>
      </w:r>
    </w:p>
    <w:p>
      <w:pPr>
        <w:keepNext w:val="0"/>
      </w:pPr>
      <w:r>
        <w:t>五级评分中，4至5分归为较高评价。不同题目中的高分含义随题意变化：能力差距题高分表示短板更明显，课程必要性题高分表示需求更强，职业通道题高分表示更畅通。第11和12题按实际填报记录分别统计，明细见附录。</w:t>
      </w:r>
    </w:p>
    <w:p>
      <w:pPr>
        <w:pStyle w:val="Heading1"/>
        <w:pageBreakBefore/>
      </w:pPr>
      <w:r>
        <w:t>三 培养现状与资源配置</w:t>
      </w:r>
    </w:p>
    <w:p>
      <w:pPr>
        <w:pStyle w:val="Heading2"/>
      </w:pPr>
      <w:r>
        <w:t>岗位与机构设置情况</w:t>
      </w:r>
    </w:p>
    <w:p>
      <w:r>
        <w:drawing>
          <wp:inline xmlns:a="http://schemas.openxmlformats.org/drawingml/2006/main" xmlns:pic="http://schemas.openxmlformats.org/drawingml/2006/picture">
            <wp:extent cx="5760720" cy="1958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it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来源 Q10；每项162人，比例为回答“是”的受访者占比</w:t>
      </w:r>
    </w:p>
    <w:p>
      <w:pPr>
        <w:pStyle w:val="Heading2"/>
      </w:pPr>
      <w:r>
        <w:t>制度建设需要进一步落实到日常运行</w:t>
      </w:r>
    </w:p>
    <w:p>
      <w:pPr>
        <w:keepNext w:val="0"/>
      </w:pPr>
      <w:r>
        <w:t>32人回答所在机构培养制度落实到位，占19.8%；49人回答已有制度但落实不足，占30.2%；81人回答尚无系统制度安排，占50.0%。管理改进可以分两步推进：先明确培养责任、目标与年度安排，再通过任务分配、过程记录和成果评价推动执行。</w:t>
      </w:r>
    </w:p>
    <w:p>
      <w:pPr>
        <w:keepNext w:val="0"/>
      </w:pPr>
      <w:r>
        <w:t>在第39题的人才培养组织管理评价中，91人报告已明确人才培养归口管理部门，69人报告已制定中长期培养规划，51人报告已建立培养档案与学时台账。建议将归口管理与具体任务连接起来，由责任部门统筹课程、导师、实践岗位及评价记录。</w:t>
      </w:r>
    </w:p>
    <w:p>
      <w:pPr>
        <w:pStyle w:val="Heading2"/>
      </w:pPr>
      <w:r>
        <w:t>把有限学习时间优先用于岗位问题</w:t>
      </w:r>
    </w:p>
    <w:p>
      <w:pPr>
        <w:keepNext w:val="0"/>
      </w:pPr>
      <w:r>
        <w:t>103人的回答落在年人均培训20学时以下或20至40学时两个档次，占63.6%；110人的回答落在年人均经费1000元以下或1000至3000元两个档次，占67.9%。另有82人反映人员配置严重不足或相对不足，占50.6%。课程安排应考虑工作与学习的衔接，采用分阶段任务、集中实训和岗位应用相结合的方式。</w:t>
      </w:r>
    </w:p>
    <w:p>
      <w:pPr>
        <w:keepNext w:val="0"/>
      </w:pPr>
      <w:r>
        <w:t>148人报告培养经费来自单位预算，占91.4%；62人报告有主管部门专项经费支持，占38.3%。单位预算是本次填报中最常见的经费来源，建议将导师指导、项目实践和后续评价一并纳入预算安排。</w:t>
      </w:r>
    </w:p>
    <w:p>
      <w:pPr>
        <w:pStyle w:val="Heading2"/>
      </w:pPr>
      <w:r>
        <w:t>现有管理任务可以直接转化为教学项目</w:t>
      </w:r>
    </w:p>
    <w:p>
      <w:pPr>
        <w:keepNext w:val="0"/>
      </w:pPr>
      <w:r>
        <w:t>在已开展的业财融合举措中，全面预算管理127人、公立医院绩效考核121人、DRG/DIP支付方式改革109人、全成本核算102人、内部控制与财会监督101人。可围绕这些工作设计项目，让学员使用实际业务流程与数据完成分析，提升学习内容与日常任务的关联。</w:t>
      </w:r>
    </w:p>
    <w:p>
      <w:pPr>
        <w:pStyle w:val="Heading1"/>
        <w:pageBreakBefore/>
      </w:pPr>
      <w:r>
        <w:t>四 能力短板与人才需求</w:t>
      </w:r>
    </w:p>
    <w:p>
      <w:pPr>
        <w:pStyle w:val="Heading2"/>
      </w:pPr>
      <w:r>
        <w:t>认为现有队伍各类能力差距较大的受访者比例</w:t>
      </w:r>
    </w:p>
    <w:p>
      <w:r>
        <w:drawing>
          <wp:inline xmlns:a="http://schemas.openxmlformats.org/drawingml/2006/main" xmlns:pic="http://schemas.openxmlformats.org/drawingml/2006/picture">
            <wp:extent cx="5760720" cy="1958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来源 Q22；4至5分表示差距较大；每项162人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30"/>
        <w:gridCol w:w="1613"/>
        <w:gridCol w:w="1613"/>
        <w:gridCol w:w="1613"/>
        <w:gridCol w:w="1411"/>
      </w:tblGrid>
      <w:tr>
        <w:trPr>
          <w:tblHeader/>
        </w:trPr>
        <w:tc>
          <w:tcPr>
            <w:tcW w:type="dxa" w:w="383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能力维度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平均评分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评分中位数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评价差距较大人数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占比</w:t>
            </w:r>
          </w:p>
        </w:tc>
      </w:tr>
      <w:tr>
        <w:tc>
          <w:tcPr>
            <w:tcW w:type="dxa" w:w="38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D1 懂业务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3.30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66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40.7%</w:t>
            </w:r>
          </w:p>
        </w:tc>
      </w:tr>
      <w:tr>
        <w:tc>
          <w:tcPr>
            <w:tcW w:type="dxa" w:w="383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D2 通财务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2.66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25.9%</w:t>
            </w:r>
          </w:p>
        </w:tc>
      </w:tr>
      <w:tr>
        <w:tc>
          <w:tcPr>
            <w:tcW w:type="dxa" w:w="38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D3 善管理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3.09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45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27.8%</w:t>
            </w:r>
          </w:p>
        </w:tc>
      </w:tr>
      <w:tr>
        <w:tc>
          <w:tcPr>
            <w:tcW w:type="dxa" w:w="383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D4 会数据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3.13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57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35.2%</w:t>
            </w:r>
          </w:p>
        </w:tc>
      </w:tr>
      <w:tr>
        <w:tc>
          <w:tcPr>
            <w:tcW w:type="dxa" w:w="38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D5 防风险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3.02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30.2%</w:t>
            </w:r>
          </w:p>
        </w:tc>
      </w:tr>
    </w:tbl>
    <w:p/>
    <w:p>
      <w:pPr>
        <w:keepNext w:val="0"/>
      </w:pPr>
      <w:r>
        <w:t>五类能力评分存在差异，业务能力与数据能力都是值得重点加强的方向。两者平均评分仅相差约0.17分，现有结果还不足以认定业务短板明显大于数据短板，因此宜作为并列重点统筹培养。</w:t>
      </w:r>
    </w:p>
    <w:p>
      <w:pPr>
        <w:keepNext w:val="0"/>
      </w:pPr>
      <w:r>
        <w:t>在教学中，可把“理解业务—分析数据—提出改进建议”作为一项连续任务。例如，分析某病种成本时，既要理解诊疗流程及资源消耗，也要会整理数据、判断差异并与业务部门讨论改进措施。这样可以同时训练两类能力。</w:t>
      </w:r>
    </w:p>
    <w:p>
      <w:pPr>
        <w:pStyle w:val="Heading2"/>
        <w:pageBreakBefore/>
      </w:pPr>
      <w:r>
        <w:t>未来三年人才需求的覆盖面与优先顺序</w:t>
      </w:r>
    </w:p>
    <w:p>
      <w:r>
        <w:drawing>
          <wp:inline xmlns:a="http://schemas.openxmlformats.org/drawingml/2006/main" xmlns:pic="http://schemas.openxmlformats.org/drawingml/2006/picture">
            <wp:extent cx="5760720" cy="1958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来源 Q23；前三入选率表示列入前三的比例，首选率表示列为第一的比例；每项162人</w:t>
      </w:r>
    </w:p>
    <w:p>
      <w:pPr>
        <w:keepNext w:val="0"/>
      </w:pPr>
      <w:r>
        <w:t>从需求覆盖面看，运营管理133人、数据分析120人、综合管理89人列入前三，成本与预算为83人。从第一优先选择看，运营管理67人、综合管理34人、成本与预算29人位居前三。运营管理在两种排序中都较突出，适合作为培养项目的核心应用场景；数据分析适合作为支撑多类岗位的共同能力。</w:t>
      </w:r>
    </w:p>
    <w:p>
      <w:pPr>
        <w:keepNext w:val="0"/>
      </w:pPr>
      <w:r>
        <w:t>医保人才被42人列入需求前三，而医保课程被149人评价为较有必要。这说明“优先配置哪类人才”与“现有人员应学哪些知识”是两个问题。医保政策与支付规则宜作为复合型人才的共同学习内容，与成本、运营和绩效分析结合。</w:t>
      </w:r>
    </w:p>
    <w:p>
      <w:pPr>
        <w:pStyle w:val="Heading1"/>
        <w:pageBreakBefore/>
      </w:pPr>
      <w:r>
        <w:t>五 课程安排与实践方式</w:t>
      </w:r>
    </w:p>
    <w:p>
      <w:pPr>
        <w:pStyle w:val="Heading2"/>
      </w:pPr>
      <w:r>
        <w:t>各课程模块的较高必要性评价</w:t>
      </w:r>
    </w:p>
    <w:p>
      <w:r>
        <w:drawing>
          <wp:inline xmlns:a="http://schemas.openxmlformats.org/drawingml/2006/main" xmlns:pic="http://schemas.openxmlformats.org/drawingml/2006/picture">
            <wp:extent cx="5760720" cy="2957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来源 Q26；4至5分；每项162人</w:t>
      </w:r>
    </w:p>
    <w:p>
      <w:pPr>
        <w:keepNext w:val="0"/>
      </w:pPr>
      <w:r>
        <w:t>多项课程均获得较高必要性评价，说明受访者希望培养内容覆盖业务、管理和数据应用。课时分配可结合现有基础与岗位任务进行取舍：共同基础内容统一学习，专项方法放入具体项目中训练。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37"/>
        <w:gridCol w:w="1814"/>
        <w:gridCol w:w="1814"/>
        <w:gridCol w:w="1814"/>
      </w:tblGrid>
      <w:tr>
        <w:trPr>
          <w:tblHeader/>
        </w:trPr>
        <w:tc>
          <w:tcPr>
            <w:tcW w:type="dxa" w:w="4637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数智课程需求与现有数据工具培训</w:t>
            </w:r>
          </w:p>
        </w:tc>
        <w:tc>
          <w:tcPr>
            <w:tcW w:type="dxa" w:w="181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已报告现有培训</w:t>
            </w:r>
          </w:p>
        </w:tc>
        <w:tc>
          <w:tcPr>
            <w:tcW w:type="dxa" w:w="181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未勾选现有培训</w:t>
            </w:r>
          </w:p>
        </w:tc>
        <w:tc>
          <w:tcPr>
            <w:tcW w:type="dxa" w:w="181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合计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较高需求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47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109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156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其他需求评价</w:t>
            </w:r>
          </w:p>
        </w:tc>
        <w:tc>
          <w:tcPr>
            <w:tcW w:type="dxa" w:w="18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18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</w:t>
            </w:r>
          </w:p>
        </w:tc>
        <w:tc>
          <w:tcPr>
            <w:tcW w:type="dxa" w:w="18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合计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</w:tr>
    </w:tbl>
    <w:p/>
    <w:p>
      <w:pPr>
        <w:keepNext w:val="0"/>
      </w:pPr>
      <w:r>
        <w:t>109人同时表达较高数智课程需求且未勾选现有数据工具培训，占全体受访者67.3%，占数智高需求者69.9%。建议优先了解这部分受访者希望补充的具体内容，将需求转化为数据整理、分析解释、可视化表达和运营决策等实际任务。这里比较的是“数智课程需求”和“已有数据工具培训”两个相关题项。</w:t>
      </w:r>
    </w:p>
    <w:p>
      <w:pPr>
        <w:pStyle w:val="Heading1"/>
        <w:pageBreakBefore/>
      </w:pPr>
      <w:r>
        <w:t>实践培养的具体组合</w:t>
      </w:r>
    </w:p>
    <w:p>
      <w:pPr>
        <w:pStyle w:val="Heading2"/>
      </w:pPr>
      <w:r>
        <w:t>培养方式的需求覆盖面与首选情况</w:t>
      </w:r>
    </w:p>
    <w:p>
      <w:r>
        <w:drawing>
          <wp:inline xmlns:a="http://schemas.openxmlformats.org/drawingml/2006/main" xmlns:pic="http://schemas.openxmlformats.org/drawingml/2006/picture">
            <wp:extent cx="5760720" cy="245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来源 Q25；每项162人</w:t>
      </w:r>
    </w:p>
    <w:p>
      <w:pPr>
        <w:keepNext w:val="0"/>
      </w:pPr>
      <w:r>
        <w:t>跟岗实训125人、项目制学习95人、真实案例学习90人列入前三，分别占77.2%、58.6%和55.6%。双导师制被62人列入前三，其中33人将其列为首选，仅次于跟岗的65人。持续指导对一部分受访者具有较高优先级，可与跟岗和项目实践配套实施。</w:t>
      </w:r>
    </w:p>
    <w:p>
      <w:pPr>
        <w:keepNext w:val="0"/>
      </w:pPr>
      <w:r>
        <w:t>70人报告已有跟岗或轮岗培训方式；72人既偏好跟岗又未报告现有相应方式，占44.4%。可优先安排可观摩、有任务、能反馈的跟岗岗位，使学员逐步从了解流程转向参与分析和形成成果。</w:t>
      </w:r>
    </w:p>
    <w:p>
      <w:pPr>
        <w:keepNext w:val="0"/>
      </w:pPr>
      <w:r>
        <w:t>7人报告所在机构已实施双导师制，12人报告有意愿并计划一年内启动，91人报告有意愿但条件暂不具备，52人报告暂无意愿。推进时需要先明确业务导师与财务导师的分工、指导时间、工作量认可和阶段反馈要求。</w:t>
      </w:r>
    </w:p>
    <w:p>
      <w:pPr>
        <w:pStyle w:val="Heading2"/>
      </w:pPr>
      <w:r>
        <w:t>真实项目与基地建设可以相互支撑</w:t>
      </w:r>
    </w:p>
    <w:p>
      <w:pPr>
        <w:keepNext w:val="0"/>
      </w:pPr>
      <w:r>
        <w:t>148人认为真实管理项目池对培养具有较大支持作用，147人认可实训基地的支持作用。实践基地建设方面，129人选择依托区域龙头医院建立实训基地联盟，119人选择院内设置实训岗位与教学点。建议将区域共享项目与院内实践岗位结合，形成稳定的实训入口。</w:t>
      </w:r>
    </w:p>
    <w:p>
      <w:pPr>
        <w:keepNext w:val="0"/>
      </w:pPr>
      <w:r>
        <w:t>实战项目中，151人重视运营分析、报告撰写与决策支持，150人重视年度预算编制与执行分析，149人重视成本核算与病种盈亏分析。这些项目可优先纳入课程任务库，并根据学员基础设置不同难度。</w:t>
      </w:r>
    </w:p>
    <w:p>
      <w:pPr>
        <w:pStyle w:val="Heading1"/>
        <w:pageBreakBefore/>
      </w:pPr>
      <w:r>
        <w:t>六 组织保障与职业发展</w:t>
      </w:r>
    </w:p>
    <w:p>
      <w:pPr>
        <w:pStyle w:val="Heading2"/>
      </w:pPr>
      <w:r>
        <w:t>现有培训最需要改进的环节</w:t>
      </w:r>
    </w:p>
    <w:p>
      <w:r>
        <w:drawing>
          <wp:inline xmlns:a="http://schemas.openxmlformats.org/drawingml/2006/main" xmlns:pic="http://schemas.openxmlformats.org/drawingml/2006/picture">
            <wp:extent cx="5760720" cy="2705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来源 Q19；每项162人，可选择多项</w:t>
      </w:r>
    </w:p>
    <w:p>
      <w:pPr>
        <w:keepNext w:val="0"/>
      </w:pPr>
      <w:r>
        <w:t>108人反映培训以短期集中为主、缺乏跟踪管理，占66.7%；82人反映分层分类不够、针对性不强，占50.6%。项目设计应明确学习前目标、过程辅导和培训后应用要求，让课程之间、培训与岗位之间形成连续安排。</w:t>
      </w:r>
    </w:p>
    <w:p>
      <w:pPr>
        <w:pStyle w:val="Heading2"/>
      </w:pPr>
      <w:r>
        <w:t>培养成果落地的主要障碍</w:t>
      </w:r>
    </w:p>
    <w:p>
      <w:r>
        <w:drawing>
          <wp:inline xmlns:a="http://schemas.openxmlformats.org/drawingml/2006/main" xmlns:pic="http://schemas.openxmlformats.org/drawingml/2006/picture">
            <wp:extent cx="5760720" cy="19586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i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来源 Q46；每项162人，可选择多项</w:t>
      </w:r>
    </w:p>
    <w:p>
      <w:pPr>
        <w:keepNext w:val="0"/>
      </w:pPr>
      <w:r>
        <w:t>126人反映实践锻炼与项目历练机会不足，占77.8%；96人反映考核激励与结果运用机制不完善，占59.3%。建议在培训启动时就确定成果应用部门和评价人，使学员完成的分析报告、案例或方案能够进入实际工作。</w:t>
      </w:r>
    </w:p>
    <w:p>
      <w:pPr>
        <w:pStyle w:val="Heading1"/>
        <w:pageBreakBefore/>
      </w:pPr>
      <w:r>
        <w:t>把组织支持落实为可执行安排</w:t>
      </w:r>
    </w:p>
    <w:p>
      <w:pPr>
        <w:keepNext w:val="0"/>
      </w:pPr>
      <w:r>
        <w:t>152人认为考核激励与培训结果运用较为重要，151人重视经费保障，149人重视组织领导与归口管理。与此同时，153人支持建立分层分类培训体系，149人支持建立岗位胜任力评价体系。培养管理应明确“谁负责、学什么、做什么、如何评价”，并将这些要求写入年度安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42"/>
        <w:gridCol w:w="1512"/>
        <w:gridCol w:w="1512"/>
        <w:gridCol w:w="1714"/>
      </w:tblGrid>
      <w:tr>
        <w:trPr>
          <w:tblHeader/>
        </w:trPr>
        <w:tc>
          <w:tcPr>
            <w:tcW w:type="dxa" w:w="534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主管部门支持方向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首选人数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列入前三人数</w:t>
            </w:r>
          </w:p>
        </w:tc>
        <w:tc>
          <w:tcPr>
            <w:tcW w:type="dxa" w:w="171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前三入选率</w:t>
            </w:r>
          </w:p>
        </w:tc>
      </w:tr>
      <w:tr>
        <w:tc>
          <w:tcPr>
            <w:tcW w:type="dxa" w:w="53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纳入卫生健康人才发展规划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120</w:t>
            </w:r>
          </w:p>
        </w:tc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74.1%</w:t>
            </w:r>
          </w:p>
        </w:tc>
      </w:tr>
      <w:tr>
        <w:tc>
          <w:tcPr>
            <w:tcW w:type="dxa" w:w="534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设立专项培养经费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106</w:t>
            </w:r>
          </w:p>
        </w:tc>
        <w:tc>
          <w:tcPr>
            <w:tcW w:type="dxa" w:w="17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65.4%</w:t>
            </w:r>
          </w:p>
        </w:tc>
      </w:tr>
      <w:tr>
        <w:tc>
          <w:tcPr>
            <w:tcW w:type="dxa" w:w="53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高端人才计划倾斜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68</w:t>
            </w:r>
          </w:p>
        </w:tc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42.0%</w:t>
            </w:r>
          </w:p>
        </w:tc>
      </w:tr>
      <w:tr>
        <w:tc>
          <w:tcPr>
            <w:tcW w:type="dxa" w:w="534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薪酬激励政策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60</w:t>
            </w:r>
          </w:p>
        </w:tc>
        <w:tc>
          <w:tcPr>
            <w:tcW w:type="dxa" w:w="17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37.0%</w:t>
            </w:r>
          </w:p>
        </w:tc>
      </w:tr>
      <w:tr>
        <w:tc>
          <w:tcPr>
            <w:tcW w:type="dxa" w:w="53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岗位设置与编制保障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47</w:t>
            </w:r>
          </w:p>
        </w:tc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29.0%</w:t>
            </w:r>
          </w:p>
        </w:tc>
      </w:tr>
      <w:tr>
        <w:tc>
          <w:tcPr>
            <w:tcW w:type="dxa" w:w="534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学时学分认定与职称衔接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</w:t>
            </w:r>
          </w:p>
        </w:tc>
        <w:tc>
          <w:tcPr>
            <w:tcW w:type="dxa" w:w="17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26.5%</w:t>
            </w:r>
          </w:p>
        </w:tc>
      </w:tr>
      <w:tr>
        <w:tc>
          <w:tcPr>
            <w:tcW w:type="dxa" w:w="53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实训基地与师资库建设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</w:t>
            </w:r>
          </w:p>
        </w:tc>
        <w:tc>
          <w:tcPr>
            <w:tcW w:type="dxa" w:w="17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25.9%</w:t>
            </w:r>
          </w:p>
        </w:tc>
      </w:tr>
    </w:tbl>
    <w:p/>
    <w:p>
      <w:pPr>
        <w:keepNext w:val="0"/>
      </w:pPr>
      <w:r>
        <w:t>120人将纳入卫生健康人才发展规划列入政策支持前三，106人选择专项培养经费。规划与经费可以共同支持稳定的项目周期、导师队伍和实践基地，避免培养安排随单次培训结束而中断。</w:t>
      </w:r>
    </w:p>
    <w:p>
      <w:pPr>
        <w:pStyle w:val="Heading2"/>
      </w:pPr>
      <w:r>
        <w:t>培养成果应与职业发展机会衔接</w:t>
      </w:r>
    </w:p>
    <w:p>
      <w:pPr>
        <w:keepNext w:val="0"/>
      </w:pPr>
      <w:r>
        <w:t>153人认为培养结果与职称推荐挂钩较有必要；岗位聘任、薪酬激励和人才计划推荐分别有150人给予较高必要性评价。建议建立清晰的成果标准，将实际应用、问题解决和协作表现作为评价内容，并向参与人员说明成果如何用于后续发展。</w:t>
      </w:r>
    </w:p>
    <w:p>
      <w:pPr>
        <w:keepNext w:val="0"/>
      </w:pPr>
      <w:r>
        <w:t>职业通道评价中，跨部门轮岗与交流获得较高畅通评价的为75人，占46.3%，在各项通道中相对偏低。结合较高的跟岗需求，可优先完善跨部门交流的岗位安排、参与条件和成果要求，让学习机会与成长路径衔接。</w:t>
      </w:r>
    </w:p>
    <w:p>
      <w:pPr>
        <w:keepNext w:val="0"/>
      </w:pPr>
      <w:r>
        <w:t>在12份实质开放意见中，7份涉及治理与组织支持，3份涉及职业发展与公平激励，3份涉及实践应用，2份涉及经费或学习实践机会，1份涉及协同与案例共享。一份意见可以涉及多个主题。这些意见进一步提示，应关注组织支持、机会分配与实践落地。</w:t>
      </w:r>
    </w:p>
    <w:p>
      <w:pPr>
        <w:pStyle w:val="Heading1"/>
        <w:pageBreakBefore/>
      </w:pPr>
      <w:r>
        <w:t>七 分组结果与培养安排</w:t>
      </w:r>
    </w:p>
    <w:p>
      <w:pPr>
        <w:pStyle w:val="Heading2"/>
      </w:pPr>
      <w:r>
        <w:t>制度落实较好的受访者 更少报告缺乏系统评估</w:t>
      </w:r>
    </w:p>
    <w:p>
      <w:pPr>
        <w:keepNext w:val="0"/>
      </w:pPr>
      <w:r>
        <w:t>在32名回答制度落实到位的受访者中，9人报告尚无系统评估，占28.1%；在其余130名受访者中，对应为76人，占58.5%。两组相差约30个百分点，体现出制度落实与评价安排之间较清晰的关联。</w:t>
      </w:r>
    </w:p>
    <w:p>
      <w:pPr>
        <w:keepNext w:val="0"/>
      </w:pPr>
      <w:r>
        <w:t>管理上的启示是：培养制度与评价工具值得同步推进。制定制度时，同时明确过程记录、成果标准与跟踪反馈，能够使管理要求有具体落实载体。这一调查结果反映两者相伴出现，制度的实际效果仍应通过实施后的持续评价来检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8"/>
        <w:gridCol w:w="2621"/>
        <w:gridCol w:w="2621"/>
      </w:tblGrid>
      <w:tr>
        <w:trPr>
          <w:tblHeader/>
        </w:trPr>
        <w:tc>
          <w:tcPr>
            <w:tcW w:type="dxa" w:w="4838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调查事项</w:t>
            </w:r>
          </w:p>
        </w:tc>
        <w:tc>
          <w:tcPr>
            <w:tcW w:type="dxa" w:w="262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制度落实到位组</w:t>
            </w:r>
          </w:p>
        </w:tc>
        <w:tc>
          <w:tcPr>
            <w:tcW w:type="dxa" w:w="262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其他回答组</w:t>
            </w:r>
          </w:p>
        </w:tc>
      </w:tr>
      <w:tr>
        <w:tc>
          <w:tcPr>
            <w:tcW w:type="dxa" w:w="48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无系统评估</w:t>
            </w:r>
          </w:p>
        </w:tc>
        <w:tc>
          <w:tcPr>
            <w:tcW w:type="dxa" w:w="26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9/32（28.1%）</w:t>
            </w:r>
          </w:p>
        </w:tc>
        <w:tc>
          <w:tcPr>
            <w:tcW w:type="dxa" w:w="26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76/130（58.5%）</w:t>
            </w:r>
          </w:p>
        </w:tc>
      </w:tr>
      <w:tr>
        <w:tc>
          <w:tcPr>
            <w:tcW w:type="dxa" w:w="483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缺乏培训后跟踪</w:t>
            </w:r>
          </w:p>
        </w:tc>
        <w:tc>
          <w:tcPr>
            <w:tcW w:type="dxa" w:w="262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20/32（62.5%）</w:t>
            </w:r>
          </w:p>
        </w:tc>
        <w:tc>
          <w:tcPr>
            <w:tcW w:type="dxa" w:w="262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88/130（67.7%）</w:t>
            </w:r>
          </w:p>
        </w:tc>
      </w:tr>
      <w:tr>
        <w:tc>
          <w:tcPr>
            <w:tcW w:type="dxa" w:w="48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激励结果运用障碍</w:t>
            </w:r>
          </w:p>
        </w:tc>
        <w:tc>
          <w:tcPr>
            <w:tcW w:type="dxa" w:w="26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22/32（68.8%）</w:t>
            </w:r>
          </w:p>
        </w:tc>
        <w:tc>
          <w:tcPr>
            <w:tcW w:type="dxa" w:w="26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74/130（56.9%）</w:t>
            </w:r>
          </w:p>
        </w:tc>
      </w:tr>
    </w:tbl>
    <w:p/>
    <w:p>
      <w:pPr>
        <w:pStyle w:val="Caption"/>
        <w:keepNext w:val="0"/>
      </w:pPr>
      <w:r>
        <w:t>其他回答组包括“有制度但落实不足”和“无系统制度安排”两类。</w:t>
      </w:r>
    </w:p>
    <w:p>
      <w:pPr>
        <w:pStyle w:val="Heading2"/>
      </w:pPr>
      <w:r>
        <w:t>先看实际任务 再确定分层方式</w:t>
      </w:r>
    </w:p>
    <w:p>
      <w:pPr>
        <w:keepNext w:val="0"/>
      </w:pPr>
      <w:r>
        <w:t>本次医院类别比较尚未形成足够清晰的差异，暂不宜据此规定“某一层级医院就应采用某一种培养方式”。更实用的安排是先了解学员的业务任务、数据基础、可用学习时间和实践条件，再组合线上学习、跟岗、项目和导师指导。</w:t>
      </w:r>
    </w:p>
    <w:p>
      <w:pPr>
        <w:keepNext w:val="0"/>
      </w:pPr>
      <w:r>
        <w:t>管理岗位与其他岗位也可以共用业务理解和数据应用的基础课程，再按职责深化。管理人员增加协同决策、项目管理和团队带教任务；具体执行岗位加强数据处理、流程分析和改进方案形成。该安排是实施建议，具体内容应结合岗位需要确定。</w:t>
      </w:r>
    </w:p>
    <w:p>
      <w:pPr>
        <w:pStyle w:val="Heading2"/>
      </w:pPr>
      <w:r>
        <w:t>按成长阶段安排任务</w:t>
      </w:r>
    </w:p>
    <w:p>
      <w:pPr>
        <w:keepNext w:val="0"/>
      </w:pPr>
      <w:r>
        <w:t>103人认为合理培养周期为3至5年，占63.6%。分层培养方面，新入职人员、业务骨干、中层管理人员和领军人才对应培养重点的较高认同人数分别为140、145、145和148人。可据此建立逐步进阶的任务体系：新入职人员掌握流程与规范，骨干深化专项分析，中层训练协同与带教，领军人才加强战略与系统治理。</w:t>
      </w:r>
    </w:p>
    <w:p>
      <w:pPr>
        <w:pStyle w:val="Heading2"/>
      </w:pPr>
      <w:r>
        <w:t>核心方向可先落地 具体强度按人群调整</w:t>
      </w:r>
    </w:p>
    <w:p>
      <w:pPr>
        <w:keepNext w:val="0"/>
      </w:pPr>
      <w:r>
        <w:t>复核不同答卷组合后，数智课程、跟岗实践和持续跟踪仍是值得关注的方向。不同地区构成下，数据能力高差距比例有所变化，提示各地在安排课时和难度时，应进一步了解本地学员基础。可统一培养框架，同时保留课程深度和实践任务的调整空间。</w:t>
      </w:r>
    </w:p>
    <w:p>
      <w:pPr>
        <w:pStyle w:val="Heading1"/>
        <w:pageBreakBefore/>
      </w:pPr>
      <w:r>
        <w:t>八 项目实施建议</w:t>
      </w:r>
    </w:p>
    <w:p>
      <w:pPr>
        <w:pStyle w:val="Heading2"/>
      </w:pPr>
      <w:r>
        <w:t>第一步 确定项目与参与人员</w:t>
      </w:r>
    </w:p>
    <w:p>
      <w:pPr>
        <w:keepNext w:val="0"/>
      </w:pPr>
      <w:r>
        <w:t>由培养归口部门组织财务、运营、医保、临床和信息部门共同确定试点任务。建议先选取2至3个能够获得数据和业务配合的项目，例如预算执行偏差分析、病种成本与运营分析、医保精细化管理。每个项目明确要解决的问题、业务联系人和预期成果。</w:t>
      </w:r>
    </w:p>
    <w:p>
      <w:pPr>
        <w:keepNext w:val="0"/>
      </w:pPr>
      <w:r>
        <w:t>选拔参与人员时，可综合考虑实际岗位任务、学习基础和应用机会。对不同基础的学员安排递进任务，让新入职人员、骨干与管理人员在同一项目中承担相适应的职责。</w:t>
      </w:r>
    </w:p>
    <w:p>
      <w:pPr>
        <w:pStyle w:val="Heading2"/>
      </w:pPr>
      <w:r>
        <w:t>第二步 把课程嵌入项目过程</w:t>
      </w:r>
    </w:p>
    <w:p>
      <w:pPr>
        <w:keepNext w:val="0"/>
      </w:pPr>
      <w:r>
        <w:t>项目开始前学习相关业务流程与制度；执行过程中学习数据整理、分析和表达方法；阶段结束后进行案例复盘和方案讨论。由业务导师解释场景与流程，由财务或数据导师指导分析方法，使理论学习与实际问题相互连接。</w:t>
      </w:r>
    </w:p>
    <w:p>
      <w:pPr>
        <w:keepNext w:val="0"/>
      </w:pPr>
      <w:r>
        <w:t>线上内容适合支持基础知识学习和重复练习，集中实训用于需要协作和指导的任务，跟岗用于理解实际流程。具体比例根据岗位和项目条件确定。</w:t>
      </w:r>
    </w:p>
    <w:p>
      <w:pPr>
        <w:pStyle w:val="Heading2"/>
      </w:pPr>
      <w:r>
        <w:t>第三步 用成果检验学习进展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4133"/>
        <w:gridCol w:w="4334"/>
      </w:tblGrid>
      <w:tr>
        <w:trPr>
          <w:tblHeader/>
        </w:trPr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13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具体安排</w:t>
            </w:r>
          </w:p>
        </w:tc>
        <w:tc>
          <w:tcPr>
            <w:tcW w:type="dxa" w:w="43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可查看的成果</w:t>
            </w:r>
          </w:p>
        </w:tc>
      </w:tr>
      <w:tr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启动</w:t>
            </w:r>
          </w:p>
        </w:tc>
        <w:tc>
          <w:tcPr>
            <w:tcW w:type="dxa" w:w="41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明确业务问题与学习目标</w:t>
            </w:r>
          </w:p>
        </w:tc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任务说明、基线情况和项目计划</w:t>
            </w:r>
          </w:p>
        </w:tc>
      </w:tr>
      <w:tr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实施</w:t>
            </w:r>
          </w:p>
        </w:tc>
        <w:tc>
          <w:tcPr>
            <w:tcW w:type="dxa" w:w="413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开展导师反馈与阶段讨论</w:t>
            </w:r>
          </w:p>
        </w:tc>
        <w:tc>
          <w:tcPr>
            <w:tcW w:type="dxa" w:w="43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数据整理记录、阶段分析和修改记录</w:t>
            </w:r>
          </w:p>
        </w:tc>
      </w:tr>
      <w:tr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结项</w:t>
            </w:r>
          </w:p>
        </w:tc>
        <w:tc>
          <w:tcPr>
            <w:tcW w:type="dxa" w:w="41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业务部门与导师共同评审</w:t>
            </w:r>
          </w:p>
        </w:tc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分析报告、案例或改进方案</w:t>
            </w:r>
          </w:p>
        </w:tc>
      </w:tr>
      <w:tr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应用</w:t>
            </w:r>
          </w:p>
        </w:tc>
        <w:tc>
          <w:tcPr>
            <w:tcW w:type="dxa" w:w="413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将成果用于实际管理</w:t>
            </w:r>
          </w:p>
        </w:tc>
        <w:tc>
          <w:tcPr>
            <w:tcW w:type="dxa" w:w="43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采纳情况、使用部门反馈和应用记录</w:t>
            </w:r>
          </w:p>
        </w:tc>
      </w:tr>
      <w:tr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跟踪</w:t>
            </w:r>
          </w:p>
        </w:tc>
        <w:tc>
          <w:tcPr>
            <w:tcW w:type="dxa" w:w="41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持续检查应用效果与后续需求</w:t>
            </w:r>
          </w:p>
        </w:tc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同口径业务指标、复盘记录和下一阶段任务</w:t>
            </w:r>
          </w:p>
        </w:tc>
      </w:tr>
    </w:tbl>
    <w:p/>
    <w:p>
      <w:pPr>
        <w:keepNext w:val="0"/>
      </w:pPr>
      <w:r>
        <w:t>评价既看学员是否完成任务，也看成果是否进入实际工作。可优先记录报告质量、建议采纳、实际应用和部门反馈，再结合项目特点观察业务指标变化。实施中的问题应及时反馈到课程和导师安排中。</w:t>
      </w:r>
    </w:p>
    <w:p>
      <w:pPr>
        <w:pStyle w:val="Heading2"/>
      </w:pPr>
      <w:r>
        <w:t>第四步 建立持续培养安排</w:t>
      </w:r>
    </w:p>
    <w:p>
      <w:pPr>
        <w:keepNext w:val="0"/>
      </w:pPr>
      <w:r>
        <w:t>将年度课程、实践岗位、导师指导和项目评价纳入统一安排；把成熟案例沉淀为案例库，把适合重复训练的任务形成项目清单。对成效较好的试点逐步扩大，对参与困难或应用不足的环节调整资源和组织方式。</w:t>
      </w:r>
    </w:p>
    <w:p>
      <w:pPr>
        <w:keepNext w:val="0"/>
      </w:pPr>
      <w:r>
        <w:t>总体而言，本次调查支持以业务与数据能力为共同重点，以运营管理项目为主要应用场景，以跟岗、案例和导师指导为支撑，并通过持续评价促进成果运用。培养质量的提升，需要课程内容、实践机会和组织保障同步推进。</w:t>
      </w:r>
    </w:p>
    <w:p>
      <w:pPr>
        <w:pStyle w:val="Heading1"/>
        <w:pageBreakBefore/>
      </w:pPr>
      <w:r>
        <w:t>附录A 各题统计结果</w:t>
      </w:r>
    </w:p>
    <w:p>
      <w:pPr>
        <w:pStyle w:val="Caption"/>
        <w:keepNext w:val="0"/>
      </w:pPr>
      <w:r>
        <w:t>本附录按原题顺序列出全部题目。除Q11、Q12和Q47专门分母外，表中人数均为答卷数。量表分布依次为1至5分人数，高分为4至5分；Q22与Q35含义不同，必须连同题目锚点阅读。多选和排序选项保留原始术语，其他项的自由填写内容不公开。</w:t>
      </w:r>
    </w:p>
    <w:p>
      <w:pPr>
        <w:pStyle w:val="Heading2"/>
      </w:pPr>
      <w:r>
        <w:t>Q1 (1)1.贵院所在省份:___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江苏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23.5%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河南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20.4%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上海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广西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10.5%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浙江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8.6%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北京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4.9%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湖北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吉林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湖南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四川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2.5%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广东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山东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1.9%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天津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陕西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云南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河北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</w:tbl>
    <w:p/>
    <w:p>
      <w:pPr>
        <w:pStyle w:val="Caption"/>
        <w:keepNext w:val="0"/>
      </w:pPr>
      <w:r>
        <w:t>数据来源  数值版 Sheet1!G2:H163</w:t>
      </w:r>
    </w:p>
    <w:p>
      <w:pPr>
        <w:pStyle w:val="Heading2"/>
      </w:pPr>
      <w:r>
        <w:t>Q2 2.贵院类别（单选）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三级综合医院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65.4%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三级专科医院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39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24.1%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二级综合医院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二级专科医院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其他（请注明）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1.9%</w:t>
            </w:r>
          </w:p>
        </w:tc>
      </w:tr>
    </w:tbl>
    <w:p/>
    <w:p>
      <w:pPr>
        <w:pStyle w:val="Caption"/>
        <w:keepNext w:val="0"/>
      </w:pPr>
      <w:r>
        <w:t>数据来源  数值版 Sheet1!I2:I163</w:t>
      </w:r>
    </w:p>
    <w:p>
      <w:pPr>
        <w:pStyle w:val="Heading2"/>
      </w:pPr>
      <w:r>
        <w:t>Q3 3.您所在部门（单选）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领导班子成员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11.7%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财务部门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56.8%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审计部门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运营管理部门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医保管理部门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绩效/人事部门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院办/综合管理部门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3.1%</w:t>
            </w:r>
          </w:p>
        </w:tc>
      </w:tr>
    </w:tbl>
    <w:p/>
    <w:p>
      <w:pPr>
        <w:pStyle w:val="Caption"/>
        <w:keepNext w:val="0"/>
      </w:pPr>
      <w:r>
        <w:t>数据来源  数值版 Sheet1!J2:J163</w:t>
      </w:r>
    </w:p>
    <w:p>
      <w:pPr>
        <w:pStyle w:val="Heading2"/>
      </w:pPr>
      <w:r>
        <w:t>Q4 4.您的职务（单选）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院级领导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3.7%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总会计师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部门正职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部门副职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18.5%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43.8%</w:t>
            </w:r>
          </w:p>
        </w:tc>
      </w:tr>
    </w:tbl>
    <w:p/>
    <w:p>
      <w:pPr>
        <w:pStyle w:val="Caption"/>
        <w:keepNext w:val="0"/>
      </w:pPr>
      <w:r>
        <w:t>数据来源  数值版 Sheet1!K2:K163</w:t>
      </w:r>
    </w:p>
    <w:p>
      <w:pPr>
        <w:pStyle w:val="Heading2"/>
      </w:pPr>
      <w:r>
        <w:t xml:space="preserve">Q5 5.您的年龄（单选）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51岁及以上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41—50岁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26.5%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31—40岁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61.1%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30岁及以下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1.2%</w:t>
            </w:r>
          </w:p>
        </w:tc>
      </w:tr>
    </w:tbl>
    <w:p/>
    <w:p>
      <w:pPr>
        <w:pStyle w:val="Caption"/>
        <w:keepNext w:val="0"/>
      </w:pPr>
      <w:r>
        <w:t>数据来源  数值版 Sheet1!L2:L163</w:t>
      </w:r>
    </w:p>
    <w:p>
      <w:pPr>
        <w:pStyle w:val="Heading2"/>
      </w:pPr>
      <w:r>
        <w:t>Q6 6.您的最高学历（单选）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博士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1.9%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硕士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54.3%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本科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大专及以下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</w:tbl>
    <w:p/>
    <w:p>
      <w:pPr>
        <w:pStyle w:val="Caption"/>
        <w:keepNext w:val="0"/>
      </w:pPr>
      <w:r>
        <w:t>数据来源  数值版 Sheet1!M2:M163</w:t>
      </w:r>
    </w:p>
    <w:p>
      <w:pPr>
        <w:pStyle w:val="Heading2"/>
      </w:pPr>
      <w:r>
        <w:t>Q7 7.您的专业背景（单选）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财会审计类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87.7%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医疗/护理类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卫生管理类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经济金融类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信息技术类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1.9%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1.2%</w:t>
            </w:r>
          </w:p>
        </w:tc>
      </w:tr>
    </w:tbl>
    <w:p/>
    <w:p>
      <w:pPr>
        <w:pStyle w:val="Caption"/>
        <w:keepNext w:val="0"/>
      </w:pPr>
      <w:r>
        <w:t>数据来源  数值版 Sheet1!N2:N163</w:t>
      </w:r>
    </w:p>
    <w:p>
      <w:pPr>
        <w:pStyle w:val="Heading2"/>
      </w:pPr>
      <w:r>
        <w:t xml:space="preserve">Q8 8.您的职称（单选）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正高级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15.4%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副高级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30.9%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中级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51.2%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初级及以下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未评聘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1.9%</w:t>
            </w:r>
          </w:p>
        </w:tc>
      </w:tr>
    </w:tbl>
    <w:p/>
    <w:p>
      <w:pPr>
        <w:pStyle w:val="Caption"/>
        <w:keepNext w:val="0"/>
      </w:pPr>
      <w:r>
        <w:t>数据来源  数值版 Sheet1!O2:O163</w:t>
      </w:r>
    </w:p>
    <w:p>
      <w:pPr>
        <w:pStyle w:val="Heading2"/>
      </w:pPr>
      <w:r>
        <w:t>Q9 9.您从事卫生健康经济管理相关工作的年限（单选）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20年以上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24.7%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11—20年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67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41.4%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6—10年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27.8%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3—5年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4.3%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3年以下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1.9%</w:t>
            </w:r>
          </w:p>
        </w:tc>
      </w:tr>
    </w:tbl>
    <w:p/>
    <w:p>
      <w:pPr>
        <w:pStyle w:val="Caption"/>
        <w:keepNext w:val="0"/>
      </w:pPr>
      <w:r>
        <w:t>数据来源  数值版 Sheet1!P2:P163</w:t>
      </w:r>
    </w:p>
    <w:p>
      <w:pPr>
        <w:pStyle w:val="Heading2"/>
      </w:pPr>
      <w:r>
        <w:t>Q10 10.贵院岗位与机构设置情况（分别勾选）—设置总会计师岗位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1210"/>
        <w:gridCol w:w="1210"/>
        <w:gridCol w:w="1210"/>
        <w:gridCol w:w="1411"/>
      </w:tblGrid>
      <w:tr>
        <w:trPr>
          <w:tblHeader/>
        </w:trPr>
        <w:tc>
          <w:tcPr>
            <w:tcW w:type="dxa" w:w="504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是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否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是比例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设置总会计师岗位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109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53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67.3%</w:t>
            </w:r>
          </w:p>
        </w:tc>
      </w:tr>
      <w:tr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设立独立运营管理部门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102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63.0%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设置独立医保管理部门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151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93.2%</w:t>
            </w:r>
          </w:p>
        </w:tc>
      </w:tr>
      <w:tr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设置独立内部审计部门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92.6%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明确经济管理人员培养归口管理部门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76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86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46.9%</w:t>
            </w:r>
          </w:p>
        </w:tc>
      </w:tr>
    </w:tbl>
    <w:p/>
    <w:p>
      <w:pPr>
        <w:pStyle w:val="Caption"/>
        <w:keepNext w:val="0"/>
      </w:pPr>
      <w:r>
        <w:t>数据来源  数值版 Sheet1!Q2:U163</w:t>
      </w:r>
    </w:p>
    <w:p>
      <w:pPr>
        <w:pStyle w:val="Heading2"/>
      </w:pPr>
      <w:r>
        <w:t>Q11 (1)11.贵院经济管理人员队伍结构（填写人数，本部分所称经济管理人员，是指总会计师、财务（不含窗口收费人员）、审计、运营、合规、医保、绩效等部门人员，下同。） 在岗总人数___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37"/>
        <w:gridCol w:w="1512"/>
        <w:gridCol w:w="1512"/>
        <w:gridCol w:w="1210"/>
        <w:gridCol w:w="1210"/>
      </w:tblGrid>
      <w:tr>
        <w:trPr>
          <w:tblHeader/>
        </w:trPr>
        <w:tc>
          <w:tcPr>
            <w:tcW w:type="dxa" w:w="4637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填报记录数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记录计数和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中位数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最大值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在岗总人数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12573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5300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其中:博士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523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500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硕士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1909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1300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本科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5992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2500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大专及以下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1672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1000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职称:正高级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479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300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副高级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1544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800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中级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3086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1500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初级及以下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4117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2700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专业背景:财会审计类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1985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100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医疗/护理类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5495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4100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卫生管理类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602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300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信息技术类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294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经济金融类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193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944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500</w:t>
            </w:r>
          </w:p>
        </w:tc>
      </w:tr>
    </w:tbl>
    <w:p/>
    <w:p>
      <w:pPr>
        <w:pStyle w:val="Caption"/>
        <w:keepNext w:val="0"/>
      </w:pPr>
      <w:r>
        <w:t>本题按各字段实际填报记录统计。记录计数和为填写数值之和，不作为去重后的人员规模或整体人员结构。</w:t>
      </w:r>
    </w:p>
    <w:p>
      <w:pPr>
        <w:pStyle w:val="Caption"/>
        <w:keepNext w:val="0"/>
      </w:pPr>
      <w:r>
        <w:t>数据来源  数值版 Sheet1!V2:AJ163</w:t>
      </w:r>
    </w:p>
    <w:p>
      <w:pPr>
        <w:pStyle w:val="Heading2"/>
      </w:pPr>
      <w:r>
        <w:t>Q12 (1)12.贵院经济管理人员中持有会计、审计、经济专业技术资格或CPA/CMA/CIA等职业资格的人员情况（同一人持有多项资格的分别计入） 正高级专业技术资格___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37"/>
        <w:gridCol w:w="1512"/>
        <w:gridCol w:w="1512"/>
        <w:gridCol w:w="1210"/>
        <w:gridCol w:w="1210"/>
      </w:tblGrid>
      <w:tr>
        <w:trPr>
          <w:tblHeader/>
        </w:trPr>
        <w:tc>
          <w:tcPr>
            <w:tcW w:type="dxa" w:w="4637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填报记录数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记录计数和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中位数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最大值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正高级专业技术资格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99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副高级专业技术资格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329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中级专业技术资格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799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36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初级及以下专业技术资格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971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</w:t>
            </w:r>
          </w:p>
        </w:tc>
      </w:tr>
      <w:tr>
        <w:tc>
          <w:tcPr>
            <w:tcW w:type="dxa" w:w="4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注册会计师（CPA）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4637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管理会计师（CMA）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32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</w:t>
            </w:r>
          </w:p>
        </w:tc>
      </w:tr>
    </w:tbl>
    <w:p/>
    <w:p>
      <w:pPr>
        <w:pStyle w:val="Caption"/>
        <w:keepNext w:val="0"/>
      </w:pPr>
      <w:r>
        <w:t>同一人持有多项资格可分别计入。各项按实际填报记录统计，资格计数不相加为独立持证人数。</w:t>
      </w:r>
    </w:p>
    <w:p>
      <w:pPr>
        <w:pStyle w:val="Caption"/>
        <w:keepNext w:val="0"/>
      </w:pPr>
      <w:r>
        <w:t>数据来源  数值版 Sheet1!AK2:AP163</w:t>
      </w:r>
    </w:p>
    <w:p>
      <w:pPr>
        <w:pStyle w:val="Heading2"/>
      </w:pPr>
      <w:r>
        <w:t>Q13 13.贵院经济管理人员配置的充足程度（单选）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严重不足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相对不足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44.4%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基本满足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比较充足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7.4%</w:t>
            </w:r>
          </w:p>
        </w:tc>
      </w:tr>
    </w:tbl>
    <w:p/>
    <w:p>
      <w:pPr>
        <w:pStyle w:val="Caption"/>
        <w:keepNext w:val="0"/>
      </w:pPr>
      <w:r>
        <w:t>数据来源  数值版 Sheet1!AQ2:AQ163</w:t>
      </w:r>
    </w:p>
    <w:p>
      <w:pPr>
        <w:pStyle w:val="Heading2"/>
      </w:pPr>
      <w:r>
        <w:t>Q14 14.当前最紧缺的岗位（可多选，最多3项）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成本核算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预算管理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36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运营分析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57.4%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医保管理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13.0%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内部审计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物价管理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6.8%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绩效管理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数据分析/信息化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63.6%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综合财务管理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38.9%</w:t>
            </w:r>
          </w:p>
        </w:tc>
      </w:tr>
    </w:tbl>
    <w:p/>
    <w:p>
      <w:pPr>
        <w:pStyle w:val="Caption"/>
        <w:keepNext w:val="0"/>
      </w:pPr>
      <w:r>
        <w:t>数据来源  数值版 Sheet1!AR2:AZ163</w:t>
      </w:r>
    </w:p>
    <w:p>
      <w:pPr>
        <w:pStyle w:val="Heading2"/>
      </w:pPr>
      <w:r>
        <w:t>Q15 15.贵院是否建立了经济管理人员培养培训制度并落实到位（单选）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有制度且落实到位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19.8%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有制度但落实不足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无系统制度安排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50.0%</w:t>
            </w:r>
          </w:p>
        </w:tc>
      </w:tr>
    </w:tbl>
    <w:p/>
    <w:p>
      <w:pPr>
        <w:pStyle w:val="Caption"/>
        <w:keepNext w:val="0"/>
      </w:pPr>
      <w:r>
        <w:t>数据来源  数值版 Sheet1!BA2:BA163</w:t>
      </w:r>
    </w:p>
    <w:p>
      <w:pPr>
        <w:pStyle w:val="Heading2"/>
      </w:pPr>
      <w:r>
        <w:t>Q16 16.贵院经济管理人员年人均培训学时（单选）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20学时以下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30.9%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20—40学时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32.7%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41—60学时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61—90学时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12.3%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90学时以上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11.1%</w:t>
            </w:r>
          </w:p>
        </w:tc>
      </w:tr>
    </w:tbl>
    <w:p/>
    <w:p>
      <w:pPr>
        <w:pStyle w:val="Caption"/>
        <w:keepNext w:val="0"/>
      </w:pPr>
      <w:r>
        <w:t>数据来源  数值版 Sheet1!BB2:BB163</w:t>
      </w:r>
    </w:p>
    <w:p>
      <w:pPr>
        <w:pStyle w:val="Heading2"/>
      </w:pPr>
      <w:r>
        <w:t>Q17 17.贵院现有培养培训的内容（可多选）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会计准则与制度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69.1%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预算绩效管理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61.7%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DRG/DIP与医保政策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59.9%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成本核算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51.2%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信息化与数据工具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管理沟通与领导力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18.5%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政策法规与合规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52.5%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3.1%</w:t>
            </w:r>
          </w:p>
        </w:tc>
      </w:tr>
    </w:tbl>
    <w:p/>
    <w:p>
      <w:pPr>
        <w:pStyle w:val="Caption"/>
        <w:keepNext w:val="0"/>
      </w:pPr>
      <w:r>
        <w:t>数据来源  数值版 Sheet1!BC2:BJ163</w:t>
      </w:r>
    </w:p>
    <w:p>
      <w:pPr>
        <w:pStyle w:val="Heading2"/>
      </w:pPr>
      <w:r>
        <w:t>Q18 18.贵院现有培养培训的方式（可多选）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院内讲座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55.6%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外派短期集中培训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75.3%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学历学位教育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34.0%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跟岗学习/轮岗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线上课程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55.6%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导师制带教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学术会议与专题研讨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41.4%</w:t>
            </w:r>
          </w:p>
        </w:tc>
      </w:tr>
    </w:tbl>
    <w:p/>
    <w:p>
      <w:pPr>
        <w:pStyle w:val="Caption"/>
        <w:keepNext w:val="0"/>
      </w:pPr>
      <w:r>
        <w:t>数据来源  数值版 Sheet1!BK2:BQ163</w:t>
      </w:r>
    </w:p>
    <w:p>
      <w:pPr>
        <w:pStyle w:val="Heading2"/>
      </w:pPr>
      <w:r>
        <w:t>Q19 19.当前培养培训工作存在的主要问题（可多选，最多4项）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培训内容脱离医院实务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28.4%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短期集中为主、缺乏跟踪管理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108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66.7%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缺乏效果评估机制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分层分类不够、针对性不强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师资力量不足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工作学习矛盾突出、时间难保障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缺乏考核激励、学用脱节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32.7%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经费投入不足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36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0.0%</w:t>
            </w:r>
          </w:p>
        </w:tc>
      </w:tr>
    </w:tbl>
    <w:p/>
    <w:p>
      <w:pPr>
        <w:pStyle w:val="Caption"/>
        <w:keepNext w:val="0"/>
      </w:pPr>
      <w:r>
        <w:t>数据来源  数值版 Sheet1!BR2:BZ163</w:t>
      </w:r>
    </w:p>
    <w:p>
      <w:pPr>
        <w:pStyle w:val="Heading2"/>
      </w:pPr>
      <w:r>
        <w:t xml:space="preserve">Q20 20.贵院业财融合推进程度（单选）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尚未起步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试点探索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35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部分领域推进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51.9%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全面推进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19.1%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深度融合发展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3.1%</w:t>
            </w:r>
          </w:p>
        </w:tc>
      </w:tr>
    </w:tbl>
    <w:p/>
    <w:p>
      <w:pPr>
        <w:pStyle w:val="Caption"/>
        <w:keepNext w:val="0"/>
      </w:pPr>
      <w:r>
        <w:t>数据来源  数值版 Sheet1!CA2:CA163</w:t>
      </w:r>
    </w:p>
    <w:p>
      <w:pPr>
        <w:pStyle w:val="Heading2"/>
      </w:pPr>
      <w:r>
        <w:t xml:space="preserve">Q21 21.贵院业财融合已实施的管理举措（可多选）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DRG/DIP医保支付方式改革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67.3%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全面预算管理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127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78.4%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全成本核算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63.0%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公立医院绩效考核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74.7%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内部控制建设与财会监督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62.3%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智慧医院/运营数据中心建设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45.1%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0.0%</w:t>
            </w:r>
          </w:p>
        </w:tc>
      </w:tr>
    </w:tbl>
    <w:p/>
    <w:p>
      <w:pPr>
        <w:pStyle w:val="Caption"/>
        <w:keepNext w:val="0"/>
      </w:pPr>
      <w:r>
        <w:t>数据来源  数值版 Sheet1!CB2:CH163</w:t>
      </w:r>
    </w:p>
    <w:p>
      <w:pPr>
        <w:pStyle w:val="Heading2"/>
      </w:pPr>
      <w:r>
        <w:t>Q22 22.现有队伍与“懂业务、通财务、善管理、会数据、防风险”复合型人才要求的差距有多大?请在相应栏内打“✓”（1=差距很小，5=差距很大） —D1 懂业务:理解医疗业务流程与临床运行规律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D1 懂业务:理解医疗业务流程与临床运行规律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 / 20 / 68 / 47 / 19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3.30±1.00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66/162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40.7%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D2 通财务:掌握财务、预算、成本专业知识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33 / 44 / 43 / 29 / 13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2.66±1.22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25.9%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D3 善管理:具备运营管理与综合协调能力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 / 32 / 78 / 29 / 16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3.09±0.97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45/162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27.8%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D4 会数据:具备数字化工具与数据分析能力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 / 22 / 69 / 43 / 14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3.13±1.04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57/162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35.2%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D5 防风险:具备内控、审计与合规监督能力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 / 39 / 64 / 36 / 13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3.02±1.02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30.2%</w:t>
            </w:r>
          </w:p>
        </w:tc>
      </w:tr>
    </w:tbl>
    <w:p/>
    <w:p>
      <w:pPr>
        <w:pStyle w:val="Caption"/>
        <w:keepNext w:val="0"/>
      </w:pPr>
      <w:r>
        <w:t>数据来源  数值版 Sheet1!CI2:CM163</w:t>
      </w:r>
    </w:p>
    <w:p>
      <w:pPr>
        <w:pStyle w:val="Heading2"/>
      </w:pPr>
      <w:r>
        <w:t>Q23 23.未来3年贵院最急需的经济管理人才类型（请排序前3位，1=最急需，2=次之，3=再次之）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31"/>
        <w:gridCol w:w="806"/>
        <w:gridCol w:w="806"/>
        <w:gridCol w:w="806"/>
        <w:gridCol w:w="1210"/>
        <w:gridCol w:w="1210"/>
        <w:gridCol w:w="1310"/>
      </w:tblGrid>
      <w:tr>
        <w:trPr>
          <w:tblHeader/>
        </w:trPr>
        <w:tc>
          <w:tcPr>
            <w:tcW w:type="dxa" w:w="393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第1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第2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第3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前三人数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首选率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前三率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成本与预算管理人才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24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83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17.9%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51.2%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运营管理人才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67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23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133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41.4%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82.1%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医保管理人才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3.7%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25.9%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内审与监督人才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1.9%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11.7%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数据分析人才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23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57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14.2%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74.1%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综合管理人才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34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39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21.0%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54.9%</w:t>
            </w:r>
          </w:p>
        </w:tc>
      </w:tr>
    </w:tbl>
    <w:p/>
    <w:p>
      <w:pPr>
        <w:pStyle w:val="Caption"/>
        <w:keepNext w:val="0"/>
      </w:pPr>
      <w:r>
        <w:t>数据来源  数值版 Sheet1!CN2:CS163</w:t>
      </w:r>
    </w:p>
    <w:p>
      <w:pPr>
        <w:pStyle w:val="Heading2"/>
      </w:pPr>
      <w:r>
        <w:t>Q24 24.对分层分类培养模式各层级培养重点的认同程度（1=很不认同，5=很认同），请在相应栏内打“✓” —E1 新入职人员:夯实财务、医疗、管理、信息交叉基础，强化跟岗实训与基本制度规范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E1 新入职人员:夯实财务、医疗、管理、信息交叉基础，强化跟岗实训与基本制度规范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 / 4 / 13 / 29 / 111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4.46±0.97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140/162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86.4%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E2 业务骨干人员:围绕预算绩效、成本核算、数智运营、风控监督等专项能力系统深化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 / 1 / 12 / 26 / 119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4.57±0.85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145/162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89.5%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E3 中层管理人员:提升运营管理、跨部门协同与团队带教能力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 / 2 / 11 / 25 / 120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4.57±0.87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145/162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89.5%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E4 领军人才（总会计师及院领导）:提升战略思维、行业引领与穿透式监管能力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 / 1 / 8 / 25 / 123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4.60±0.87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148/162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91.4%</w:t>
            </w:r>
          </w:p>
        </w:tc>
      </w:tr>
    </w:tbl>
    <w:p/>
    <w:p>
      <w:pPr>
        <w:pStyle w:val="Caption"/>
        <w:keepNext w:val="0"/>
      </w:pPr>
      <w:r>
        <w:t>数据来源  数值版 Sheet1!CT2:CW163</w:t>
      </w:r>
    </w:p>
    <w:p>
      <w:pPr>
        <w:pStyle w:val="Heading2"/>
      </w:pPr>
      <w:r>
        <w:t>Q25 25.您认为最有效的培养方式（请选出3项并排序，1=最有效，2=次之，3=再次之）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31"/>
        <w:gridCol w:w="806"/>
        <w:gridCol w:w="806"/>
        <w:gridCol w:w="806"/>
        <w:gridCol w:w="1210"/>
        <w:gridCol w:w="1210"/>
        <w:gridCol w:w="1310"/>
      </w:tblGrid>
      <w:tr>
        <w:trPr>
          <w:tblHeader/>
        </w:trPr>
        <w:tc>
          <w:tcPr>
            <w:tcW w:type="dxa" w:w="393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第1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第2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第3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前三人数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首选率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前三率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双导师制（业务导师+财务导师）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33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62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20.4%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38.3%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跟岗实训/实训医院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65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125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40.1%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77.2%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真实案例教学与案例库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39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13.0%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55.6%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项目制学习（参与实际管理项目）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33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32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95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18.5%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58.6%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学历学位教育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6.2%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短期专题研修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28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17.3%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线上自主学习平台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1.2%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2.5%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跨部门交流挂职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41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72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5.6%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44.4%</w:t>
            </w:r>
          </w:p>
        </w:tc>
      </w:tr>
    </w:tbl>
    <w:p/>
    <w:p>
      <w:pPr>
        <w:pStyle w:val="Caption"/>
        <w:keepNext w:val="0"/>
      </w:pPr>
      <w:r>
        <w:t>数据来源  数值版 Sheet1!CX2:DE163</w:t>
      </w:r>
    </w:p>
    <w:p>
      <w:pPr>
        <w:pStyle w:val="Heading2"/>
      </w:pPr>
      <w:r>
        <w:t>Q26 26.下列课程模块对人才培养的必要程度（1=很没必要，5=很有必要），请在相应栏内打“✓” —F1 战略管理与领导力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F1 战略管理与领导力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5 / 26 / 49 / 82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4.28±0.84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131/162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80.9%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F2 卫生政策与财经法规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13 / 41 / 106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4.55±0.70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147/162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90.7%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F3 医疗业务流程与临床认知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11 / 49 / 101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4.54±0.65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150/162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92.6%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F4 跨部门沟通与协同管理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0 / 10 / 42 / 110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4.62±0.60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152/162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93.8%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F5 DRG/DIP与医保精细化管理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12 / 44 / 105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4.56±0.66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149/162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92.0%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F6 预算管理与绩效评价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9 / 44 / 107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4.58±0.66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151/162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93.2%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F7 成本核算与运营分析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5 / 45 / 111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4.64±0.58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156/162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96.3%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F8 数智化运营与数据分析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0 / 6 / 37 / 119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4.70±0.54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156/162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96.3%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F9 内部控制、审计与风险防控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17 / 38 / 106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4.54±0.71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144/162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88.9%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F10 科教管理与成果转化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10 / 37 / 54 / 60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4.00±0.95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114/162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70.4%</w:t>
            </w:r>
          </w:p>
        </w:tc>
      </w:tr>
    </w:tbl>
    <w:p/>
    <w:p>
      <w:pPr>
        <w:pStyle w:val="Caption"/>
        <w:keepNext w:val="0"/>
      </w:pPr>
      <w:r>
        <w:t>数据来源  数值版 Sheet1!DF2:DO163</w:t>
      </w:r>
    </w:p>
    <w:p>
      <w:pPr>
        <w:pStyle w:val="Heading2"/>
      </w:pPr>
      <w:r>
        <w:t>Q27 27.下列培养方式对人才培养的支持作用（1=作用很小，5=作用很大），请在相应栏内打“✓” —G1 案例库与教学案例开发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G1 案例库与教学案例开发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3 / 18 / 53 / 87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4.37±0.80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140/162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86.4%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G2 实训基地（实训医院）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14 / 47 / 100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4.52±0.68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147/162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90.7%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G3 线上学习平台与移动微课堂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 / 13 / 44 / 55 / 47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3.80±1.01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102/162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63.0%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G4 真实管理项目池（项目制学习）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12 / 51 / 97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4.50±0.69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148/162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91.4%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G5 虚拟运营沙盘演练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 / 7 / 41 / 56 / 53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3.90±1.01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109/162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67.3%</w:t>
            </w:r>
          </w:p>
        </w:tc>
      </w:tr>
    </w:tbl>
    <w:p/>
    <w:p>
      <w:pPr>
        <w:pStyle w:val="Caption"/>
        <w:keepNext w:val="0"/>
      </w:pPr>
      <w:r>
        <w:t>数据来源  数值版 Sheet1!DP2:DT163</w:t>
      </w:r>
    </w:p>
    <w:p>
      <w:pPr>
        <w:pStyle w:val="Heading2"/>
      </w:pPr>
      <w:r>
        <w:t xml:space="preserve">Q28 28.贵院与院校、专业机构的合作形式（可多选）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共建课程体系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共建案例库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35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共建实践基地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联合开展岗位能力评价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10.5%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互派师资/导师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委托开展专项培训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30.2%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尚无合作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49.4%</w:t>
            </w:r>
          </w:p>
        </w:tc>
      </w:tr>
    </w:tbl>
    <w:p/>
    <w:p>
      <w:pPr>
        <w:pStyle w:val="Caption"/>
        <w:keepNext w:val="0"/>
      </w:pPr>
      <w:r>
        <w:t>数据来源  数值版 Sheet1!DU2:EA163</w:t>
      </w:r>
    </w:p>
    <w:p>
      <w:pPr>
        <w:pStyle w:val="Heading2"/>
      </w:pPr>
      <w:r>
        <w:t>Q29 29.贵院与院校、专业机构的 “业务导师+财务导师”双导师制（单选）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已实施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有意愿、一年内启动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7.4%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有意愿但条件暂不具备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56.2%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暂无意愿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32.1%</w:t>
            </w:r>
          </w:p>
        </w:tc>
      </w:tr>
    </w:tbl>
    <w:p/>
    <w:p>
      <w:pPr>
        <w:pStyle w:val="Caption"/>
        <w:keepNext w:val="0"/>
      </w:pPr>
      <w:r>
        <w:t>数据来源  数值版 Sheet1!EB2:EB163</w:t>
      </w:r>
    </w:p>
    <w:p>
      <w:pPr>
        <w:pStyle w:val="Heading2"/>
      </w:pPr>
      <w:r>
        <w:t>Q30 30.贵院对培养效果的评估与结果运用方式（可多选）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阶段性测试或结业考核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26.5%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培训前后绩效指标对照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37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22.8%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成果汇报与案例产出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培训结果与考核、聘任挂钩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尚无系统评估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52.5%</w:t>
            </w:r>
          </w:p>
        </w:tc>
      </w:tr>
    </w:tbl>
    <w:p/>
    <w:p>
      <w:pPr>
        <w:pStyle w:val="Caption"/>
        <w:keepNext w:val="0"/>
      </w:pPr>
      <w:r>
        <w:t>数据来源  数值版 Sheet1!EC2:EG163</w:t>
      </w:r>
    </w:p>
    <w:p>
      <w:pPr>
        <w:pStyle w:val="Heading2"/>
      </w:pPr>
      <w:r>
        <w:t>Q31 31.您认为经济管理骨干成长为复合型人才所需的合理培养周期（单选）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3年以下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3—5年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63.6%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6—10年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10年及以上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4.9%</w:t>
            </w:r>
          </w:p>
        </w:tc>
      </w:tr>
    </w:tbl>
    <w:p/>
    <w:p>
      <w:pPr>
        <w:pStyle w:val="Caption"/>
        <w:keepNext w:val="0"/>
      </w:pPr>
      <w:r>
        <w:t>数据来源  数值版 Sheet1!EH2:EH163</w:t>
      </w:r>
    </w:p>
    <w:p>
      <w:pPr>
        <w:pStyle w:val="Heading2"/>
      </w:pPr>
      <w:r>
        <w:t>Q32 32.下列院内长效保障机制对人才培养落地的重要程度（1=很不重要，5=很重要），请在相应栏内打“✓”—H1 组织领导与归口管理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H1 组织领导与归口管理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11 / 39 / 110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4.59±0.67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149/162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92.0%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H2 岗位设置与总会计师制度落实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1 / 17 / 47 / 96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4.46±0.76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143/162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88.3%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H3 师资队伍建设（双师型、行业导师库）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5 / 20 / 60 / 77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4.29±0.80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137/162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84.6%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H4 经费投入保障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3 / 8 / 47 / 104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4.56±0.68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151/162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93.2%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H5 考核激励与培训结果运用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8 / 44 / 108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4.59±0.65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152/162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93.8%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H6 职业发展通道与职称晋升衔接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5 / 41 / 114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4.65±0.61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155/162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95.7%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H7 学习时间保障与安排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13 / 46 / 101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4.52±0.70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147/162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90.7%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H8 信息化学习平台与培训档案管理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26 / 61 / 73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4.27±0.77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134/162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82.7%</w:t>
            </w:r>
          </w:p>
        </w:tc>
      </w:tr>
    </w:tbl>
    <w:p/>
    <w:p>
      <w:pPr>
        <w:pStyle w:val="Caption"/>
        <w:keepNext w:val="0"/>
      </w:pPr>
      <w:r>
        <w:t>数据来源  数值版 Sheet1!EI2:EP163</w:t>
      </w:r>
    </w:p>
    <w:p>
      <w:pPr>
        <w:pStyle w:val="Heading2"/>
      </w:pPr>
      <w:r>
        <w:t>Q33 33.对下列人才培养体系机制建设的认同程度（1=很不支持，5=很支持），请在相应栏内打“✓” —I1 建立分层分类培训体系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I1 建立分层分类培训体系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8 / 45 / 108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4.60±0.61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153/162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94.4%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I2 建立岗位胜任力评价体系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12 / 45 / 104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4.56±0.66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149/162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92.0%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I3 建立行业经济管理人才库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16 / 43 / 102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4.52±0.70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145/162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89.5%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I4 建立行业师资库与课程认证制度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18 / 49 / 94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4.46±0.71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143/162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88.3%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I5 继续教育学分与职称评审衔接制度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3 / 16 / 48 / 94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4.43±0.79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142/162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87.7%</w:t>
            </w:r>
          </w:p>
        </w:tc>
      </w:tr>
    </w:tbl>
    <w:p/>
    <w:p>
      <w:pPr>
        <w:pStyle w:val="Caption"/>
        <w:keepNext w:val="0"/>
      </w:pPr>
      <w:r>
        <w:t>数据来源  数值版 Sheet1!EQ2:EU163</w:t>
      </w:r>
    </w:p>
    <w:p>
      <w:pPr>
        <w:pStyle w:val="Heading2"/>
      </w:pPr>
      <w:r>
        <w:t>Q34 34.培养结果与考核激励挂钩方式的选择（单选;下列挂钩方式的必要程度1=很没必要，5=很有必要），请在相应栏内打"✓" —J1 评优评先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J1 评优评先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 / 4 / 18 / 38 / 100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4.42±0.88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138/162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85.2%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J2 岗位聘任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4 / 7 / 37 / 113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4.59±0.74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150/162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92.6%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J3   薪酬激励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5 / 6 / 38 / 112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4.57±0.76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150/162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92.6%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J4   职称推荐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3 / 5 / 39 / 114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4.62±0.70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153/162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94.4%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J5 人才计划推荐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2 / 9 / 37 / 113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4.60±0.71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150/162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92.6%</w:t>
            </w:r>
          </w:p>
        </w:tc>
      </w:tr>
    </w:tbl>
    <w:p/>
    <w:p>
      <w:pPr>
        <w:pStyle w:val="Caption"/>
        <w:keepNext w:val="0"/>
      </w:pPr>
      <w:r>
        <w:t>数据来源  数值版 Sheet1!EV2:EZ163</w:t>
      </w:r>
    </w:p>
    <w:p>
      <w:pPr>
        <w:pStyle w:val="Heading2"/>
      </w:pPr>
      <w:r>
        <w:t>Q35 35.贵院经济管理人员职业发展通道各环节的畅通程度（1=严重梗阻，5=非常畅通），请在相应栏内打"✓" —K1 职称评审与聘任通道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K1 职称评审与聘任通道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 / 14 / 41 / 48 / 50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3.72±1.16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98/162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60.5%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K2 岗位层级与职务晋升通道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 / 15 / 50 / 46 / 43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3.62±1.12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54.9%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K3 跨部门轮岗与交流通道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 / 23 / 56 / 36 / 39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3.46±1.15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75/162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46.3%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K4 专业能力进阶与培训通道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 / 8 / 53 / 47 / 49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3.78±1.03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96/162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59.3%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K5 领军人才与后备人才成长通道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 / 10 / 52 / 46 / 47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3.72±1.08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57.4%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K6 薪酬待遇与个人价值体现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 / 17 / 49 / 52 / 39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3.64±1.06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56.2%</w:t>
            </w:r>
          </w:p>
        </w:tc>
      </w:tr>
    </w:tbl>
    <w:p/>
    <w:p>
      <w:pPr>
        <w:pStyle w:val="Caption"/>
        <w:keepNext w:val="0"/>
      </w:pPr>
      <w:r>
        <w:t>数据来源  数值版 Sheet1!FA2:FF163</w:t>
      </w:r>
    </w:p>
    <w:p>
      <w:pPr>
        <w:pStyle w:val="Heading2"/>
      </w:pPr>
      <w:r>
        <w:t>Q36 36.贵院经济管理人员年人均培训经费（单选）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1000元以下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29.6%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1000—3000元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38.3%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3000—5000元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5000—10000元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10000元以上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4.3%</w:t>
            </w:r>
          </w:p>
        </w:tc>
      </w:tr>
    </w:tbl>
    <w:p/>
    <w:p>
      <w:pPr>
        <w:pStyle w:val="Caption"/>
        <w:keepNext w:val="0"/>
      </w:pPr>
      <w:r>
        <w:t>数据来源  数值版 Sheet1!FG2:FG163</w:t>
      </w:r>
    </w:p>
    <w:p>
      <w:pPr>
        <w:pStyle w:val="Heading2"/>
      </w:pPr>
      <w:r>
        <w:t>Q37 37.贵院经济管理人员培养经费来源（可多选）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单位预算安排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91.4%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主管部门专项经费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38.3%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学会/协会项目支持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个人承担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33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20.4%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1.2%</w:t>
            </w:r>
          </w:p>
        </w:tc>
      </w:tr>
    </w:tbl>
    <w:p/>
    <w:p>
      <w:pPr>
        <w:pStyle w:val="Caption"/>
        <w:keepNext w:val="0"/>
      </w:pPr>
      <w:r>
        <w:t>数据来源  数值版 Sheet1!FH2:FL163</w:t>
      </w:r>
    </w:p>
    <w:p>
      <w:pPr>
        <w:pStyle w:val="Heading2"/>
      </w:pPr>
      <w:r>
        <w:t>Q38 38.您最希望主管部门出台的政策支持（请排序前3位，1=最迫切，2=次之，3=再次之）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31"/>
        <w:gridCol w:w="806"/>
        <w:gridCol w:w="806"/>
        <w:gridCol w:w="806"/>
        <w:gridCol w:w="1210"/>
        <w:gridCol w:w="1210"/>
        <w:gridCol w:w="1310"/>
      </w:tblGrid>
      <w:tr>
        <w:trPr>
          <w:tblHeader/>
        </w:trPr>
        <w:tc>
          <w:tcPr>
            <w:tcW w:type="dxa" w:w="393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第1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第2</w:t>
            </w:r>
          </w:p>
        </w:tc>
        <w:tc>
          <w:tcPr>
            <w:tcW w:type="dxa" w:w="80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第3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前三人数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首选率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前三率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纳入卫生健康人才发展规划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72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44.4%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74.1%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设立专项培养经费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33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46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106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20.4%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65.4%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学时学分认定与职称衔接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4.3%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26.5%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高端人才计划倾斜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23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28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68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10.5%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42.0%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实训基地与师资库建设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17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5.6%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25.9%</w:t>
            </w:r>
          </w:p>
        </w:tc>
      </w:tr>
      <w:tr>
        <w:tc>
          <w:tcPr>
            <w:tcW w:type="dxa" w:w="393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岗位设置与编制保障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</w:t>
            </w:r>
          </w:p>
        </w:tc>
        <w:tc>
          <w:tcPr>
            <w:tcW w:type="dxa" w:w="80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47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6.8%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29.0%</w:t>
            </w:r>
          </w:p>
        </w:tc>
      </w:tr>
      <w:tr>
        <w:tc>
          <w:tcPr>
            <w:tcW w:type="dxa" w:w="3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薪酬激励政策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</w:t>
            </w:r>
          </w:p>
        </w:tc>
        <w:tc>
          <w:tcPr>
            <w:tcW w:type="dxa" w:w="8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60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8.0%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37.0%</w:t>
            </w:r>
          </w:p>
        </w:tc>
      </w:tr>
    </w:tbl>
    <w:p/>
    <w:p>
      <w:pPr>
        <w:pStyle w:val="Caption"/>
        <w:keepNext w:val="0"/>
      </w:pPr>
      <w:r>
        <w:t>数据来源  数值版 Sheet1!FM2:FS163</w:t>
      </w:r>
    </w:p>
    <w:p>
      <w:pPr>
        <w:pStyle w:val="Heading2"/>
      </w:pPr>
      <w:r>
        <w:t>Q39 39.贵院人才培养组织管理情况（分别勾选）—成立人才培养领导小组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1210"/>
        <w:gridCol w:w="1210"/>
        <w:gridCol w:w="1210"/>
        <w:gridCol w:w="1411"/>
      </w:tblGrid>
      <w:tr>
        <w:trPr>
          <w:tblHeader/>
        </w:trPr>
        <w:tc>
          <w:tcPr>
            <w:tcW w:type="dxa" w:w="504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是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否</w:t>
            </w:r>
          </w:p>
        </w:tc>
        <w:tc>
          <w:tcPr>
            <w:tcW w:type="dxa" w:w="12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是比例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成立人才培养领导小组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47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115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29.0%</w:t>
            </w:r>
          </w:p>
        </w:tc>
      </w:tr>
      <w:tr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明确人才培养归口管理部门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91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71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56.2%</w:t>
            </w:r>
          </w:p>
        </w:tc>
      </w:tr>
      <w:t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制定中长期人才培养规划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69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</w:t>
            </w:r>
          </w:p>
        </w:tc>
        <w:tc>
          <w:tcPr>
            <w:tcW w:type="dxa" w:w="12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42.6%</w:t>
            </w:r>
          </w:p>
        </w:tc>
      </w:tr>
      <w:tr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建立培养档案与学时台账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51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111</w:t>
            </w:r>
          </w:p>
        </w:tc>
        <w:tc>
          <w:tcPr>
            <w:tcW w:type="dxa" w:w="12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31.5%</w:t>
            </w:r>
          </w:p>
        </w:tc>
      </w:tr>
    </w:tbl>
    <w:p/>
    <w:p>
      <w:pPr>
        <w:pStyle w:val="Caption"/>
        <w:keepNext w:val="0"/>
      </w:pPr>
      <w:r>
        <w:t>数据来源  数值版 Sheet1!FT2:FW163</w:t>
      </w:r>
    </w:p>
    <w:p>
      <w:pPr>
        <w:pStyle w:val="Heading2"/>
      </w:pPr>
      <w:r>
        <w:t>Q40 40.对“在校培养—岗位适应—能力提升—领军人才”四阶段全链条培养路径各环节重点的认同程度（1=很不认同，5=很认同），请在相应栏内打“✓”—L1 在校培养阶段:夯实财务、医疗、管理、信息交叉基础知识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L1 在校培养阶段:夯实财务、医疗、管理、信息交叉基础知识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1 / 11 / 42 / 107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4.56±0.70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149/162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92.0%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L2 岗位适应阶段:通过跟岗实训、轮岗实现实务能力转化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1 / 9 / 36 / 115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4.62±0.68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151/162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93.2%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L3 能力提升阶段:围绕预算绩效、数智运营、合规风控等专项系统深化进修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1 / 9 / 29 / 122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4.67±0.67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151/162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93.2%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L4 领军人才阶段:提升战略思维与行业引领、穿透式监管能力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 / 0 / 10 / 32 / 119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4.65±0.65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151/162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93.2%</w:t>
            </w:r>
          </w:p>
        </w:tc>
      </w:tr>
    </w:tbl>
    <w:p/>
    <w:p>
      <w:pPr>
        <w:pStyle w:val="Caption"/>
        <w:keepNext w:val="0"/>
      </w:pPr>
      <w:r>
        <w:t>数据来源  数值版 Sheet1!FX2:GA163</w:t>
      </w:r>
    </w:p>
    <w:p>
      <w:pPr>
        <w:pStyle w:val="Heading2"/>
      </w:pPr>
      <w:r>
        <w:t>Q41 41.贵院经济管理人员跨部门轮岗开展情况（单选）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常态化开展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23.5%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偶尔开展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49.4%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从未开展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27.2%</w:t>
            </w:r>
          </w:p>
        </w:tc>
      </w:tr>
    </w:tbl>
    <w:p/>
    <w:p>
      <w:pPr>
        <w:pStyle w:val="Caption"/>
        <w:keepNext w:val="0"/>
      </w:pPr>
      <w:r>
        <w:t>数据来源  数值版 Sheet1!GB2:GB163</w:t>
      </w:r>
    </w:p>
    <w:p>
      <w:pPr>
        <w:pStyle w:val="Heading2"/>
      </w:pPr>
      <w:r>
        <w:t>Q42 42.贵院经济管理人员跨部门轮岗频次（单选）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比例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每年一轮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3.7%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每三年一轮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18.5%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每五年一轮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22.2%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55.6%</w:t>
            </w:r>
          </w:p>
        </w:tc>
      </w:tr>
    </w:tbl>
    <w:p/>
    <w:p>
      <w:pPr>
        <w:pStyle w:val="Caption"/>
        <w:keepNext w:val="0"/>
      </w:pPr>
      <w:r>
        <w:t>数据来源  数值版 Sheet1!GC2:GC163</w:t>
      </w:r>
    </w:p>
    <w:p>
      <w:pPr>
        <w:pStyle w:val="Heading2"/>
      </w:pPr>
      <w:r>
        <w:t>Q43 43.下列实战项目历练对能力提升的重要程度（1=很不重要，5=很重要），请在相应栏内打“✓” —M1 参与年度预算编制与执行分析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34"/>
        <w:gridCol w:w="2016"/>
        <w:gridCol w:w="1411"/>
        <w:gridCol w:w="1310"/>
        <w:gridCol w:w="1109"/>
      </w:tblGrid>
      <w:tr>
        <w:trPr>
          <w:tblHeader/>
        </w:trPr>
        <w:tc>
          <w:tcPr>
            <w:tcW w:type="dxa" w:w="42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1至5分人数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均值±标准差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4至5分 n/N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高分比例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M1 参与年度预算编制与执行分析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4 / 8 / 39 / 111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4.59±0.70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150/162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92.6%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M2 参与成本核算与病种盈亏分析项目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12 / 29 / 120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4.65±0.64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149/162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92.0%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M3 参与内部控制建设与内部控制评价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14 / 47 / 99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4.50±0.71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146/162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90.1%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M4 参与运营分析、报告撰写与决策支持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0 / 11 / 30 / 121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4.68±0.60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151/162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93.2%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M5 参与审计监督与财会监督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3 / 16 / 48 / 95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4.45±0.75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143/162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88.3%</w:t>
            </w:r>
          </w:p>
        </w:tc>
      </w:tr>
      <w:tr>
        <w:tc>
          <w:tcPr>
            <w:tcW w:type="dxa" w:w="42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M6 参与绩效分配方案设计与更正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2 / 16 / 46 / 98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4.48±0.72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144/162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88.9%</w:t>
            </w:r>
          </w:p>
        </w:tc>
      </w:tr>
      <w:tr>
        <w:tc>
          <w:tcPr>
            <w:tcW w:type="dxa" w:w="42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M7 参与医保收费、物价检查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 / 1 / 19 / 46 / 96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4.46±0.72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142/162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87.7%</w:t>
            </w:r>
          </w:p>
        </w:tc>
      </w:tr>
    </w:tbl>
    <w:p/>
    <w:p>
      <w:pPr>
        <w:pStyle w:val="Caption"/>
        <w:keepNext w:val="0"/>
      </w:pPr>
      <w:r>
        <w:t>数据来源  数值版 Sheet1!GD2:GJ163</w:t>
      </w:r>
    </w:p>
    <w:p>
      <w:pPr>
        <w:pStyle w:val="Heading2"/>
      </w:pPr>
      <w:r>
        <w:t>Q44 44.您认为可行的实践基地建设路径（可多选）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院内设立实训岗位与教学点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73.5%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依托区域龙头医院建立实训基地联盟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129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79.6%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依托第三方共建实践基地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54.3%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其他（请注明）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</w:tbl>
    <w:p/>
    <w:p>
      <w:pPr>
        <w:pStyle w:val="Caption"/>
        <w:keepNext w:val="0"/>
      </w:pPr>
      <w:r>
        <w:t>数据来源  数值版 Sheet1!GK2:GN163</w:t>
      </w:r>
    </w:p>
    <w:p>
      <w:pPr>
        <w:pStyle w:val="Heading2"/>
      </w:pPr>
      <w:r>
        <w:t>Q45 45.贵院培养成果转化途径（可多选）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改进工作:将培养成果转化为实际管理改进举措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139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85.8%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案例总结:提炼形成典型案例并交流推广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126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77.8%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决策参考:形成分析建议，为领导决策提供参考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80.9%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其他（请注明）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0.0%</w:t>
            </w:r>
          </w:p>
        </w:tc>
      </w:tr>
    </w:tbl>
    <w:p/>
    <w:p>
      <w:pPr>
        <w:pStyle w:val="Caption"/>
        <w:keepNext w:val="0"/>
      </w:pPr>
      <w:r>
        <w:t>数据来源  数值版 Sheet1!GO2:GR163</w:t>
      </w:r>
    </w:p>
    <w:p>
      <w:pPr>
        <w:pStyle w:val="Heading2"/>
      </w:pPr>
      <w:r>
        <w:t>Q46 46.您认为培养成果难以转化落地的主要障碍是（可多选，最多3项）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1512"/>
        <w:gridCol w:w="1512"/>
        <w:gridCol w:w="1512"/>
      </w:tblGrid>
      <w:tr>
        <w:trPr>
          <w:tblHeader/>
        </w:trPr>
        <w:tc>
          <w:tcPr>
            <w:tcW w:type="dxa" w:w="554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选择人数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选择率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培养内容与实际工作需求脱节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53.1%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实践锻炼与项目历练机会不足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126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77.8%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考核激励与结果运用机制不完善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59.3%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职业发展通道与职称晋升衔接不畅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37.0%</w:t>
            </w:r>
          </w:p>
        </w:tc>
      </w:tr>
      <w:tr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师资与经费投入不足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24.7%</w:t>
            </w:r>
          </w:p>
        </w:tc>
      </w:tr>
      <w:tr>
        <w:tc>
          <w:tcPr>
            <w:tcW w:type="dxa" w:w="554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其他（请注明）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162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0.6%</w:t>
            </w:r>
          </w:p>
        </w:tc>
      </w:tr>
    </w:tbl>
    <w:p/>
    <w:p>
      <w:pPr>
        <w:pStyle w:val="Caption"/>
        <w:keepNext w:val="0"/>
      </w:pPr>
      <w:r>
        <w:t>数据来源  数值版 Sheet1!GS2:GX163</w:t>
      </w:r>
    </w:p>
    <w:p>
      <w:pPr>
        <w:pStyle w:val="Heading2"/>
      </w:pPr>
      <w:r>
        <w:t>Q47 47.您对业财融合视角下卫生健康经济管理人才培养模式、机制建设与实践路径的意见建议: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34"/>
        <w:gridCol w:w="1915"/>
        <w:gridCol w:w="2016"/>
        <w:gridCol w:w="1814"/>
      </w:tblGrid>
      <w:tr>
        <w:trPr>
          <w:tblHeader/>
        </w:trPr>
        <w:tc>
          <w:tcPr>
            <w:tcW w:type="dxa" w:w="433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1915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涉及意见数</w:t>
            </w:r>
          </w:p>
        </w:tc>
        <w:tc>
          <w:tcPr>
            <w:tcW w:type="dxa" w:w="2016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实质意见分母</w:t>
            </w:r>
          </w:p>
        </w:tc>
        <w:tc>
          <w:tcPr>
            <w:tcW w:type="dxa" w:w="1814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意见内比例</w:t>
            </w:r>
          </w:p>
        </w:tc>
      </w:tr>
      <w:tr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治理与组织支持</w:t>
            </w:r>
          </w:p>
        </w:tc>
        <w:tc>
          <w:tcPr>
            <w:tcW w:type="dxa" w:w="19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58.3%</w:t>
            </w:r>
          </w:p>
        </w:tc>
      </w:tr>
      <w:tr>
        <w:tc>
          <w:tcPr>
            <w:tcW w:type="dxa" w:w="43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职业发展与公平激励</w:t>
            </w:r>
          </w:p>
        </w:tc>
        <w:tc>
          <w:tcPr>
            <w:tcW w:type="dxa" w:w="191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25.0%</w:t>
            </w:r>
          </w:p>
        </w:tc>
      </w:tr>
      <w:tr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实践应用</w:t>
            </w:r>
          </w:p>
        </w:tc>
        <w:tc>
          <w:tcPr>
            <w:tcW w:type="dxa" w:w="19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25.0%</w:t>
            </w:r>
          </w:p>
        </w:tc>
      </w:tr>
      <w:tr>
        <w:tc>
          <w:tcPr>
            <w:tcW w:type="dxa" w:w="433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经费或学习实践机会</w:t>
            </w:r>
          </w:p>
        </w:tc>
        <w:tc>
          <w:tcPr>
            <w:tcW w:type="dxa" w:w="191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16.7%</w:t>
            </w:r>
          </w:p>
        </w:tc>
      </w:tr>
      <w:tr>
        <w:tc>
          <w:tcPr>
            <w:tcW w:type="dxa" w:w="4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协同与案例共享</w:t>
            </w:r>
          </w:p>
        </w:tc>
        <w:tc>
          <w:tcPr>
            <w:tcW w:type="dxa" w:w="19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8.3%</w:t>
            </w:r>
          </w:p>
        </w:tc>
      </w:tr>
    </w:tbl>
    <w:p/>
    <w:p>
      <w:pPr>
        <w:pStyle w:val="Caption"/>
        <w:keepNext w:val="0"/>
      </w:pPr>
      <w:r>
        <w:t>数据来源  文本版 Sheet1!DY2:DY163；数值版GY2:GY163仅用于有无意见计数</w:t>
      </w:r>
    </w:p>
    <w:p>
      <w:pPr>
        <w:pStyle w:val="Heading1"/>
        <w:pageBreakBefore/>
      </w:pPr>
      <w:r>
        <w:t>附录B 统计方法与比较结果</w:t>
      </w:r>
    </w:p>
    <w:p>
      <w:pPr>
        <w:pStyle w:val="Heading2"/>
      </w:pPr>
      <w:r>
        <w:t>Q22全部配对比较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1310"/>
        <w:gridCol w:w="2419"/>
        <w:gridCol w:w="1411"/>
        <w:gridCol w:w="1411"/>
      </w:tblGrid>
      <w:tr>
        <w:trPr>
          <w:tblHeader/>
        </w:trPr>
        <w:tc>
          <w:tcPr>
            <w:tcW w:type="dxa" w:w="3528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维度对</w:t>
            </w:r>
          </w:p>
        </w:tc>
        <w:tc>
          <w:tcPr>
            <w:tcW w:type="dxa" w:w="1310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均值差</w:t>
            </w:r>
          </w:p>
        </w:tc>
        <w:tc>
          <w:tcPr>
            <w:tcW w:type="dxa" w:w="241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95%区间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精确p</w:t>
            </w:r>
          </w:p>
        </w:tc>
        <w:tc>
          <w:tcPr>
            <w:tcW w:type="dxa" w:w="1411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10对BH q</w:t>
            </w:r>
          </w:p>
        </w:tc>
      </w:tr>
      <w:t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D1 懂业务 / D2 通财务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0.642</w:t>
            </w:r>
          </w:p>
        </w:tc>
        <w:tc>
          <w:tcPr>
            <w:tcW w:type="dxa" w:w="2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0.442 至 0.842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2.1e-09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2.1e-08</w:t>
            </w:r>
          </w:p>
        </w:tc>
      </w:tr>
      <w:tr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D1 懂业务 / D3 善管理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0.210</w:t>
            </w:r>
          </w:p>
        </w:tc>
        <w:tc>
          <w:tcPr>
            <w:tcW w:type="dxa" w:w="241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0.064 至 0.356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0.0064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0.0106</w:t>
            </w:r>
          </w:p>
        </w:tc>
      </w:tr>
      <w:t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D1 懂业务 / D4 会数据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0.173</w:t>
            </w:r>
          </w:p>
        </w:tc>
        <w:tc>
          <w:tcPr>
            <w:tcW w:type="dxa" w:w="2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0.006 至 0.340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0.0505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0.0721</w:t>
            </w:r>
          </w:p>
        </w:tc>
      </w:tr>
      <w:tr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D1 懂业务 / D5 防风险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0.284</w:t>
            </w:r>
          </w:p>
        </w:tc>
        <w:tc>
          <w:tcPr>
            <w:tcW w:type="dxa" w:w="241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0.104 至 0.464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0.0026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0.0052</w:t>
            </w:r>
          </w:p>
        </w:tc>
      </w:tr>
      <w:t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D2 通财务 / D3 善管理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-0.432</w:t>
            </w:r>
          </w:p>
        </w:tc>
        <w:tc>
          <w:tcPr>
            <w:tcW w:type="dxa" w:w="2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-0.580 至 -0.284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3.01e-08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1.5e-07</w:t>
            </w:r>
          </w:p>
        </w:tc>
      </w:tr>
      <w:tr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D2 通财务 / D4 会数据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-0.469</w:t>
            </w:r>
          </w:p>
        </w:tc>
        <w:tc>
          <w:tcPr>
            <w:tcW w:type="dxa" w:w="241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-0.656 至 -0.283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2e-06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6.67e-06</w:t>
            </w:r>
          </w:p>
        </w:tc>
      </w:tr>
      <w:t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D2 通财务 / D5 防风险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-0.358</w:t>
            </w:r>
          </w:p>
        </w:tc>
        <w:tc>
          <w:tcPr>
            <w:tcW w:type="dxa" w:w="2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-0.507 至 -0.209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4.29e-06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1.07e-05</w:t>
            </w:r>
          </w:p>
        </w:tc>
      </w:tr>
      <w:tr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D3 善管理 / D4 会数据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-0.037</w:t>
            </w:r>
          </w:p>
        </w:tc>
        <w:tc>
          <w:tcPr>
            <w:tcW w:type="dxa" w:w="241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-0.165 至 0.091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0.6368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0.6368</w:t>
            </w:r>
          </w:p>
        </w:tc>
      </w:tr>
      <w:t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D3 善管理 / D5 防风险</w:t>
            </w:r>
          </w:p>
        </w:tc>
        <w:tc>
          <w:tcPr>
            <w:tcW w:type="dxa" w:w="13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0.074</w:t>
            </w:r>
          </w:p>
        </w:tc>
        <w:tc>
          <w:tcPr>
            <w:tcW w:type="dxa" w:w="2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-0.049 至 0.197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0.2790</w:t>
            </w:r>
          </w:p>
        </w:tc>
        <w:tc>
          <w:tcPr>
            <w:tcW w:type="dxa" w:w="14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0.3100</w:t>
            </w:r>
          </w:p>
        </w:tc>
      </w:tr>
      <w:tr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D4 会数据 / D5 防风险</w:t>
            </w:r>
          </w:p>
        </w:tc>
        <w:tc>
          <w:tcPr>
            <w:tcW w:type="dxa" w:w="131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0.111</w:t>
            </w:r>
          </w:p>
        </w:tc>
        <w:tc>
          <w:tcPr>
            <w:tcW w:type="dxa" w:w="241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-0.040 至 0.262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0.1715</w:t>
            </w:r>
          </w:p>
        </w:tc>
        <w:tc>
          <w:tcPr>
            <w:tcW w:type="dxa" w:w="1411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0.2143</w:t>
            </w:r>
          </w:p>
        </w:tc>
      </w:tr>
    </w:tbl>
    <w:p/>
    <w:p>
      <w:pPr>
        <w:pStyle w:val="Caption"/>
        <w:keepNext w:val="0"/>
      </w:pPr>
      <w:r>
        <w:t>差值方向为表内第一维度减第二维度；区间未作多重比较调整。区间与精确检验采用不同方法，在临界值附近可能产生轻微边界差异，应以完整方法与效应大小解释。</w:t>
      </w:r>
    </w:p>
    <w:p>
      <w:pPr>
        <w:pStyle w:val="Heading2"/>
      </w:pPr>
      <w:r>
        <w:t>医院类别12项</w:t>
      </w:r>
    </w:p>
    <w:p>
      <w:pPr>
        <w:pStyle w:val="Caption"/>
        <w:keepNext/>
      </w:pPr>
      <w:r>
        <w:t>比较方向  三级类别 减 二级类别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1613"/>
        <w:gridCol w:w="1613"/>
        <w:gridCol w:w="1512"/>
        <w:gridCol w:w="1109"/>
        <w:gridCol w:w="1109"/>
      </w:tblGrid>
      <w:tr>
        <w:trPr>
          <w:tblHeader/>
        </w:trPr>
        <w:tc>
          <w:tcPr>
            <w:tcW w:type="dxa" w:w="3125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结局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组1 n/N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组0 n/N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差值百分点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BH q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业务能力高差距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58/145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8/14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-17.1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0.2607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0.7821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财务能力高差距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35/145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6/14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-18.7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0.1961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0.7821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管理能力高差距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40/145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4/14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-1.0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数据能力高差距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49/145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6/14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-9.1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0.5605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风险能力高差距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44/145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4/14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1.8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数智课程高需求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139/145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14/14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-4.1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跟岗进入前三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111/145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11/14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-2.0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无系统评估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73/145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10/14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-21.1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0.1660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0.7821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制度落实到位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30/145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2/14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6.4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0.7373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常态化轮岗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35/145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3/14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2.7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人员配置不足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69/145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11/14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-31.0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0.0468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0.5621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培训经费前两档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98/145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9/14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3.3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0.7735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1.0000</w:t>
            </w:r>
          </w:p>
        </w:tc>
      </w:tr>
    </w:tbl>
    <w:p/>
    <w:p>
      <w:pPr>
        <w:pStyle w:val="Heading2"/>
      </w:pPr>
      <w:r>
        <w:t>职务分组12项</w:t>
      </w:r>
    </w:p>
    <w:p>
      <w:pPr>
        <w:pStyle w:val="Caption"/>
        <w:keepNext/>
      </w:pPr>
      <w:r>
        <w:t>比较方向  Q4编码1至4 减 Q4其他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1613"/>
        <w:gridCol w:w="1613"/>
        <w:gridCol w:w="1512"/>
        <w:gridCol w:w="1109"/>
        <w:gridCol w:w="1109"/>
      </w:tblGrid>
      <w:tr>
        <w:trPr>
          <w:tblHeader/>
        </w:trPr>
        <w:tc>
          <w:tcPr>
            <w:tcW w:type="dxa" w:w="3125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结局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组1 n/N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组0 n/N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差值百分点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BH q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业务能力高差距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29/91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37/71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-20.2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0.0104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0.1251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财务能力高差距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22/91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20/71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-4.0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0.5916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0.7888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管理能力高差距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21/91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24/71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-10.7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0.1581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0.3798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数据能力高差距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28/91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29/71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-10.1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0.1899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0.3798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风险能力高差距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22/91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27/71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-13.9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0.0608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0.3273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数智课程高需求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89/91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67/71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3.4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0.4057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0.6086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跟岗进入前三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74/91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51/71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9.5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0.1876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0.3798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无系统评估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42/91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43/71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-14.4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0.0818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0.3273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制度落实到位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19/91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13/71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2.6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0.8426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0.8426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常态化轮岗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24/91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14/71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6.7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0.3548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0.6083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人员配置不足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45/91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37/71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-2.7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0.7539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0.8224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培训经费前两档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63/91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47/71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3.0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0.7357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0.8224</w:t>
            </w:r>
          </w:p>
        </w:tc>
      </w:tr>
    </w:tbl>
    <w:p/>
    <w:p>
      <w:pPr>
        <w:pStyle w:val="Heading2"/>
      </w:pPr>
      <w:r>
        <w:t>制度落实3项</w:t>
      </w:r>
    </w:p>
    <w:p>
      <w:pPr>
        <w:pStyle w:val="Caption"/>
        <w:keepNext/>
      </w:pPr>
      <w:r>
        <w:t>比较方向  有制度且落实到位 减 其他回答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5"/>
        <w:gridCol w:w="1613"/>
        <w:gridCol w:w="1613"/>
        <w:gridCol w:w="1512"/>
        <w:gridCol w:w="1109"/>
        <w:gridCol w:w="1109"/>
      </w:tblGrid>
      <w:tr>
        <w:trPr>
          <w:tblHeader/>
        </w:trPr>
        <w:tc>
          <w:tcPr>
            <w:tcW w:type="dxa" w:w="3125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结局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组1 n/N</w:t>
            </w:r>
          </w:p>
        </w:tc>
        <w:tc>
          <w:tcPr>
            <w:tcW w:type="dxa" w:w="1613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组0 n/N</w:t>
            </w:r>
          </w:p>
        </w:tc>
        <w:tc>
          <w:tcPr>
            <w:tcW w:type="dxa" w:w="1512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差值百分点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1109"/>
            <w:shd w:fill="193A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BH q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无系统评估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9/32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76/130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-30.3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0.0028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0.0083</w:t>
            </w:r>
          </w:p>
        </w:tc>
      </w:tr>
      <w:tr>
        <w:tc>
          <w:tcPr>
            <w:tcW w:type="dxa" w:w="3125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缺乏培训后跟踪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20/32</w:t>
            </w:r>
          </w:p>
        </w:tc>
        <w:tc>
          <w:tcPr>
            <w:tcW w:type="dxa" w:w="1613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88/130</w:t>
            </w:r>
          </w:p>
        </w:tc>
        <w:tc>
          <w:tcPr>
            <w:tcW w:type="dxa" w:w="151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-5.2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0.6760</w:t>
            </w:r>
          </w:p>
        </w:tc>
        <w:tc>
          <w:tcPr>
            <w:tcW w:type="dxa" w:w="1109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0.6760</w:t>
            </w:r>
          </w:p>
        </w:tc>
      </w:tr>
      <w:tr>
        <w:tc>
          <w:tcPr>
            <w:tcW w:type="dxa" w:w="31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激励结果运用障碍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22/32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74/130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11.8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0.2369</w:t>
            </w:r>
          </w:p>
        </w:tc>
        <w:tc>
          <w:tcPr>
            <w:tcW w:type="dxa" w:w="11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7"/>
              </w:rPr>
              <w:t>0.3554</w:t>
            </w:r>
          </w:p>
        </w:tc>
      </w:tr>
    </w:tbl>
    <w:p/>
    <w:p>
      <w:pPr>
        <w:pStyle w:val="Heading2"/>
      </w:pPr>
      <w:r>
        <w:t>统计口径与复现说明</w:t>
      </w:r>
    </w:p>
    <w:p>
      <w:pPr>
        <w:pStyle w:val="Caption"/>
        <w:keepNext w:val="0"/>
      </w:pPr>
      <w:r>
        <w:t>正文人数以162名受访者为基础，不作为独立医院数量或全国总体估计。单选与多选按选择人数统计；量表报告各分值人数与均值；排序分别统计首选和前三入选。第11、12题按字段统计实际填报记录，保留零值；选答题未填写不影响其他题目的分析。</w:t>
      </w:r>
    </w:p>
    <w:p>
      <w:pPr>
        <w:pStyle w:val="Caption"/>
        <w:keepNext w:val="0"/>
      </w:pPr>
      <w:r>
        <w:t>二元比例区间使用Wilson方法；分组比较使用双侧Fisher精确检验，比例差区间使用Newcombe方法。医院类别12项、职务12项、制度落实3项分别进行BH多重比较校正；区间未作多重比较调整。分组结果用于观察关联，未作因果解释。</w:t>
      </w:r>
    </w:p>
    <w:p>
      <w:pPr>
        <w:pStyle w:val="Caption"/>
        <w:keepNext w:val="0"/>
      </w:pPr>
      <w:r>
        <w:t>Q22五维比较采用Friedman检验，统计量66.65，p=1.16e-13，Kendall W=0.103。10对维度比较采用精确符号翻转置换并共同BH校正；均值差区间采用配对t近似。评分按近似等距处理，置换检验要求零假设下差值符号可交换。</w:t>
      </w:r>
    </w:p>
    <w:p>
      <w:pPr>
        <w:pStyle w:val="Caption"/>
        <w:keepNext w:val="0"/>
      </w:pPr>
      <w:r>
        <w:t>原始数值版与文本版按答卷序号对齐，32562个实质字段单元格核验一致。两份文件属于同一批162份答卷。分析脚本和聚合统计保存在配套复现包中；完整计算与核验记录见统计工作簿。</w:t>
      </w:r>
    </w:p>
    <w:p>
      <w:pPr>
        <w:pStyle w:val="Caption"/>
        <w:keepNext w:val="0"/>
      </w:pPr>
      <w:r>
        <w:t>复现入口：analyze.py读取原始两个导出文件并生成聚合JSON与CSV；build_report.py根据聚合数据生成本报告；export_aggregate_xlsx.py导出统计表。运行环境和步骤见复现包说明。公开附件仅含汇总结果，原始答卷由数据持有人自行保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汇总公开版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卫生健康经济管理人才培养调查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