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/>
          <w:color w:val="1F4E79"/>
          <w:sz w:val="52"/>
          <w:rFonts w:eastAsia="微軟正黑體" w:ascii="Calibri" w:hAnsi="Calibri"/>
        </w:rPr>
        <w:t>地價智審 AI</w:t>
      </w:r>
    </w:p>
    <w:p>
      <w:pPr>
        <w:spacing w:after="40"/>
        <w:jc w:val="center"/>
      </w:pPr>
      <w:r>
        <w:rPr>
          <w:b/>
          <w:color w:val="2E74B5"/>
          <w:sz w:val="36"/>
          <w:rFonts w:eastAsia="微軟正黑體" w:ascii="Calibri" w:hAnsi="Calibri"/>
        </w:rPr>
        <w:t>隊友快速導讀</w:t>
      </w:r>
    </w:p>
    <w:p>
      <w:pPr>
        <w:spacing w:after="280"/>
        <w:jc w:val="center"/>
      </w:pPr>
      <w:r>
        <w:rPr>
          <w:i/>
          <w:color w:val="606060"/>
          <w:sz w:val="22"/>
          <w:rFonts w:eastAsia="微軟正黑體" w:ascii="Calibri" w:hAnsi="Calibri"/>
        </w:rPr>
        <w:t>2026 新北市 AI 智慧城市黑客松－地政局組</w:t>
      </w:r>
    </w:p>
    <w:p>
      <w:pPr>
        <w:spacing w:before="280" w:after="120"/>
      </w:pPr>
      <w:r>
        <w:rPr>
          <w:b/>
          <w:color w:val="1F4E79"/>
          <w:sz w:val="32"/>
          <w:rFonts w:eastAsia="微軟正黑體" w:ascii="Calibri" w:hAnsi="Calibri"/>
        </w:rPr>
        <w:t>1. 我們在解決什麼問題</w:t>
      </w:r>
    </w:p>
    <w:p>
      <w:pPr>
        <w:spacing w:after="160" w:before="0"/>
      </w:pPr>
      <w:r>
        <w:rPr>
          <w:b w:val="0"/>
          <w:i w:val="0"/>
          <w:sz w:val="22"/>
          <w:rFonts w:eastAsia="微軟正黑體" w:ascii="Calibri" w:hAnsi="Calibri"/>
        </w:rPr>
        <w:t>「地價智審 AI」是一套協助地政人員審查「土地徵收補償市價查估」案件的系統。估價師交出來的查估書表，裡面有大量欄位、計算式、跨表格數字，人工逐一核對非常耗時，也容易漏看錯誤。我們把這個核對過程自動化。</w:t>
      </w:r>
    </w:p>
    <w:p>
      <w:pPr>
        <w:spacing w:after="200" w:before="0"/>
      </w:pPr>
      <w:r>
        <w:rPr>
          <w:b/>
          <w:sz w:val="22"/>
          <w:rFonts w:eastAsia="微軟正黑體" w:ascii="Calibri" w:hAnsi="Calibri"/>
        </w:rPr>
        <w:t>核心概念：</w:t>
      </w:r>
      <w:r>
        <w:rPr>
          <w:b w:val="0"/>
          <w:sz w:val="22"/>
          <w:rFonts w:eastAsia="微軟正黑體" w:ascii="Calibri" w:hAnsi="Calibri"/>
        </w:rPr>
        <w:t>使用者輸入案件資訊／上傳查估書表 → 系統擷取欄位 → 自動補齊官方資料 → 規則引擎重新核算 → 跨表比對 → 找出錯誤或不一致 → 提供人工覆核 → 產出結果與PDF。</w:t>
      </w:r>
    </w:p>
    <w:p>
      <w:pPr>
        <w:spacing w:before="280" w:after="120"/>
      </w:pPr>
      <w:r>
        <w:rPr>
          <w:b/>
          <w:color w:val="1F4E79"/>
          <w:sz w:val="32"/>
          <w:rFonts w:eastAsia="微軟正黑體" w:ascii="Calibri" w:hAnsi="Calibri"/>
        </w:rPr>
        <w:t>2. 系統主要流程</w:t>
      </w:r>
    </w:p>
    <w:p>
      <w:pPr>
        <w:spacing w:after="160" w:before="0"/>
      </w:pPr>
      <w:r>
        <w:rPr>
          <w:b w:val="0"/>
          <w:i w:val="0"/>
          <w:sz w:val="22"/>
          <w:rFonts w:eastAsia="微軟正黑體" w:ascii="Calibri" w:hAnsi="Calibri"/>
        </w:rPr>
        <w:t>建立案件　→　上傳／選擇查估書表　→　欄位擷取　→　人工確認低信心欄位　→　自動蒐集官方資料　→　Rule／Grade／Calculation 計算　→　完成查估書表　→　跨表與欄位一致性檢查　→　審查結果　→　PDF／人工覆核</w:t>
      </w:r>
    </w:p>
    <w:p>
      <w:pPr>
        <w:spacing w:after="60" w:before="0"/>
      </w:pPr>
      <w:r>
        <w:rPr>
          <w:b/>
          <w:i w:val="0"/>
          <w:sz w:val="22"/>
          <w:rFonts w:eastAsia="微軟正黑體" w:ascii="Calibri" w:hAnsi="Calibri"/>
        </w:rPr>
        <w:t>目前系統可以現場展示兩種案例：</w:t>
      </w:r>
    </w:p>
    <w:p>
      <w:pPr>
        <w:pStyle w:val="ListBullet"/>
        <w:spacing w:after="60"/>
      </w:pPr>
      <w:r>
        <w:rPr>
          <w:sz w:val="22"/>
          <w:rFonts w:eastAsia="微軟正黑體" w:ascii="Calibri" w:hAnsi="Calibri"/>
        </w:rPr>
        <w:t>Golden Case（正常案例）：欄位與計算全數正確，系統不會產生「假警報」。</w:t>
      </w:r>
    </w:p>
    <w:p>
      <w:pPr>
        <w:pStyle w:val="ListBullet"/>
        <w:spacing w:after="60"/>
      </w:pPr>
      <w:r>
        <w:rPr>
          <w:sz w:val="22"/>
          <w:rFonts w:eastAsia="微軟正黑體" w:ascii="Calibri" w:hAnsi="Calibri"/>
        </w:rPr>
        <w:t>Error Case（錯誤案例）：刻意植入3個常見錯誤（等級誤判、修正率算錯、跨表不一致），系統能正確抓出來，並說明問題出在哪裡、會影響到哪些下游數字。</w:t>
      </w:r>
    </w:p>
    <w:p>
      <w:pPr>
        <w:spacing w:before="280" w:after="120"/>
      </w:pPr>
      <w:r>
        <w:rPr>
          <w:b/>
          <w:color w:val="1F4E79"/>
          <w:sz w:val="32"/>
          <w:rFonts w:eastAsia="微軟正黑體" w:ascii="Calibri" w:hAnsi="Calibri"/>
        </w:rPr>
        <w:t>3. 官方資料與 API 怎麼用</w:t>
      </w:r>
    </w:p>
    <w:p>
      <w:pPr>
        <w:spacing w:after="120" w:before="0"/>
      </w:pPr>
      <w:r>
        <w:rPr>
          <w:b w:val="0"/>
          <w:i w:val="0"/>
          <w:sz w:val="22"/>
          <w:rFonts w:eastAsia="微軟正黑體" w:ascii="Calibri" w:hAnsi="Calibri"/>
        </w:rPr>
        <w:t>我們串接／規劃了幾個資料來源，狀態並不一樣，請照實際狀態理解，不要誤會成「全部都已上線」：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2268"/>
        <w:gridCol w:w="3402"/>
        <w:gridCol w:w="3685"/>
      </w:tblGrid>
      <w:tr>
        <w:tc>
          <w:tcPr>
            <w:tcW w:type="dxa" w:w="2268"/>
          </w:tcPr>
          <w:p>
            <w:r/>
            <w:r>
              <w:rPr>
                <w:b/>
                <w:sz w:val="20"/>
                <w:rFonts w:eastAsia="微軟正黑體" w:ascii="Calibri" w:hAnsi="Calibri"/>
              </w:rPr>
              <w:t>來源</w:t>
            </w:r>
          </w:p>
        </w:tc>
        <w:tc>
          <w:tcPr>
            <w:tcW w:type="dxa" w:w="3402"/>
          </w:tcPr>
          <w:p>
            <w:r/>
            <w:r>
              <w:rPr>
                <w:b/>
                <w:sz w:val="20"/>
                <w:rFonts w:eastAsia="微軟正黑體" w:ascii="Calibri" w:hAnsi="Calibri"/>
              </w:rPr>
              <w:t>用途</w:t>
            </w:r>
          </w:p>
        </w:tc>
        <w:tc>
          <w:tcPr>
            <w:tcW w:type="dxa" w:w="3685"/>
          </w:tcPr>
          <w:p>
            <w:r/>
            <w:r>
              <w:rPr>
                <w:b/>
                <w:sz w:val="20"/>
                <w:rFonts w:eastAsia="微軟正黑體" w:ascii="Calibri" w:hAnsi="Calibri"/>
              </w:rPr>
              <w:t>目前狀態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20"/>
                <w:rFonts w:eastAsia="微軟正黑體" w:ascii="Calibri" w:hAnsi="Calibri"/>
              </w:rPr>
              <w:t>NLSC 地籍圖資API</w:t>
            </w:r>
          </w:p>
        </w:tc>
        <w:tc>
          <w:tcPr>
            <w:tcW w:type="dxa" w:w="3402"/>
          </w:tcPr>
          <w:p>
            <w:r/>
            <w:r>
              <w:rPr>
                <w:sz w:val="20"/>
                <w:rFonts w:eastAsia="微軟正黑體" w:ascii="Calibri" w:hAnsi="Calibri"/>
              </w:rPr>
              <w:t>把地名（如：金山區金美段）轉成官方地籍代碼</w:t>
            </w:r>
          </w:p>
        </w:tc>
        <w:tc>
          <w:tcPr>
            <w:tcW w:type="dxa" w:w="3685"/>
          </w:tcPr>
          <w:p>
            <w:r/>
            <w:r>
              <w:rPr>
                <w:sz w:val="20"/>
                <w:rFonts w:eastAsia="微軟正黑體" w:ascii="Calibri" w:hAnsi="Calibri"/>
              </w:rPr>
              <w:t>已實際呼叫成功（Live）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20"/>
                <w:rFonts w:eastAsia="微軟正黑體" w:ascii="Calibri" w:hAnsi="Calibri"/>
              </w:rPr>
              <w:t>新北市政府 Open Data</w:t>
            </w:r>
          </w:p>
        </w:tc>
        <w:tc>
          <w:tcPr>
            <w:tcW w:type="dxa" w:w="3402"/>
          </w:tcPr>
          <w:p>
            <w:r/>
            <w:r>
              <w:rPr>
                <w:sz w:val="20"/>
                <w:rFonts w:eastAsia="微軟正黑體" w:ascii="Calibri" w:hAnsi="Calibri"/>
              </w:rPr>
              <w:t>公告土地現值／徵收案件／都市計畫分區／公共設施</w:t>
            </w:r>
          </w:p>
        </w:tc>
        <w:tc>
          <w:tcPr>
            <w:tcW w:type="dxa" w:w="3685"/>
          </w:tcPr>
          <w:p>
            <w:r/>
            <w:r>
              <w:rPr>
                <w:sz w:val="20"/>
                <w:rFonts w:eastAsia="微軟正黑體" w:ascii="Calibri" w:hAnsi="Calibri"/>
              </w:rPr>
              <w:t>已實際同步過，查詢時讀本地資料庫（Live，非即時打API）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20"/>
                <w:rFonts w:eastAsia="微軟正黑體" w:ascii="Calibri" w:hAnsi="Calibri"/>
              </w:rPr>
              <w:t>Nominatim／Overpass（OSM）</w:t>
            </w:r>
          </w:p>
        </w:tc>
        <w:tc>
          <w:tcPr>
            <w:tcW w:type="dxa" w:w="3402"/>
          </w:tcPr>
          <w:p>
            <w:r/>
            <w:r>
              <w:rPr>
                <w:sz w:val="20"/>
                <w:rFonts w:eastAsia="微軟正黑體" w:ascii="Calibri" w:hAnsi="Calibri"/>
              </w:rPr>
              <w:t>地址定位、周邊設施等輔助參考</w:t>
            </w:r>
          </w:p>
        </w:tc>
        <w:tc>
          <w:tcPr>
            <w:tcW w:type="dxa" w:w="3685"/>
          </w:tcPr>
          <w:p>
            <w:r/>
            <w:r>
              <w:rPr>
                <w:sz w:val="20"/>
                <w:rFonts w:eastAsia="微軟正黑體" w:ascii="Calibri" w:hAnsi="Calibri"/>
              </w:rPr>
              <w:t>僅供參考，不作為正式地政判斷依據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20"/>
                <w:rFonts w:eastAsia="微軟正黑體" w:ascii="Calibri" w:hAnsi="Calibri"/>
              </w:rPr>
              <w:t>NLSC CAD_001</w:t>
            </w:r>
          </w:p>
        </w:tc>
        <w:tc>
          <w:tcPr>
            <w:tcW w:type="dxa" w:w="3402"/>
          </w:tcPr>
          <w:p>
            <w:r/>
            <w:r>
              <w:rPr>
                <w:sz w:val="20"/>
                <w:rFonts w:eastAsia="微軟正黑體" w:ascii="Calibri" w:hAnsi="Calibri"/>
              </w:rPr>
              <w:t>未來取得地籍官方代表座標</w:t>
            </w:r>
          </w:p>
        </w:tc>
        <w:tc>
          <w:tcPr>
            <w:tcW w:type="dxa" w:w="3685"/>
          </w:tcPr>
          <w:p>
            <w:r/>
            <w:r>
              <w:rPr>
                <w:sz w:val="20"/>
                <w:rFonts w:eastAsia="微軟正黑體" w:ascii="Calibri" w:hAnsi="Calibri"/>
              </w:rPr>
              <w:t>程式已寫好，但尚未取得官方授權，無法使用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20"/>
                <w:rFonts w:eastAsia="微軟正黑體" w:ascii="Calibri" w:hAnsi="Calibri"/>
              </w:rPr>
              <w:t>AWS S3／DynamoDB</w:t>
            </w:r>
          </w:p>
        </w:tc>
        <w:tc>
          <w:tcPr>
            <w:tcW w:type="dxa" w:w="3402"/>
          </w:tcPr>
          <w:p>
            <w:r/>
            <w:r>
              <w:rPr>
                <w:sz w:val="20"/>
                <w:rFonts w:eastAsia="微軟正黑體" w:ascii="Calibri" w:hAnsi="Calibri"/>
              </w:rPr>
              <w:t>存放文件、PDF、資料快照、案件資料</w:t>
            </w:r>
          </w:p>
        </w:tc>
        <w:tc>
          <w:tcPr>
            <w:tcW w:type="dxa" w:w="3685"/>
          </w:tcPr>
          <w:p>
            <w:r/>
            <w:r>
              <w:rPr>
                <w:sz w:val="20"/>
                <w:rFonts w:eastAsia="微軟正黑體" w:ascii="Calibri" w:hAnsi="Calibri"/>
              </w:rPr>
              <w:t>程式已寫好，但尚未在真正的AWS環境測試過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20"/>
                <w:rFonts w:eastAsia="微軟正黑體" w:ascii="Calibri" w:hAnsi="Calibri"/>
              </w:rPr>
              <w:t>AWS Bedrock（AI摘要）</w:t>
            </w:r>
          </w:p>
        </w:tc>
        <w:tc>
          <w:tcPr>
            <w:tcW w:type="dxa" w:w="3402"/>
          </w:tcPr>
          <w:p>
            <w:r/>
            <w:r>
              <w:rPr>
                <w:sz w:val="20"/>
                <w:rFonts w:eastAsia="微軟正黑體" w:ascii="Calibri" w:hAnsi="Calibri"/>
              </w:rPr>
              <w:t>把已算好的審查結果，寫成一段白話文摘要</w:t>
            </w:r>
          </w:p>
        </w:tc>
        <w:tc>
          <w:tcPr>
            <w:tcW w:type="dxa" w:w="3685"/>
          </w:tcPr>
          <w:p>
            <w:r/>
            <w:r>
              <w:rPr>
                <w:sz w:val="20"/>
                <w:rFonts w:eastAsia="微軟正黑體" w:ascii="Calibri" w:hAnsi="Calibri"/>
              </w:rPr>
              <w:t>功能已存在，但目前還沒有接上正式的觸發入口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20"/>
                <w:rFonts w:eastAsia="微軟正黑體" w:ascii="Calibri" w:hAnsi="Calibri"/>
              </w:rPr>
              <w:t>AWS Textract（OCR）</w:t>
            </w:r>
          </w:p>
        </w:tc>
        <w:tc>
          <w:tcPr>
            <w:tcW w:type="dxa" w:w="3402"/>
          </w:tcPr>
          <w:p>
            <w:r/>
            <w:r>
              <w:rPr>
                <w:sz w:val="20"/>
                <w:rFonts w:eastAsia="微軟正黑體" w:ascii="Calibri" w:hAnsi="Calibri"/>
              </w:rPr>
              <w:t>未來用來讀掃描版PDF</w:t>
            </w:r>
          </w:p>
        </w:tc>
        <w:tc>
          <w:tcPr>
            <w:tcW w:type="dxa" w:w="3685"/>
          </w:tcPr>
          <w:p>
            <w:r/>
            <w:r>
              <w:rPr>
                <w:sz w:val="20"/>
                <w:rFonts w:eastAsia="微軟正黑體" w:ascii="Calibri" w:hAnsi="Calibri"/>
              </w:rPr>
              <w:t>目前尚未接入正式流程；現行版本用PyMuPDF直接讀PDF文字層</w:t>
            </w:r>
          </w:p>
        </w:tc>
      </w:tr>
    </w:tbl>
    <w:p>
      <w:pPr>
        <w:spacing w:after="40"/>
      </w:pPr>
    </w:p>
    <w:p>
      <w:pPr>
        <w:spacing w:before="280" w:after="120"/>
      </w:pPr>
      <w:r>
        <w:rPr>
          <w:b/>
          <w:color w:val="1F4E79"/>
          <w:sz w:val="32"/>
          <w:rFonts w:eastAsia="微軟正黑體" w:ascii="Calibri" w:hAnsi="Calibri"/>
        </w:rPr>
        <w:t>4. AI 到底負責什麼</w:t>
      </w:r>
    </w:p>
    <w:p>
      <w:pPr>
        <w:spacing w:after="120" w:before="0"/>
      </w:pPr>
      <w:r>
        <w:rPr>
          <w:b/>
          <w:i w:val="0"/>
          <w:sz w:val="22"/>
          <w:rFonts w:eastAsia="微軟正黑體" w:ascii="Calibri" w:hAnsi="Calibri"/>
        </w:rPr>
        <w:t>這一點請特別記住，上台被問到的時候不要說錯：不是「AI自己判斷估價正不正確」。</w:t>
      </w:r>
    </w:p>
    <w:p>
      <w:pPr>
        <w:spacing w:after="80" w:before="0"/>
      </w:pPr>
      <w:r>
        <w:rPr>
          <w:b w:val="0"/>
          <w:i w:val="0"/>
          <w:sz w:val="22"/>
          <w:rFonts w:eastAsia="微軟正黑體" w:ascii="Calibri" w:hAnsi="Calibri"/>
        </w:rPr>
        <w:t>正確的分工是：</w:t>
      </w:r>
    </w:p>
    <w:p>
      <w:pPr>
        <w:pStyle w:val="ListBullet"/>
        <w:spacing w:after="60"/>
      </w:pPr>
      <w:r>
        <w:rPr>
          <w:sz w:val="22"/>
          <w:rFonts w:eastAsia="微軟正黑體" w:ascii="Calibri" w:hAnsi="Calibri"/>
        </w:rPr>
        <w:t>官方資料 ＋ 規則引擎（Rule／Grade／Calculation）＋ 跨表比對　→　負責判斷欄位與計算是否正確、一致。</w:t>
      </w:r>
    </w:p>
    <w:p>
      <w:pPr>
        <w:pStyle w:val="ListBullet"/>
        <w:spacing w:after="60"/>
      </w:pPr>
      <w:r>
        <w:rPr>
          <w:sz w:val="22"/>
          <w:rFonts w:eastAsia="微軟正黑體" w:ascii="Calibri" w:hAnsi="Calibri"/>
        </w:rPr>
        <w:t>AI／LLM　→　負責把已經算好的結果，整理、解釋成白話文，方便審查人員閱讀。</w:t>
      </w:r>
    </w:p>
    <w:p>
      <w:pPr>
        <w:spacing w:after="160" w:before="0"/>
      </w:pPr>
      <w:r>
        <w:rPr>
          <w:b w:val="0"/>
          <w:i w:val="0"/>
          <w:sz w:val="22"/>
          <w:rFonts w:eastAsia="微軟正黑體" w:ascii="Calibri" w:hAnsi="Calibri"/>
        </w:rPr>
        <w:t>如果官方資料不足，系統不會亂猜，會誠實標示「UNKNOWN」或「需要人工確認」。</w:t>
      </w:r>
    </w:p>
    <w:p>
      <w:pPr>
        <w:spacing w:before="80" w:after="200"/>
        <w:jc w:val="center"/>
      </w:pPr>
      <w:r>
        <w:rPr>
          <w:b/>
          <w:i/>
          <w:color w:val="1F4E79"/>
          <w:sz w:val="26"/>
          <w:rFonts w:eastAsia="微軟正黑體" w:ascii="Calibri" w:hAnsi="Calibri"/>
        </w:rPr>
        <w:t>「規則引擎決定結果，AI 解釋結果。」</w:t>
      </w:r>
    </w:p>
    <w:p>
      <w:pPr>
        <w:spacing w:before="280" w:after="120"/>
      </w:pPr>
      <w:r>
        <w:rPr>
          <w:b/>
          <w:color w:val="1F4E79"/>
          <w:sz w:val="32"/>
          <w:rFonts w:eastAsia="微軟正黑體" w:ascii="Calibri" w:hAnsi="Calibri"/>
        </w:rPr>
        <w:t>5. 系統現在完成到哪裡</w:t>
      </w:r>
    </w:p>
    <w:p>
      <w:pPr>
        <w:spacing w:after="120" w:before="0"/>
      </w:pPr>
      <w:r>
        <w:rPr>
          <w:b/>
          <w:sz w:val="22"/>
          <w:rFonts w:eastAsia="微軟正黑體" w:ascii="Calibri" w:hAnsi="Calibri"/>
        </w:rPr>
        <w:t>目前狀態：</w:t>
      </w:r>
      <w:r>
        <w:rPr>
          <w:b w:val="0"/>
          <w:sz w:val="22"/>
          <w:rFonts w:eastAsia="微軟正黑體" w:ascii="Calibri" w:hAnsi="Calibri"/>
        </w:rPr>
        <w:t>Offline RC1（離線版本）已完成。</w:t>
      </w:r>
    </w:p>
    <w:p>
      <w:pPr>
        <w:spacing w:after="60" w:before="0"/>
      </w:pPr>
      <w:r>
        <w:rPr>
          <w:b/>
          <w:i w:val="0"/>
          <w:sz w:val="22"/>
          <w:rFonts w:eastAsia="微軟正黑體" w:ascii="Calibri" w:hAnsi="Calibri"/>
        </w:rPr>
        <w:t>已完成項目：</w:t>
      </w:r>
    </w:p>
    <w:p>
      <w:pPr>
        <w:pStyle w:val="ListBullet"/>
        <w:spacing w:after="60"/>
      </w:pPr>
      <w:r>
        <w:rPr>
          <w:sz w:val="22"/>
          <w:rFonts w:eastAsia="微軟正黑體" w:ascii="Calibri" w:hAnsi="Calibri"/>
        </w:rPr>
        <w:t>Golden Case／Error Case 展示</w:t>
      </w:r>
    </w:p>
    <w:p>
      <w:pPr>
        <w:pStyle w:val="ListBullet"/>
        <w:spacing w:after="60"/>
      </w:pPr>
      <w:r>
        <w:rPr>
          <w:sz w:val="22"/>
          <w:rFonts w:eastAsia="微軟正黑體" w:ascii="Calibri" w:hAnsi="Calibri"/>
        </w:rPr>
        <w:t>查估書表欄位擷取</w:t>
      </w:r>
    </w:p>
    <w:p>
      <w:pPr>
        <w:pStyle w:val="ListBullet"/>
        <w:spacing w:after="60"/>
      </w:pPr>
      <w:r>
        <w:rPr>
          <w:sz w:val="22"/>
          <w:rFonts w:eastAsia="微軟正黑體" w:ascii="Calibri" w:hAnsi="Calibri"/>
        </w:rPr>
        <w:t>Rule／Grade／Calculation 計算引擎</w:t>
      </w:r>
    </w:p>
    <w:p>
      <w:pPr>
        <w:pStyle w:val="ListBullet"/>
        <w:spacing w:after="60"/>
      </w:pPr>
      <w:r>
        <w:rPr>
          <w:sz w:val="22"/>
          <w:rFonts w:eastAsia="微軟正黑體" w:ascii="Calibri" w:hAnsi="Calibri"/>
        </w:rPr>
        <w:t>跨表一致性檢核</w:t>
      </w:r>
    </w:p>
    <w:p>
      <w:pPr>
        <w:pStyle w:val="ListBullet"/>
        <w:spacing w:after="60"/>
      </w:pPr>
      <w:r>
        <w:rPr>
          <w:sz w:val="22"/>
          <w:rFonts w:eastAsia="微軟正黑體" w:ascii="Calibri" w:hAnsi="Calibri"/>
        </w:rPr>
        <w:t>PDF 產出（本機/容器內驗證）</w:t>
      </w:r>
    </w:p>
    <w:p>
      <w:pPr>
        <w:pStyle w:val="ListBullet"/>
        <w:spacing w:after="60"/>
      </w:pPr>
      <w:r>
        <w:rPr>
          <w:sz w:val="22"/>
          <w:rFonts w:eastAsia="微軟正黑體" w:ascii="Calibri" w:hAnsi="Calibri"/>
        </w:rPr>
        <w:t>前端離線Demo（瀏覽器可完整操作）</w:t>
      </w:r>
    </w:p>
    <w:p>
      <w:pPr>
        <w:pStyle w:val="ListBullet"/>
        <w:spacing w:after="60"/>
      </w:pPr>
      <w:r>
        <w:rPr>
          <w:sz w:val="22"/>
          <w:rFonts w:eastAsia="微軟正黑體" w:ascii="Calibri" w:hAnsi="Calibri"/>
        </w:rPr>
        <w:t>AWS建置腳本（SAM build）驗證</w:t>
      </w:r>
    </w:p>
    <w:p>
      <w:pPr>
        <w:pStyle w:val="ListBullet"/>
        <w:spacing w:after="60"/>
      </w:pPr>
      <w:r>
        <w:rPr>
          <w:sz w:val="22"/>
          <w:rFonts w:eastAsia="微軟正黑體" w:ascii="Calibri" w:hAnsi="Calibri"/>
        </w:rPr>
        <w:t>與Lambda相容的Docker環境驗證</w:t>
      </w:r>
    </w:p>
    <w:p>
      <w:pPr>
        <w:pStyle w:val="ListBullet"/>
        <w:spacing w:after="60"/>
      </w:pPr>
      <w:r>
        <w:rPr>
          <w:sz w:val="22"/>
          <w:rFonts w:eastAsia="微軟正黑體" w:ascii="Calibri" w:hAnsi="Calibri"/>
        </w:rPr>
        <w:t>全專案架構稽核</w:t>
      </w:r>
    </w:p>
    <w:p>
      <w:pPr>
        <w:spacing w:after="60" w:before="0"/>
      </w:pPr>
      <w:r>
        <w:rPr>
          <w:b w:val="0"/>
          <w:i w:val="0"/>
          <w:sz w:val="22"/>
          <w:rFonts w:eastAsia="微軟正黑體" w:ascii="Calibri" w:hAnsi="Calibri"/>
        </w:rPr>
        <w:t>關鍵驗證數字（不需要背細節，知道有做過即可）：</w:t>
      </w:r>
    </w:p>
    <w:p>
      <w:pPr>
        <w:pStyle w:val="ListBullet"/>
        <w:spacing w:after="60"/>
      </w:pPr>
      <w:r>
        <w:rPr>
          <w:sz w:val="22"/>
          <w:rFonts w:eastAsia="微軟正黑體" w:ascii="Calibri" w:hAnsi="Calibri"/>
        </w:rPr>
        <w:t>798項自動化測試全數通過</w:t>
      </w:r>
    </w:p>
    <w:p>
      <w:pPr>
        <w:pStyle w:val="ListBullet"/>
        <w:spacing w:after="60"/>
      </w:pPr>
      <w:r>
        <w:rPr>
          <w:sz w:val="22"/>
          <w:rFonts w:eastAsia="微軟正黑體" w:ascii="Calibri" w:hAnsi="Calibri"/>
        </w:rPr>
        <w:t>13個Lambda函式在相容環境下import全部成功</w:t>
      </w:r>
    </w:p>
    <w:p>
      <w:pPr>
        <w:pStyle w:val="ListBullet"/>
        <w:spacing w:after="60"/>
      </w:pPr>
      <w:r>
        <w:rPr>
          <w:sz w:val="22"/>
          <w:rFonts w:eastAsia="微軟正黑體" w:ascii="Calibri" w:hAnsi="Calibri"/>
        </w:rPr>
        <w:t>AWS建置流程（SAM validate／build）驗證通過</w:t>
      </w:r>
    </w:p>
    <w:p>
      <w:pPr>
        <w:spacing w:before="280" w:after="120"/>
      </w:pPr>
      <w:r>
        <w:rPr>
          <w:b/>
          <w:color w:val="1F4E79"/>
          <w:sz w:val="32"/>
          <w:rFonts w:eastAsia="微軟正黑體" w:ascii="Calibri" w:hAnsi="Calibri"/>
        </w:rPr>
        <w:t>6. 正式上台前還剩什麼</w:t>
      </w:r>
    </w:p>
    <w:p>
      <w:pPr>
        <w:pStyle w:val="ListBullet"/>
        <w:spacing w:after="60"/>
      </w:pPr>
      <w:r>
        <w:rPr>
          <w:sz w:val="22"/>
          <w:rFonts w:eastAsia="微軟正黑體" w:ascii="Calibri" w:hAnsi="Calibri"/>
        </w:rPr>
        <w:t>把Real模式PDF輸出跟Mock Demo展示的畫面對齊</w:t>
      </w:r>
    </w:p>
    <w:p>
      <w:pPr>
        <w:pStyle w:val="ListBullet"/>
        <w:spacing w:after="60"/>
      </w:pPr>
      <w:r>
        <w:rPr>
          <w:sz w:val="22"/>
          <w:rFonts w:eastAsia="微軟正黑體" w:ascii="Calibri" w:hAnsi="Calibri"/>
        </w:rPr>
        <w:t>正式部署到AWS</w:t>
      </w:r>
    </w:p>
    <w:p>
      <w:pPr>
        <w:pStyle w:val="ListBullet"/>
        <w:spacing w:after="60"/>
      </w:pPr>
      <w:r>
        <w:rPr>
          <w:sz w:val="22"/>
          <w:rFonts w:eastAsia="微軟正黑體" w:ascii="Calibri" w:hAnsi="Calibri"/>
        </w:rPr>
        <w:t>真實S3／DynamoDB實際串接測試</w:t>
      </w:r>
    </w:p>
    <w:p>
      <w:pPr>
        <w:pStyle w:val="ListBullet"/>
        <w:spacing w:after="60"/>
      </w:pPr>
      <w:r>
        <w:rPr>
          <w:sz w:val="22"/>
          <w:rFonts w:eastAsia="微軟正黑體" w:ascii="Calibri" w:hAnsi="Calibri"/>
        </w:rPr>
        <w:t>Golden Case在雲端環境重新驗證一次</w:t>
      </w:r>
    </w:p>
    <w:p>
      <w:pPr>
        <w:pStyle w:val="ListBullet"/>
        <w:spacing w:after="60"/>
      </w:pPr>
      <w:r>
        <w:rPr>
          <w:sz w:val="22"/>
          <w:rFonts w:eastAsia="微軟正黑體" w:ascii="Calibri" w:hAnsi="Calibri"/>
        </w:rPr>
        <w:t>Error Case在雲端環境重新驗證一次</w:t>
      </w:r>
    </w:p>
    <w:p>
      <w:pPr>
        <w:pStyle w:val="ListBullet"/>
        <w:spacing w:after="60"/>
      </w:pPr>
      <w:r>
        <w:rPr>
          <w:sz w:val="22"/>
          <w:rFonts w:eastAsia="微軟正黑體" w:ascii="Calibri" w:hAnsi="Calibri"/>
        </w:rPr>
        <w:t>測試Cold Start／Warm Start效能</w:t>
      </w:r>
    </w:p>
    <w:p>
      <w:pPr>
        <w:pStyle w:val="ListBullet"/>
        <w:spacing w:after="60"/>
      </w:pPr>
      <w:r>
        <w:rPr>
          <w:sz w:val="22"/>
          <w:rFonts w:eastAsia="微軟正黑體" w:ascii="Calibri" w:hAnsi="Calibri"/>
        </w:rPr>
        <w:t>決定要不要展示Bedrock AI摘要功能</w:t>
      </w:r>
    </w:p>
    <w:p>
      <w:pPr>
        <w:pStyle w:val="ListBullet"/>
        <w:spacing w:after="60"/>
      </w:pPr>
      <w:r>
        <w:rPr>
          <w:sz w:val="22"/>
          <w:rFonts w:eastAsia="微軟正黑體" w:ascii="Calibri" w:hAnsi="Calibri"/>
        </w:rPr>
        <w:t>正式上台前的完整彩排</w:t>
      </w:r>
    </w:p>
    <w:p>
      <w:pPr>
        <w:pStyle w:val="ListBullet"/>
        <w:spacing w:after="60"/>
      </w:pPr>
      <w:r>
        <w:rPr>
          <w:sz w:val="22"/>
          <w:rFonts w:eastAsia="微軟正黑體" w:ascii="Calibri" w:hAnsi="Calibri"/>
        </w:rPr>
        <w:t>保留離線備援Demo（萬一AWS/網路當天出狀況）</w:t>
      </w:r>
    </w:p>
    <w:p>
      <w:pPr>
        <w:spacing w:after="60" w:before="120"/>
      </w:pPr>
      <w:r>
        <w:rPr>
          <w:b/>
          <w:i w:val="0"/>
          <w:sz w:val="22"/>
          <w:rFonts w:eastAsia="微軟正黑體" w:ascii="Calibri" w:hAnsi="Calibri"/>
        </w:rPr>
        <w:t>以下這些，目前不需要再加，也不在本次比賽範圍內：</w:t>
      </w:r>
    </w:p>
    <w:p>
      <w:pPr>
        <w:spacing w:after="160" w:before="0"/>
      </w:pPr>
      <w:r>
        <w:rPr>
          <w:b w:val="0"/>
          <w:i w:val="0"/>
          <w:sz w:val="22"/>
          <w:rFonts w:eastAsia="微軟正黑體" w:ascii="Calibri" w:hAnsi="Calibri"/>
        </w:rPr>
        <w:t>RAG（檢索增強生成）　、　更多行政區支援　、　更多API串接　、　TGOS　、　自行訓練模型　、　全面重構既有架構</w:t>
      </w:r>
    </w:p>
    <w:p>
      <w:pPr>
        <w:spacing w:before="280" w:after="120"/>
      </w:pPr>
      <w:r>
        <w:rPr>
          <w:b/>
          <w:color w:val="1F4E79"/>
          <w:sz w:val="32"/>
          <w:rFonts w:eastAsia="微軟正黑體" w:ascii="Calibri" w:hAnsi="Calibri"/>
        </w:rPr>
        <w:t>7. 上台要記住的三件事</w:t>
      </w:r>
    </w:p>
    <w:p>
      <w:pPr>
        <w:spacing w:after="120"/>
        <w:ind w:left="170"/>
      </w:pPr>
      <w:r>
        <w:rPr>
          <w:b/>
          <w:color w:val="C00000"/>
          <w:sz w:val="24"/>
          <w:rFonts w:eastAsia="微軟正黑體" w:ascii="Calibri" w:hAnsi="Calibri"/>
        </w:rPr>
        <w:t xml:space="preserve">① 我們不是讓AI亂猜　</w:t>
      </w:r>
      <w:r>
        <w:rPr>
          <w:sz w:val="22"/>
          <w:rFonts w:eastAsia="微軟正黑體" w:ascii="Calibri" w:hAnsi="Calibri"/>
        </w:rPr>
        <w:t>核心結果來自「官方資料 ＋ 規則引擎」，不是AI自由發揮。</w:t>
      </w:r>
    </w:p>
    <w:p>
      <w:pPr>
        <w:spacing w:after="120"/>
        <w:ind w:left="170"/>
      </w:pPr>
      <w:r>
        <w:rPr>
          <w:b/>
          <w:color w:val="C00000"/>
          <w:sz w:val="24"/>
          <w:rFonts w:eastAsia="微軟正黑體" w:ascii="Calibri" w:hAnsi="Calibri"/>
        </w:rPr>
        <w:t xml:space="preserve">② 系統價值是自動核算與抓錯　</w:t>
      </w:r>
      <w:r>
        <w:rPr>
          <w:sz w:val="22"/>
          <w:rFonts w:eastAsia="微軟正黑體" w:ascii="Calibri" w:hAnsi="Calibri"/>
        </w:rPr>
        <w:t>包含欄位錯誤、計算錯誤、跨表不一致，這是最大的賣點。</w:t>
      </w:r>
    </w:p>
    <w:p>
      <w:pPr>
        <w:spacing w:after="120"/>
        <w:ind w:left="170"/>
      </w:pPr>
      <w:r>
        <w:rPr>
          <w:b/>
          <w:color w:val="C00000"/>
          <w:sz w:val="24"/>
          <w:rFonts w:eastAsia="微軟正黑體" w:ascii="Calibri" w:hAnsi="Calibri"/>
        </w:rPr>
        <w:t xml:space="preserve">③ 資料不足時不假裝知道　</w:t>
      </w:r>
      <w:r>
        <w:rPr>
          <w:sz w:val="22"/>
          <w:rFonts w:eastAsia="微軟正黑體" w:ascii="Calibri" w:hAnsi="Calibri"/>
        </w:rPr>
        <w:t>會誠實標示 UNKNOWN／需要人工確認，絕不亂補數字。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軟正黑體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eastAsia="微軟正黑體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eastAsia="微軟正黑體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eastAsia="微軟正黑體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eastAsia="微軟正黑體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eastAsia="微軟正黑體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