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1.png" ContentType="image/png"/>
  <Override PartName="/word/media/rId32.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6.png" ContentType="image/png"/>
  <Override PartName="/word/media/rId57.png" ContentType="image/png"/>
  <Override PartName="/word/media/rId58.png" ContentType="image/png"/>
  <Override PartName="/word/media/rId66.png" ContentType="image/png"/>
  <Override PartName="/word/media/rId67.png" ContentType="image/png"/>
  <Override PartName="/word/media/rId68.png" ContentType="image/png"/>
  <Override PartName="/word/media/rId70.png" ContentType="image/png"/>
  <Override PartName="/word/media/rId71.png" ContentType="image/png"/>
  <Override PartName="/word/media/rId74.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SpecialTopic3_AnomaliesinInternationalFinancialMarkets</w:t>
      </w:r>
    </w:p>
    <w:p>
      <w:pPr>
        <w:pStyle w:val="Date"/>
      </w:pPr>
      <w:r>
        <w:t xml:space="preserve">2022-10-25T07:37:46.000Z</w:t>
      </w:r>
    </w:p>
    <w:p>
      <w:pPr>
        <w:pStyle w:val="Heading2"/>
      </w:pPr>
      <w:bookmarkStart w:id="20" w:name="X00fac6c3ed08f4070e925563748ebe875463556"/>
      <w:r>
        <w:t xml:space="preserve">What drives the liquidity premium in the Chinese stock market?</w:t>
      </w:r>
      <w:bookmarkEnd w:id="20"/>
    </w:p>
    <w:p>
      <w:pPr>
        <w:pStyle w:val="FirstParagraph"/>
      </w:pPr>
      <w:r>
        <w:t xml:space="preserve">North American Journal of Economics and Finance 54 (2020) 101088</w:t>
      </w:r>
    </w:p>
    <w:p>
      <w:pPr>
        <w:pStyle w:val="BodyText"/>
      </w:pPr>
      <w:r>
        <w:t xml:space="preserve">Jiyoun An, Kin-Yip Ho, and Zhaoyong Zhang</w:t>
      </w:r>
    </w:p>
    <w:p>
      <w:pPr>
        <w:pStyle w:val="Heading3"/>
      </w:pPr>
      <w:bookmarkStart w:id="21" w:name="background-liquidity-in-china"/>
      <w:r>
        <w:t xml:space="preserve">Background: liquidity in China</w:t>
      </w:r>
      <w:bookmarkEnd w:id="21"/>
    </w:p>
    <w:p>
      <w:pPr>
        <w:pStyle w:val="FirstParagraph"/>
      </w:pPr>
      <w:r>
        <w:rPr>
          <w:b/>
        </w:rPr>
        <w:t xml:space="preserve">The banking liquidity crisis and subsequent instability in the Chinese financial markets</w:t>
      </w:r>
      <w:r>
        <w:t xml:space="preserve">: importance of liquidity in influencing market dynamics.</w:t>
      </w:r>
    </w:p>
    <w:p>
      <w:pPr>
        <w:pStyle w:val="BodyText"/>
      </w:pPr>
      <w:r>
        <w:t xml:space="preserve">The Economist, 2013:</w:t>
      </w:r>
      <w:r>
        <w:t xml:space="preserve"> </w:t>
      </w:r>
      <w:r>
        <w:t xml:space="preserve">“</w:t>
      </w:r>
      <w:r>
        <w:t xml:space="preserve">The impact of the sudden liquidity crunch in the overnight loans market on June 20 adversely affected the equity markets on June 24 and 25… The biggest daily loss in nearly four years</w:t>
      </w:r>
      <w:r>
        <w:t xml:space="preserve">”</w:t>
      </w:r>
    </w:p>
    <w:p>
      <w:pPr>
        <w:pStyle w:val="BodyText"/>
      </w:pPr>
      <w:r>
        <w:t xml:space="preserve">July 2015: the China Security Regulatory Commission introduced</w:t>
      </w:r>
      <w:r>
        <w:t xml:space="preserve"> </w:t>
      </w:r>
      <w:r>
        <w:rPr>
          <w:b/>
        </w:rPr>
        <w:t xml:space="preserve">circuit breakers</w:t>
      </w:r>
      <w:r>
        <w:t xml:space="preserve"> </w:t>
      </w:r>
      <w:r>
        <w:t xml:space="preserve">to stabilize the situation.</w:t>
      </w:r>
    </w:p>
    <w:p>
      <w:pPr>
        <w:pStyle w:val="BodyText"/>
      </w:pPr>
      <w:r>
        <w:t xml:space="preserve">China Daily, 2017:</w:t>
      </w:r>
      <w:r>
        <w:t xml:space="preserve"> </w:t>
      </w:r>
      <w:r>
        <w:t xml:space="preserve">“</w:t>
      </w:r>
      <w:r>
        <w:t xml:space="preserve">Even though the Chinese government rectified the situation through the adoption of corrective measures subsequently, the issue of liquidity continues to weigh on the Chinese financial market</w:t>
      </w:r>
      <w:r>
        <w:t xml:space="preserve">”</w:t>
      </w:r>
    </w:p>
    <w:p>
      <w:pPr>
        <w:pStyle w:val="Heading3"/>
      </w:pPr>
      <w:bookmarkStart w:id="22" w:name="challenges-of-examining-liquidity"/>
      <w:r>
        <w:t xml:space="preserve">Challenges of examining liquidity</w:t>
      </w:r>
      <w:bookmarkEnd w:id="22"/>
    </w:p>
    <w:p>
      <w:pPr>
        <w:pStyle w:val="FirstParagraph"/>
      </w:pPr>
      <w:r>
        <w:rPr>
          <w:b/>
        </w:rPr>
        <w:t xml:space="preserve">First challenge</w:t>
      </w:r>
      <w:r>
        <w:t xml:space="preserve">: liquidity could be intimately related to other factors commonly known to influence asset pricing and return predictability in equity markets.</w:t>
      </w:r>
    </w:p>
    <w:p>
      <w:pPr>
        <w:numPr>
          <w:ilvl w:val="0"/>
          <w:numId w:val="1001"/>
        </w:numPr>
        <w:pStyle w:val="Compact"/>
      </w:pPr>
      <w:r>
        <w:t xml:space="preserve">Idiosyncratic volatility premium: linked to liquidity costs and biases. (Ang et al. 2009; Han and Lesmond, 2011)</w:t>
      </w:r>
    </w:p>
    <w:p>
      <w:pPr>
        <w:numPr>
          <w:ilvl w:val="0"/>
          <w:numId w:val="1001"/>
        </w:numPr>
        <w:pStyle w:val="Compact"/>
      </w:pPr>
      <w:r>
        <w:t xml:space="preserve">Liquidity, firm size and dividends: jointly significant in predicting returns. (Eun and Hung, 2007)</w:t>
      </w:r>
    </w:p>
    <w:p>
      <w:pPr>
        <w:numPr>
          <w:ilvl w:val="0"/>
          <w:numId w:val="1001"/>
        </w:numPr>
        <w:pStyle w:val="Compact"/>
      </w:pPr>
      <w:r>
        <w:t xml:space="preserve">Narayan and Zheng (2010) and Nartea et al. (2013): possible links between liquidity and other factors in the Chinese equity market.</w:t>
      </w:r>
    </w:p>
    <w:p>
      <w:pPr>
        <w:pStyle w:val="FirstParagraph"/>
      </w:pPr>
      <w:r>
        <w:t xml:space="preserve">Second challenge is the existence of</w:t>
      </w:r>
      <w:r>
        <w:t xml:space="preserve"> </w:t>
      </w:r>
      <w:r>
        <w:rPr>
          <w:b/>
        </w:rPr>
        <w:t xml:space="preserve">numerous liquidity measures</w:t>
      </w:r>
      <w:r>
        <w:t xml:space="preserve">, which potentially</w:t>
      </w:r>
      <w:r>
        <w:t xml:space="preserve"> </w:t>
      </w:r>
      <w:r>
        <w:rPr>
          <w:b/>
        </w:rPr>
        <w:t xml:space="preserve">represent various aspects of market imperfection or embed different asset characteristics</w:t>
      </w:r>
      <w:r>
        <w:t xml:space="preserve">, since these measures may use different information.</w:t>
      </w:r>
    </w:p>
    <w:p>
      <w:pPr>
        <w:numPr>
          <w:ilvl w:val="0"/>
          <w:numId w:val="1002"/>
        </w:numPr>
        <w:pStyle w:val="Compact"/>
      </w:pPr>
      <w:r>
        <w:t xml:space="preserve">participation costs, transactions costs, asymmetric information, imperfect competition, funding constraints, search costs</w:t>
      </w:r>
    </w:p>
    <w:p>
      <w:pPr>
        <w:pStyle w:val="Heading3"/>
      </w:pPr>
      <w:bookmarkStart w:id="23" w:name="research-questions"/>
      <w:r>
        <w:t xml:space="preserve">Research questions</w:t>
      </w:r>
      <w:bookmarkEnd w:id="23"/>
    </w:p>
    <w:p>
      <w:pPr>
        <w:pStyle w:val="FirstParagraph"/>
      </w:pPr>
      <w:r>
        <w:t xml:space="preserve">How are the dynamics of liquidity in the Chinese stock market linked to other driving forces of asset pricing and return predictability?</w:t>
      </w:r>
    </w:p>
    <w:p>
      <w:pPr>
        <w:numPr>
          <w:ilvl w:val="0"/>
          <w:numId w:val="1003"/>
        </w:numPr>
        <w:pStyle w:val="Compact"/>
      </w:pPr>
      <w:r>
        <w:t xml:space="preserve">Using a range of liquidity measures</w:t>
      </w:r>
    </w:p>
    <w:p>
      <w:pPr>
        <w:numPr>
          <w:ilvl w:val="0"/>
          <w:numId w:val="1003"/>
        </w:numPr>
        <w:pStyle w:val="Compact"/>
      </w:pPr>
      <w:r>
        <w:t xml:space="preserve">Decomposing the liquidity measure into several components (Hou and Loh, 2016)</w:t>
      </w:r>
    </w:p>
    <w:p>
      <w:pPr>
        <w:pStyle w:val="Heading3"/>
      </w:pPr>
      <w:bookmarkStart w:id="24" w:name="data"/>
      <w:r>
        <w:t xml:space="preserve">Data</w:t>
      </w:r>
      <w:bookmarkEnd w:id="24"/>
    </w:p>
    <w:p>
      <w:pPr>
        <w:pStyle w:val="FirstParagraph"/>
      </w:pPr>
      <w:r>
        <w:t xml:space="preserve">Stock returns in Shanghai and Shenzhen A-share</w:t>
      </w:r>
    </w:p>
    <w:p>
      <w:pPr>
        <w:pStyle w:val="BodyText"/>
      </w:pPr>
      <w:r>
        <w:t xml:space="preserve">Sample period: July 1995 ~ December 2015</w:t>
      </w:r>
    </w:p>
    <w:p>
      <w:pPr>
        <w:pStyle w:val="BodyText"/>
      </w:pPr>
      <w:r>
        <w:t xml:space="preserve">Limiting our sample:</w:t>
      </w:r>
    </w:p>
    <w:p>
      <w:pPr>
        <w:numPr>
          <w:ilvl w:val="0"/>
          <w:numId w:val="1004"/>
        </w:numPr>
        <w:pStyle w:val="Compact"/>
      </w:pPr>
      <w:r>
        <w:t xml:space="preserve">Price, market value, book value, and return data for the subsequent three-year period should exist.</w:t>
      </w:r>
    </w:p>
    <w:p>
      <w:pPr>
        <w:numPr>
          <w:ilvl w:val="0"/>
          <w:numId w:val="1004"/>
        </w:numPr>
        <w:pStyle w:val="Compact"/>
      </w:pPr>
      <w:r>
        <w:t xml:space="preserve">Drop penny stocks with 3 RMB market values (too many penny stocks, thus use US 50 cents instead of USD 1)</w:t>
      </w:r>
    </w:p>
    <w:p>
      <w:pPr>
        <w:numPr>
          <w:ilvl w:val="0"/>
          <w:numId w:val="1004"/>
        </w:numPr>
        <w:pStyle w:val="Compact"/>
      </w:pPr>
      <w:r>
        <w:t xml:space="preserve">Drop extreme values</w:t>
      </w:r>
    </w:p>
    <w:p>
      <w:pPr>
        <w:numPr>
          <w:ilvl w:val="0"/>
          <w:numId w:val="1004"/>
        </w:numPr>
        <w:pStyle w:val="Compact"/>
      </w:pPr>
      <w:r>
        <w:t xml:space="preserve">CSMAR datasets are available from 1991, but we limit the sample from July 1995 to December 2015 due to lack of sufficient observations before 1995.</w:t>
      </w:r>
    </w:p>
    <w:p>
      <w:pPr>
        <w:pStyle w:val="Heading3"/>
      </w:pPr>
      <w:bookmarkStart w:id="25" w:name="liquidity-measures"/>
      <w:r>
        <w:t xml:space="preserve">Liquidity measures</w:t>
      </w:r>
      <w:bookmarkEnd w:id="25"/>
    </w:p>
    <w:p>
      <w:pPr>
        <w:pStyle w:val="FirstParagraph"/>
      </w:pPr>
      <w:r>
        <w:t xml:space="preserve">Campbell, Lo, and MacKinlay (1997) define</w:t>
      </w:r>
      <w:r>
        <w:t xml:space="preserve"> </w:t>
      </w:r>
      <w:r>
        <w:rPr>
          <w:b/>
        </w:rPr>
        <w:t xml:space="preserve">liquidity</w:t>
      </w:r>
      <w:r>
        <w:t xml:space="preserve"> </w:t>
      </w:r>
      <w:r>
        <w:t xml:space="preserve">as</w:t>
      </w:r>
      <w:r>
        <w:t xml:space="preserve"> </w:t>
      </w:r>
      <w:r>
        <w:t xml:space="preserve">“</w:t>
      </w:r>
      <w:r>
        <w:t xml:space="preserve">the ability to buy or sell significant quantities of a security quickly, anonymously, and with relatively little price impact.</w:t>
      </w:r>
      <w:r>
        <w:t xml:space="preserve">”</w:t>
      </w:r>
    </w:p>
    <w:p>
      <w:pPr>
        <w:pStyle w:val="BodyText"/>
      </w:pPr>
      <w:r>
        <w:t xml:space="preserve">The bid-ask spread, trading size, and turnover are intuitive and heuristic measures.</w:t>
      </w:r>
    </w:p>
    <w:p>
      <w:pPr>
        <w:pStyle w:val="BodyText"/>
      </w:pPr>
      <w:r>
        <w:t xml:space="preserve">Three monthly frequency</w:t>
      </w:r>
      <w:r>
        <w:t xml:space="preserve"> </w:t>
      </w:r>
      <w:r>
        <w:rPr>
          <w:b/>
        </w:rPr>
        <w:t xml:space="preserve">liquidity measures: Stocks with high values are highly illiquid</w:t>
      </w:r>
      <w:r>
        <w:t xml:space="preserve">.</w:t>
      </w:r>
    </w:p>
    <w:p>
      <w:pPr>
        <w:numPr>
          <w:ilvl w:val="0"/>
          <w:numId w:val="1005"/>
        </w:numPr>
        <w:pStyle w:val="Compact"/>
      </w:pPr>
      <w:r>
        <w:t xml:space="preserve">AMIHUD: Amihud (2002) measure, the average ratio of the daily absolute return to the trading volume on that day</w:t>
      </w:r>
    </w:p>
    <w:p>
      <w:pPr>
        <w:pStyle w:val="FirstParagraph"/>
      </w:pPr>
      <m:oMathPara>
        <m:oMathParaPr>
          <m:jc m:val="center"/>
        </m:oMathParaPr>
        <m:oMath>
          <m:d>
            <m:dPr>
              <m:begChr m:val="|"/>
              <m:endChr m:val="|"/>
              <m:grow/>
            </m:dPr>
            <m:e>
              <m:r>
                <m:t>R</m:t>
              </m:r>
              <m:sSub>
                <m:e>
                  <m:r>
                    <m:t>D</m:t>
                  </m:r>
                </m:e>
                <m:sub>
                  <m:r>
                    <m:t>i</m:t>
                  </m:r>
                  <m:r>
                    <m:t>,</m:t>
                  </m:r>
                  <m:r>
                    <m:t>t</m:t>
                  </m:r>
                </m:sub>
              </m:sSub>
            </m:e>
          </m:d>
          <m:r>
            <m:t>/</m:t>
          </m:r>
          <m:r>
            <m:t>V</m:t>
          </m:r>
          <m:r>
            <m:t>O</m:t>
          </m:r>
          <m:r>
            <m:t>L</m:t>
          </m:r>
          <m:sSub>
            <m:e>
              <m:r>
                <m:t>D</m:t>
              </m:r>
            </m:e>
            <m:sub>
              <m:r>
                <m:t>i</m:t>
              </m:r>
              <m:r>
                <m:t>,</m:t>
              </m:r>
              <m:r>
                <m:t>t</m:t>
              </m:r>
            </m:sub>
          </m:sSub>
        </m:oMath>
      </m:oMathPara>
    </w:p>
    <w:p>
      <w:pPr>
        <w:numPr>
          <w:ilvl w:val="0"/>
          <w:numId w:val="1006"/>
        </w:numPr>
        <w:pStyle w:val="Compact"/>
      </w:pPr>
      <w:r>
        <w:t xml:space="preserve">PS: Pastor-Stambaugh measure, coefficient of a regression of a stock’s daily return in excess of the market index on the previous day’s signed volume, controlling for the previous day’s return</w:t>
      </w:r>
    </w:p>
    <w:p>
      <w:pPr>
        <w:numPr>
          <w:ilvl w:val="1"/>
          <w:numId w:val="1007"/>
        </w:numPr>
        <w:pStyle w:val="Compact"/>
      </w:pPr>
      <w:r>
        <w:t xml:space="preserve">The idea is that trades in illiquid markets should generate</w:t>
      </w:r>
      <w:r>
        <w:t xml:space="preserve"> </w:t>
      </w:r>
      <w:r>
        <w:rPr>
          <w:b/>
        </w:rPr>
        <w:t xml:space="preserve">transitory deviations</w:t>
      </w:r>
      <w:r>
        <w:t xml:space="preserve"> </w:t>
      </w:r>
      <w:r>
        <w:t xml:space="preserve">between price and fundamental value.</w:t>
      </w:r>
    </w:p>
    <w:p>
      <w:pPr>
        <w:numPr>
          <w:ilvl w:val="0"/>
          <w:numId w:val="1006"/>
        </w:numPr>
        <w:pStyle w:val="Compact"/>
      </w:pPr>
      <w:r>
        <w:t xml:space="preserve">INVTO:</w:t>
      </w:r>
      <w:r>
        <w:t xml:space="preserve"> </w:t>
      </w:r>
      <w:r>
        <w:rPr>
          <w:b/>
        </w:rPr>
        <w:t xml:space="preserve">Inverse of turnover ratio</w:t>
      </w:r>
      <w:r>
        <w:t xml:space="preserve"> </w:t>
      </w:r>
      <w:r>
        <w:t xml:space="preserve">(the number of shares traded on a given day divided by the total number of shares outstanding)</w:t>
      </w:r>
    </w:p>
    <w:p>
      <w:pPr>
        <w:pStyle w:val="FirstParagraph"/>
      </w:pPr>
      <w:r>
        <w:drawing>
          <wp:inline>
            <wp:extent cx="5334000" cy="3279805"/>
            <wp:effectExtent b="0" l="0" r="0" t="0"/>
            <wp:docPr descr="" title="" id="1" name="Picture"/>
            <a:graphic>
              <a:graphicData uri="http://schemas.openxmlformats.org/drawingml/2006/picture">
                <pic:pic>
                  <pic:nvPicPr>
                    <pic:cNvPr descr="img/SpecialTopic3_AnomaliesinInternationalFinancialMarkets.en_20221025182138.png" id="0" name="Picture"/>
                    <pic:cNvPicPr>
                      <a:picLocks noChangeArrowheads="1" noChangeAspect="1"/>
                    </pic:cNvPicPr>
                  </pic:nvPicPr>
                  <pic:blipFill>
                    <a:blip r:embed="rId26"/>
                    <a:stretch>
                      <a:fillRect/>
                    </a:stretch>
                  </pic:blipFill>
                  <pic:spPr bwMode="auto">
                    <a:xfrm>
                      <a:off x="0" y="0"/>
                      <a:ext cx="5334000" cy="3279805"/>
                    </a:xfrm>
                    <a:prstGeom prst="rect">
                      <a:avLst/>
                    </a:prstGeom>
                    <a:noFill/>
                    <a:ln w="9525">
                      <a:noFill/>
                      <a:headEnd/>
                      <a:tailEnd/>
                    </a:ln>
                  </pic:spPr>
                </pic:pic>
              </a:graphicData>
            </a:graphic>
          </wp:inline>
        </w:drawing>
      </w:r>
    </w:p>
    <w:p>
      <w:pPr>
        <w:pStyle w:val="Heading3"/>
      </w:pPr>
      <w:bookmarkStart w:id="27" w:name="liquidity-premium"/>
      <w:r>
        <w:t xml:space="preserve">Liquidity premium</w:t>
      </w:r>
      <w:bookmarkEnd w:id="27"/>
    </w:p>
    <w:p>
      <w:pPr>
        <w:pStyle w:val="FirstParagraph"/>
      </w:pPr>
      <w:r>
        <w:rPr>
          <w:b/>
        </w:rPr>
        <w:t xml:space="preserve">Fama-MacBeth (1973) cross-sectional regressions</w:t>
      </w:r>
    </w:p>
    <w:p>
      <w:pPr>
        <w:pStyle w:val="BodyText"/>
      </w:pPr>
      <m:oMathPara>
        <m:oMathParaPr>
          <m:jc m:val="center"/>
        </m:oMathParaPr>
        <m:oMath>
          <m:sSub>
            <m:e>
              <m:r>
                <m:t>R</m:t>
              </m:r>
            </m:e>
            <m:sub>
              <m:r>
                <m:t>i</m:t>
              </m:r>
              <m:r>
                <m:t>,</m:t>
              </m:r>
              <m:r>
                <m:t>t</m:t>
              </m:r>
              <m:r>
                <m:t>+</m:t>
              </m:r>
              <m:r>
                <m:t>1</m:t>
              </m:r>
            </m:sub>
          </m:sSub>
          <m:r>
            <m:t>=</m:t>
          </m:r>
          <m:sSub>
            <m:e>
              <m:r>
                <m:t>a</m:t>
              </m:r>
            </m:e>
            <m:sub>
              <m:r>
                <m:t>t</m:t>
              </m:r>
            </m:sub>
          </m:sSub>
          <m:r>
            <m:t>+</m:t>
          </m:r>
          <m:sSub>
            <m:e>
              <m:r>
                <m:t>b</m:t>
              </m:r>
            </m:e>
            <m:sub>
              <m:r>
                <m:t>t</m:t>
              </m:r>
            </m:sub>
          </m:sSub>
          <m:r>
            <m:t>L</m:t>
          </m:r>
          <m:r>
            <m:t>I</m:t>
          </m:r>
          <m:sSub>
            <m:e>
              <m:r>
                <m:t>Q</m:t>
              </m:r>
            </m:e>
            <m:sub>
              <m:r>
                <m:t>i</m:t>
              </m:r>
              <m:r>
                <m:t>,</m:t>
              </m:r>
              <m:r>
                <m:t>t</m:t>
              </m:r>
            </m:sub>
          </m:sSub>
          <m:r>
            <m:t>+</m:t>
          </m:r>
          <m:nary>
            <m:naryPr>
              <m:chr m:val="∑"/>
              <m:limLoc m:val="undOvr"/>
              <m:subHide m:val="0"/>
              <m:supHide m:val="0"/>
            </m:naryPr>
            <m:sub>
              <m:r>
                <m:t>j</m:t>
              </m:r>
              <m:r>
                <m:t>=</m:t>
              </m:r>
              <m:r>
                <m:t>1</m:t>
              </m:r>
            </m:sub>
            <m:sup>
              <m:r>
                <m:t>J</m:t>
              </m:r>
            </m:sup>
            <m:e>
              <m:sSub>
                <m:e>
                  <m:r>
                    <m:t>c</m:t>
                  </m:r>
                </m:e>
                <m:sub>
                  <m:r>
                    <m:t>t</m:t>
                  </m:r>
                </m:sub>
              </m:sSub>
            </m:e>
          </m:nary>
          <m:sSub>
            <m:e>
              <m:r>
                <m:t>X</m:t>
              </m:r>
            </m:e>
            <m:sub>
              <m:r>
                <m:t>i</m:t>
              </m:r>
              <m:r>
                <m:t>,</m:t>
              </m:r>
              <m:r>
                <m:t>j</m:t>
              </m:r>
              <m:r>
                <m:t>,</m:t>
              </m:r>
              <m:r>
                <m:t>t</m:t>
              </m:r>
            </m:sub>
          </m:sSub>
          <m:r>
            <m:t>+</m:t>
          </m:r>
          <m:sSub>
            <m:e>
              <m:r>
                <m:t>ε</m:t>
              </m:r>
            </m:e>
            <m:sub>
              <m:r>
                <m:t>i</m:t>
              </m:r>
              <m:r>
                <m:t>,</m:t>
              </m:r>
              <m:r>
                <m:t>t</m:t>
              </m:r>
            </m:sub>
          </m:sSub>
        </m:oMath>
      </m:oMathPara>
    </w:p>
    <w:p>
      <w:pPr>
        <w:pStyle w:val="FirstParagraph"/>
      </w:pPr>
      <w:r>
        <w:t xml:space="preserve">The results indicate that</w:t>
      </w:r>
      <w:r>
        <w:t xml:space="preserve"> </w:t>
      </w:r>
      <w:r>
        <w:rPr>
          <w:b/>
        </w:rPr>
        <w:t xml:space="preserve">highly illiquid stocks based on AMIHUD and INVTO provide higher future returns</w:t>
      </w:r>
      <w:r>
        <w:t xml:space="preserve">. It suggests that liquidity in the Chinese financial market is a critical variable in equity asset pricing.</w:t>
      </w:r>
    </w:p>
    <w:p>
      <w:pPr>
        <w:pStyle w:val="BodyText"/>
      </w:pPr>
      <w:r>
        <w:drawing>
          <wp:inline>
            <wp:extent cx="5334000" cy="3631049"/>
            <wp:effectExtent b="0" l="0" r="0" t="0"/>
            <wp:docPr descr="" title="" id="1" name="Picture"/>
            <a:graphic>
              <a:graphicData uri="http://schemas.openxmlformats.org/drawingml/2006/picture">
                <pic:pic>
                  <pic:nvPicPr>
                    <pic:cNvPr descr="img/SpecialTopic3_AnomaliesinInternationalFinancialMarkets.en_20221025182509.png" id="0" name="Picture"/>
                    <pic:cNvPicPr>
                      <a:picLocks noChangeArrowheads="1" noChangeAspect="1"/>
                    </pic:cNvPicPr>
                  </pic:nvPicPr>
                  <pic:blipFill>
                    <a:blip r:embed="rId28"/>
                    <a:stretch>
                      <a:fillRect/>
                    </a:stretch>
                  </pic:blipFill>
                  <pic:spPr bwMode="auto">
                    <a:xfrm>
                      <a:off x="0" y="0"/>
                      <a:ext cx="5334000" cy="3631049"/>
                    </a:xfrm>
                    <a:prstGeom prst="rect">
                      <a:avLst/>
                    </a:prstGeom>
                    <a:noFill/>
                    <a:ln w="9525">
                      <a:noFill/>
                      <a:headEnd/>
                      <a:tailEnd/>
                    </a:ln>
                  </pic:spPr>
                </pic:pic>
              </a:graphicData>
            </a:graphic>
          </wp:inline>
        </w:drawing>
      </w:r>
    </w:p>
    <w:p>
      <w:pPr>
        <w:pStyle w:val="BodyText"/>
      </w:pPr>
      <w:r>
        <w:t xml:space="preserve">The product of</w:t>
      </w:r>
      <w:r>
        <w:t xml:space="preserve"> </w:t>
      </w:r>
      <m:oMath>
        <m:r>
          <m:t>L</m:t>
        </m:r>
        <m:r>
          <m:t>I</m:t>
        </m:r>
        <m:r>
          <m:t>Q</m:t>
        </m:r>
      </m:oMath>
      <w:r>
        <w:t xml:space="preserve"> </w:t>
      </w:r>
      <w:r>
        <w:t xml:space="preserve">and estimated coeffcient</w:t>
      </w:r>
      <w:r>
        <w:t xml:space="preserve"> </w:t>
      </w:r>
      <m:oMath>
        <m:sSub>
          <m:e>
            <m:r>
              <m:t>b</m:t>
            </m:r>
          </m:e>
          <m:sub>
            <m:r>
              <m:t>t</m:t>
            </m:r>
          </m:sub>
        </m:sSub>
      </m:oMath>
      <w:r>
        <w:t xml:space="preserve"> </w:t>
      </w:r>
      <w:r>
        <w:t xml:space="preserve">for each stock i at month t is the expected returns related to liquidity. The mean of the product across stocks at month t is the monthly</w:t>
      </w:r>
      <w:r>
        <w:t xml:space="preserve"> </w:t>
      </w:r>
      <w:r>
        <w:rPr>
          <w:b/>
        </w:rPr>
        <w:t xml:space="preserve">liquidity premium</w:t>
      </w:r>
      <w:r>
        <w:t xml:space="preserve"> </w:t>
      </w:r>
      <w:r>
        <w:t xml:space="preserve">(LP).</w:t>
      </w:r>
    </w:p>
    <w:p>
      <w:pPr>
        <w:pStyle w:val="BodyText"/>
      </w:pPr>
      <w:r>
        <w:drawing>
          <wp:inline>
            <wp:extent cx="5334000" cy="1975253"/>
            <wp:effectExtent b="0" l="0" r="0" t="0"/>
            <wp:docPr descr="" title="" id="1" name="Picture"/>
            <a:graphic>
              <a:graphicData uri="http://schemas.openxmlformats.org/drawingml/2006/picture">
                <pic:pic>
                  <pic:nvPicPr>
                    <pic:cNvPr descr="img/SpecialTopic3_AnomaliesinInternationalFinancialMarkets.en_20221025183139.png" id="0" name="Picture"/>
                    <pic:cNvPicPr>
                      <a:picLocks noChangeArrowheads="1" noChangeAspect="1"/>
                    </pic:cNvPicPr>
                  </pic:nvPicPr>
                  <pic:blipFill>
                    <a:blip r:embed="rId29"/>
                    <a:stretch>
                      <a:fillRect/>
                    </a:stretch>
                  </pic:blipFill>
                  <pic:spPr bwMode="auto">
                    <a:xfrm>
                      <a:off x="0" y="0"/>
                      <a:ext cx="5334000" cy="1975253"/>
                    </a:xfrm>
                    <a:prstGeom prst="rect">
                      <a:avLst/>
                    </a:prstGeom>
                    <a:noFill/>
                    <a:ln w="9525">
                      <a:noFill/>
                      <a:headEnd/>
                      <a:tailEnd/>
                    </a:ln>
                  </pic:spPr>
                </pic:pic>
              </a:graphicData>
            </a:graphic>
          </wp:inline>
        </w:drawing>
      </w:r>
    </w:p>
    <w:p>
      <w:pPr>
        <w:pStyle w:val="Heading3"/>
      </w:pPr>
      <w:bookmarkStart w:id="30" w:name="decomposition-analysis"/>
      <w:r>
        <w:t xml:space="preserve">Decomposition analysis</w:t>
      </w:r>
      <w:bookmarkEnd w:id="30"/>
    </w:p>
    <w:p>
      <w:pPr>
        <w:pStyle w:val="FirstParagraph"/>
      </w:pPr>
      <w:r>
        <w:t xml:space="preserve">Hou and Loh (JFE 2016):</w:t>
      </w:r>
    </w:p>
    <w:p>
      <w:pPr>
        <w:numPr>
          <w:ilvl w:val="0"/>
          <w:numId w:val="1008"/>
        </w:numPr>
        <w:pStyle w:val="Compact"/>
      </w:pPr>
      <w:r>
        <w:t xml:space="preserve">Use decomposition analysis to quantify the marginal contributions of different explanations to asset pricing puzzles/anomalies</w:t>
      </w:r>
    </w:p>
    <w:p>
      <w:pPr>
        <w:numPr>
          <w:ilvl w:val="1"/>
          <w:numId w:val="1009"/>
        </w:numPr>
        <w:pStyle w:val="Compact"/>
      </w:pPr>
      <w:r>
        <w:t xml:space="preserve">Hou and Loh (2016) applied it to the IVOL puzzle</w:t>
      </w:r>
    </w:p>
    <w:p>
      <w:pPr>
        <w:numPr>
          <w:ilvl w:val="0"/>
          <w:numId w:val="1008"/>
        </w:numPr>
        <w:pStyle w:val="Compact"/>
      </w:pPr>
      <w:r>
        <w:t xml:space="preserve">Method is equally applicable to examine how various asset</w:t>
      </w:r>
      <w:r>
        <w:t xml:space="preserve"> </w:t>
      </w:r>
      <w:r>
        <w:t xml:space="preserve">pricing anomalies can be explained by different variables.</w:t>
      </w:r>
    </w:p>
    <w:p>
      <w:pPr>
        <w:pStyle w:val="FirstParagraph"/>
      </w:pPr>
      <w:r>
        <w:t xml:space="preserve">Apply Hou and Loh (2016 JFE) approach to the liquidity premium puzzle</w:t>
      </w:r>
    </w:p>
    <w:p>
      <w:pPr>
        <w:numPr>
          <w:ilvl w:val="0"/>
          <w:numId w:val="1010"/>
        </w:numPr>
        <w:pStyle w:val="Compact"/>
      </w:pPr>
      <w:r>
        <w:t xml:space="preserve">Step 1: Cross-sectional regressions → Returns regressed against LIQUIDITY (LIQ) → LIQ coefficient</w:t>
      </w:r>
    </w:p>
    <w:p>
      <w:pPr>
        <w:numPr>
          <w:ilvl w:val="0"/>
          <w:numId w:val="1010"/>
        </w:numPr>
        <w:pStyle w:val="Compact"/>
      </w:pPr>
      <w:r>
        <w:t xml:space="preserve">Step 2: regress LIQ against Candidate explanation (CANDIDATE) →LIQ decomposed into 2 components</w:t>
      </w:r>
    </w:p>
    <w:p>
      <w:pPr>
        <w:pStyle w:val="FirstParagraph"/>
      </w:pPr>
      <m:oMathPara>
        <m:oMathParaPr>
          <m:jc m:val="center"/>
        </m:oMathParaPr>
        <m:oMath>
          <m:r>
            <m:t>L</m:t>
          </m:r>
          <m:r>
            <m:t>I</m:t>
          </m:r>
          <m:sSub>
            <m:e>
              <m:r>
                <m:t>Q</m:t>
              </m:r>
            </m:e>
            <m:sub>
              <m:r>
                <m:t>i</m:t>
              </m:r>
              <m:r>
                <m:t>,</m:t>
              </m:r>
              <m:r>
                <m:t>t</m:t>
              </m:r>
            </m:sub>
          </m:sSub>
          <m:r>
            <m:t>=</m:t>
          </m:r>
          <m:sSub>
            <m:e>
              <m:r>
                <m:t>ϕ</m:t>
              </m:r>
            </m:e>
            <m:sub>
              <m:r>
                <m:t>t</m:t>
              </m:r>
            </m:sub>
          </m:sSub>
          <m:r>
            <m:t>+</m:t>
          </m:r>
          <m:sSub>
            <m:e>
              <m:r>
                <m:t>δ</m:t>
              </m:r>
            </m:e>
            <m:sub>
              <m:r>
                <m:t>t</m:t>
              </m:r>
            </m:sub>
          </m:sSub>
          <m:r>
            <m:t>S</m:t>
          </m:r>
          <m:r>
            <m:t>I</m:t>
          </m:r>
          <m:r>
            <m:t>Z</m:t>
          </m:r>
          <m:sSub>
            <m:e>
              <m:r>
                <m:t>E</m:t>
              </m:r>
            </m:e>
            <m:sub>
              <m:r>
                <m:t>i</m:t>
              </m:r>
              <m:r>
                <m:t>,</m:t>
              </m:r>
              <m:r>
                <m:t>t</m:t>
              </m:r>
            </m:sub>
          </m:sSub>
          <m:r>
            <m:t>+</m:t>
          </m:r>
          <m:sSub>
            <m:e>
              <m:r>
                <m:t>κ</m:t>
              </m:r>
            </m:e>
            <m:sub>
              <m:r>
                <m:t>i</m:t>
              </m:r>
              <m:r>
                <m:t>,</m:t>
              </m:r>
              <m:r>
                <m:t>t</m:t>
              </m:r>
            </m:sub>
          </m:sSub>
        </m:oMath>
      </m:oMathPara>
    </w:p>
    <w:p>
      <w:pPr>
        <w:numPr>
          <w:ilvl w:val="0"/>
          <w:numId w:val="1011"/>
        </w:numPr>
        <w:pStyle w:val="Compact"/>
      </w:pPr>
      <w:r>
        <w:t xml:space="preserve">Decompose LIQ coefficient → compute fraction explained by CANDIDATE</w:t>
      </w:r>
    </w:p>
    <w:p>
      <w:pPr>
        <w:pStyle w:val="FirstParagraph"/>
      </w:pPr>
      <w:r>
        <w:drawing>
          <wp:inline>
            <wp:extent cx="5334000" cy="3246960"/>
            <wp:effectExtent b="0" l="0" r="0" t="0"/>
            <wp:docPr descr="" title="" id="1" name="Picture"/>
            <a:graphic>
              <a:graphicData uri="http://schemas.openxmlformats.org/drawingml/2006/picture">
                <pic:pic>
                  <pic:nvPicPr>
                    <pic:cNvPr descr="img/SpecialTopic3_AnomaliesinInternationalFinancialMarkets.en_20221025183803.png" id="0" name="Picture"/>
                    <pic:cNvPicPr>
                      <a:picLocks noChangeArrowheads="1" noChangeAspect="1"/>
                    </pic:cNvPicPr>
                  </pic:nvPicPr>
                  <pic:blipFill>
                    <a:blip r:embed="rId31"/>
                    <a:stretch>
                      <a:fillRect/>
                    </a:stretch>
                  </pic:blipFill>
                  <pic:spPr bwMode="auto">
                    <a:xfrm>
                      <a:off x="0" y="0"/>
                      <a:ext cx="5334000" cy="3246960"/>
                    </a:xfrm>
                    <a:prstGeom prst="rect">
                      <a:avLst/>
                    </a:prstGeom>
                    <a:noFill/>
                    <a:ln w="9525">
                      <a:noFill/>
                      <a:headEnd/>
                      <a:tailEnd/>
                    </a:ln>
                  </pic:spPr>
                </pic:pic>
              </a:graphicData>
            </a:graphic>
          </wp:inline>
        </w:drawing>
      </w:r>
    </w:p>
    <w:p>
      <w:pPr>
        <w:pStyle w:val="BodyText"/>
      </w:pPr>
      <w:r>
        <w:drawing>
          <wp:inline>
            <wp:extent cx="5334000" cy="2662909"/>
            <wp:effectExtent b="0" l="0" r="0" t="0"/>
            <wp:docPr descr="" title="" id="1" name="Picture"/>
            <a:graphic>
              <a:graphicData uri="http://schemas.openxmlformats.org/drawingml/2006/picture">
                <pic:pic>
                  <pic:nvPicPr>
                    <pic:cNvPr descr="img/SpecialTopic3_AnomaliesinInternationalFinancialMarkets.en_20221025183941.png" id="0" name="Picture"/>
                    <pic:cNvPicPr>
                      <a:picLocks noChangeArrowheads="1" noChangeAspect="1"/>
                    </pic:cNvPicPr>
                  </pic:nvPicPr>
                  <pic:blipFill>
                    <a:blip r:embed="rId32"/>
                    <a:stretch>
                      <a:fillRect/>
                    </a:stretch>
                  </pic:blipFill>
                  <pic:spPr bwMode="auto">
                    <a:xfrm>
                      <a:off x="0" y="0"/>
                      <a:ext cx="5334000" cy="2662909"/>
                    </a:xfrm>
                    <a:prstGeom prst="rect">
                      <a:avLst/>
                    </a:prstGeom>
                    <a:noFill/>
                    <a:ln w="9525">
                      <a:noFill/>
                      <a:headEnd/>
                      <a:tailEnd/>
                    </a:ln>
                  </pic:spPr>
                </pic:pic>
              </a:graphicData>
            </a:graphic>
          </wp:inline>
        </w:drawing>
      </w:r>
    </w:p>
    <w:p>
      <w:pPr>
        <w:pStyle w:val="Heading3"/>
      </w:pPr>
      <w:bookmarkStart w:id="33" w:name="conclusion"/>
      <w:r>
        <w:t xml:space="preserve">Conclusion</w:t>
      </w:r>
      <w:bookmarkEnd w:id="33"/>
    </w:p>
    <w:p>
      <w:pPr>
        <w:pStyle w:val="FirstParagraph"/>
      </w:pPr>
      <w:r>
        <w:t xml:space="preserve">The liquidity premium is statistically significant.</w:t>
      </w:r>
    </w:p>
    <w:p>
      <w:pPr>
        <w:pStyle w:val="BodyText"/>
      </w:pPr>
      <w:r>
        <w:t xml:space="preserve">The premium has not only remained persistent but also become more significant in recent years starting from 2011.</w:t>
      </w:r>
    </w:p>
    <w:p>
      <w:pPr>
        <w:numPr>
          <w:ilvl w:val="0"/>
          <w:numId w:val="1012"/>
        </w:numPr>
        <w:pStyle w:val="Compact"/>
      </w:pPr>
      <w:r>
        <w:t xml:space="preserve">This result is in stark contrast to that in the US market, in which the premium is recently declining</w:t>
      </w:r>
    </w:p>
    <w:p>
      <w:pPr>
        <w:pStyle w:val="FirstParagraph"/>
      </w:pPr>
      <w:r>
        <w:rPr>
          <w:b/>
        </w:rPr>
        <w:t xml:space="preserve">Decomposition approach</w:t>
      </w:r>
    </w:p>
    <w:p>
      <w:pPr>
        <w:numPr>
          <w:ilvl w:val="0"/>
          <w:numId w:val="1013"/>
        </w:numPr>
        <w:pStyle w:val="Compact"/>
      </w:pPr>
      <w:r>
        <w:t xml:space="preserve">Amihud liquidity measure: size contributes 45–65% to the</w:t>
      </w:r>
      <w:r>
        <w:t xml:space="preserve"> </w:t>
      </w:r>
      <w:r>
        <w:t xml:space="preserve">liquidity premium.</w:t>
      </w:r>
    </w:p>
    <w:p>
      <w:pPr>
        <w:numPr>
          <w:ilvl w:val="0"/>
          <w:numId w:val="1013"/>
        </w:numPr>
        <w:pStyle w:val="Compact"/>
      </w:pPr>
      <w:r>
        <w:t xml:space="preserve">Turnover measure: idiosyncratic volatility accounts for at least 60% of the liquidity premium.</w:t>
      </w:r>
    </w:p>
    <w:p>
      <w:pPr>
        <w:numPr>
          <w:ilvl w:val="0"/>
          <w:numId w:val="1013"/>
        </w:numPr>
        <w:pStyle w:val="Compact"/>
      </w:pPr>
      <w:r>
        <w:t xml:space="preserve">Local factor (local market liquidity beta) more significant compared with the global factor.</w:t>
      </w:r>
    </w:p>
    <w:p>
      <w:pPr>
        <w:pStyle w:val="FirstParagraph"/>
      </w:pPr>
      <w:r>
        <w:rPr>
          <w:b/>
        </w:rPr>
        <w:t xml:space="preserve">Implications</w:t>
      </w:r>
      <w:r>
        <w:t xml:space="preserve"> </w:t>
      </w:r>
      <w:r>
        <w:t xml:space="preserve">of these finding</w:t>
      </w:r>
    </w:p>
    <w:p>
      <w:pPr>
        <w:numPr>
          <w:ilvl w:val="0"/>
          <w:numId w:val="1014"/>
        </w:numPr>
        <w:pStyle w:val="Compact"/>
      </w:pPr>
      <w:r>
        <w:t xml:space="preserve">Liquidity-based strategies profitable</w:t>
      </w:r>
    </w:p>
    <w:p>
      <w:pPr>
        <w:numPr>
          <w:ilvl w:val="1"/>
          <w:numId w:val="1015"/>
        </w:numPr>
        <w:pStyle w:val="Compact"/>
      </w:pPr>
      <w:r>
        <w:t xml:space="preserve">challenging to implement in practice.</w:t>
      </w:r>
    </w:p>
    <w:p>
      <w:pPr>
        <w:numPr>
          <w:ilvl w:val="0"/>
          <w:numId w:val="1014"/>
        </w:numPr>
        <w:pStyle w:val="Compact"/>
      </w:pPr>
      <w:r>
        <w:t xml:space="preserve">Implications for existing institutional reforms</w:t>
      </w:r>
    </w:p>
    <w:p>
      <w:pPr>
        <w:numPr>
          <w:ilvl w:val="1"/>
          <w:numId w:val="1016"/>
        </w:numPr>
        <w:pStyle w:val="Compact"/>
      </w:pPr>
      <w:r>
        <w:t xml:space="preserve">Various measures to improve market efficiency (the relaxation of short-selling constraints and introduction of margin trading).</w:t>
      </w:r>
    </w:p>
    <w:p>
      <w:pPr>
        <w:numPr>
          <w:ilvl w:val="1"/>
          <w:numId w:val="1016"/>
        </w:numPr>
        <w:pStyle w:val="Compact"/>
      </w:pPr>
      <w:r>
        <w:rPr>
          <w:b/>
        </w:rPr>
        <w:t xml:space="preserve">These reforms may be mostly ineffective</w:t>
      </w:r>
      <w:r>
        <w:t xml:space="preserve">.</w:t>
      </w:r>
    </w:p>
    <w:p>
      <w:pPr>
        <w:pStyle w:val="Heading2"/>
      </w:pPr>
      <w:bookmarkStart w:id="34" w:name="X2f75737683a7ef6d32dabd245186604f8e969fa"/>
      <w:r>
        <w:t xml:space="preserve">Decomposing the value premium: The role of intangible information in the Chinese stock market</w:t>
      </w:r>
      <w:bookmarkEnd w:id="34"/>
    </w:p>
    <w:p>
      <w:pPr>
        <w:pStyle w:val="FirstParagraph"/>
      </w:pPr>
      <w:r>
        <w:t xml:space="preserve">Emerging Markets Review 44 (2020) 100700</w:t>
      </w:r>
    </w:p>
    <w:p>
      <w:pPr>
        <w:pStyle w:val="BodyText"/>
      </w:pPr>
      <w:r>
        <w:t xml:space="preserve">Kin-Yip Ho and Jiyoun An</w:t>
      </w:r>
    </w:p>
    <w:p>
      <w:pPr>
        <w:pStyle w:val="Heading3"/>
      </w:pPr>
      <w:bookmarkStart w:id="35" w:name="introduction"/>
      <w:r>
        <w:t xml:space="preserve">Introduction</w:t>
      </w:r>
      <w:bookmarkEnd w:id="35"/>
    </w:p>
    <w:p>
      <w:pPr>
        <w:pStyle w:val="FirstParagraph"/>
      </w:pPr>
      <w:r>
        <w:rPr>
          <w:b/>
        </w:rPr>
        <w:t xml:space="preserve">Value premium</w:t>
      </w:r>
      <w:r>
        <w:t xml:space="preserve"> </w:t>
      </w:r>
      <w:r>
        <w:t xml:space="preserve">(also known as the book-to-market effect), suggests that stocks with high book-to-market ratios provide higher average returns than those with low book-to-market ratios.</w:t>
      </w:r>
    </w:p>
    <w:p>
      <w:pPr>
        <w:pStyle w:val="BodyText"/>
      </w:pPr>
      <w:r>
        <w:t xml:space="preserve">Two explanations:</w:t>
      </w:r>
    </w:p>
    <w:p>
      <w:pPr>
        <w:numPr>
          <w:ilvl w:val="0"/>
          <w:numId w:val="1017"/>
        </w:numPr>
        <w:pStyle w:val="Compact"/>
      </w:pPr>
      <w:r>
        <w:rPr>
          <w:b/>
        </w:rPr>
        <w:t xml:space="preserve">Risk-based explanation</w:t>
      </w:r>
      <w:r>
        <w:t xml:space="preserve">: the value premium essentially represents</w:t>
      </w:r>
      <w:r>
        <w:t xml:space="preserve"> </w:t>
      </w:r>
      <w:r>
        <w:rPr>
          <w:b/>
        </w:rPr>
        <w:t xml:space="preserve">compensation for systematic risk factors</w:t>
      </w:r>
      <w:r>
        <w:t xml:space="preserve"> </w:t>
      </w:r>
      <w:r>
        <w:t xml:space="preserve">in asset pricing.</w:t>
      </w:r>
    </w:p>
    <w:p>
      <w:pPr>
        <w:numPr>
          <w:ilvl w:val="0"/>
          <w:numId w:val="1017"/>
        </w:numPr>
        <w:pStyle w:val="Compact"/>
      </w:pPr>
      <w:r>
        <w:rPr>
          <w:b/>
        </w:rPr>
        <w:t xml:space="preserve">Mispricing-based explanation</w:t>
      </w:r>
      <w:r>
        <w:t xml:space="preserve">: market participants underestimate (overestimate) future earnings of firms that have high (low) book-to-market ratios.</w:t>
      </w:r>
    </w:p>
    <w:p>
      <w:pPr>
        <w:numPr>
          <w:ilvl w:val="1"/>
          <w:numId w:val="1018"/>
        </w:numPr>
        <w:pStyle w:val="Compact"/>
      </w:pPr>
      <w:r>
        <w:rPr>
          <w:b/>
        </w:rPr>
        <w:t xml:space="preserve">Arbitrage risk</w:t>
      </w:r>
      <w:r>
        <w:t xml:space="preserve"> </w:t>
      </w:r>
      <w:r>
        <w:t xml:space="preserve">impedes arbitrage activities and allows for the systematic mispricing</w:t>
      </w:r>
    </w:p>
    <w:p>
      <w:pPr>
        <w:numPr>
          <w:ilvl w:val="1"/>
          <w:numId w:val="1018"/>
        </w:numPr>
        <w:pStyle w:val="Compact"/>
      </w:pPr>
      <w:r>
        <w:rPr>
          <w:b/>
        </w:rPr>
        <w:t xml:space="preserve">Intangible information</w:t>
      </w:r>
      <w:r>
        <w:t xml:space="preserve">: the component of its past return that is orthogonal to the firm’s past accounting-based information (non-accounting related</w:t>
      </w:r>
      <w:r>
        <w:t xml:space="preserve"> </w:t>
      </w:r>
      <w:r>
        <w:t xml:space="preserve">information)</w:t>
      </w:r>
    </w:p>
    <w:p>
      <w:pPr>
        <w:numPr>
          <w:ilvl w:val="2"/>
          <w:numId w:val="1019"/>
        </w:numPr>
        <w:pStyle w:val="Compact"/>
      </w:pPr>
      <w:r>
        <w:t xml:space="preserve">the value premium is higher in stocks with lower past intangible information (Daniel and Titman, 2006; Jiang, 2010)</w:t>
      </w:r>
    </w:p>
    <w:p>
      <w:pPr>
        <w:numPr>
          <w:ilvl w:val="2"/>
          <w:numId w:val="1019"/>
        </w:numPr>
        <w:pStyle w:val="Compact"/>
      </w:pPr>
      <w:r>
        <w:t xml:space="preserve">investors overreact to stocks with high intangible information and overprice them</w:t>
      </w:r>
    </w:p>
    <w:p>
      <w:pPr>
        <w:pStyle w:val="FirstParagraph"/>
      </w:pPr>
      <w:r>
        <w:t xml:space="preserve">A unified explanation for its existence is yet to be proposed.</w:t>
      </w:r>
    </w:p>
    <w:p>
      <w:pPr>
        <w:pStyle w:val="BodyText"/>
      </w:pPr>
      <w:r>
        <w:rPr>
          <w:b/>
        </w:rPr>
        <w:t xml:space="preserve">Contribution</w:t>
      </w:r>
      <w:r>
        <w:t xml:space="preserve">: a possible linkage between the arbitrage risk and intangible information.</w:t>
      </w:r>
    </w:p>
    <w:p>
      <w:pPr>
        <w:pStyle w:val="BodyText"/>
      </w:pPr>
      <w:r>
        <w:rPr>
          <w:b/>
        </w:rPr>
        <w:t xml:space="preserve">Idiosyncratic volatility</w:t>
      </w:r>
      <w:r>
        <w:t xml:space="preserve">: the historical volatility of market model residuals.</w:t>
      </w:r>
    </w:p>
    <w:p>
      <w:pPr>
        <w:numPr>
          <w:ilvl w:val="0"/>
          <w:numId w:val="1020"/>
        </w:numPr>
        <w:pStyle w:val="Compact"/>
      </w:pPr>
      <w:r>
        <w:t xml:space="preserve">Used to measure</w:t>
      </w:r>
      <w:r>
        <w:t xml:space="preserve"> </w:t>
      </w:r>
      <w:r>
        <w:rPr>
          <w:b/>
        </w:rPr>
        <w:t xml:space="preserve">arbitrage risk</w:t>
      </w:r>
    </w:p>
    <w:p>
      <w:pPr>
        <w:numPr>
          <w:ilvl w:val="0"/>
          <w:numId w:val="1020"/>
        </w:numPr>
        <w:pStyle w:val="Compact"/>
      </w:pPr>
      <w:r>
        <w:t xml:space="preserve">Be attributable to firm-specific news flows that extend</w:t>
      </w:r>
      <w:r>
        <w:t xml:space="preserve"> </w:t>
      </w:r>
      <w:r>
        <w:rPr>
          <w:b/>
        </w:rPr>
        <w:t xml:space="preserve">beyond accounting-related information</w:t>
      </w:r>
      <w:r>
        <w:t xml:space="preserve">. (DeLisle et al., 2016 and Shi et al., 2016a, 2016b)</w:t>
      </w:r>
    </w:p>
    <w:p>
      <w:pPr>
        <w:pStyle w:val="FirstParagraph"/>
      </w:pPr>
      <w:r>
        <w:rPr>
          <w:b/>
        </w:rPr>
        <w:t xml:space="preserve">Chinese stock market</w:t>
      </w:r>
      <w:r>
        <w:t xml:space="preserve">:</w:t>
      </w:r>
    </w:p>
    <w:p>
      <w:pPr>
        <w:numPr>
          <w:ilvl w:val="0"/>
          <w:numId w:val="1021"/>
        </w:numPr>
        <w:pStyle w:val="Compact"/>
      </w:pPr>
      <w:r>
        <w:t xml:space="preserve">Increases in importance.</w:t>
      </w:r>
    </w:p>
    <w:p>
      <w:pPr>
        <w:numPr>
          <w:ilvl w:val="0"/>
          <w:numId w:val="1021"/>
        </w:numPr>
        <w:pStyle w:val="Compact"/>
      </w:pPr>
      <w:r>
        <w:t xml:space="preserve">A T + 1 trading rule» and restrictions on short-selling and margin trading in the Chinese market impose</w:t>
      </w:r>
      <w:r>
        <w:t xml:space="preserve"> </w:t>
      </w:r>
      <w:r>
        <w:rPr>
          <w:b/>
        </w:rPr>
        <w:t xml:space="preserve">limits to arbitrage</w:t>
      </w:r>
      <w:r>
        <w:t xml:space="preserve"> </w:t>
      </w:r>
      <w:r>
        <w:t xml:space="preserve">→ arbitrage risk is substantial</w:t>
      </w:r>
    </w:p>
    <w:p>
      <w:pPr>
        <w:numPr>
          <w:ilvl w:val="0"/>
          <w:numId w:val="1021"/>
        </w:numPr>
        <w:pStyle w:val="Compact"/>
      </w:pPr>
      <w:r>
        <w:t xml:space="preserve">High-quality accounting information about firms can be challenging to obtain → rely on non-accounting-related information more often</w:t>
      </w:r>
    </w:p>
    <w:p>
      <w:pPr>
        <w:pStyle w:val="Heading3"/>
      </w:pPr>
      <w:bookmarkStart w:id="36" w:name="hypothesis"/>
      <w:r>
        <w:t xml:space="preserve">Hypothesis</w:t>
      </w:r>
      <w:bookmarkEnd w:id="36"/>
    </w:p>
    <w:p>
      <w:pPr>
        <w:pStyle w:val="FirstParagraph"/>
      </w:pPr>
      <w:r>
        <w:rPr>
          <w:b/>
        </w:rPr>
        <w:t xml:space="preserve">Hypothesis I</w:t>
      </w:r>
      <w:r>
        <w:t xml:space="preserve">. Intangible information and idiosyncratic volatility drive the value premium in the Chinese stock market.</w:t>
      </w:r>
    </w:p>
    <w:p>
      <w:pPr>
        <w:numPr>
          <w:ilvl w:val="0"/>
          <w:numId w:val="1022"/>
        </w:numPr>
        <w:pStyle w:val="Compact"/>
      </w:pPr>
      <w:r>
        <w:t xml:space="preserve">investors regard policy-related and</w:t>
      </w:r>
      <w:r>
        <w:t xml:space="preserve"> </w:t>
      </w:r>
      <w:r>
        <w:rPr>
          <w:b/>
        </w:rPr>
        <w:t xml:space="preserve">non-accounting-related information</w:t>
      </w:r>
      <w:r>
        <w:t xml:space="preserve"> </w:t>
      </w:r>
      <w:r>
        <w:t xml:space="preserve">to be more critical than accounting-related information (Wang et al.,</w:t>
      </w:r>
    </w:p>
    <w:p>
      <w:pPr>
        <w:numPr>
          <w:ilvl w:val="0"/>
          <w:numId w:val="1024"/>
        </w:numPr>
        <w:pStyle w:val="Compact"/>
      </w:pPr>
      <w:r>
        <w:rPr>
          <w:b/>
        </w:rPr>
        <w:t xml:space="preserve">arbitrage risk</w:t>
      </w:r>
      <w:r>
        <w:t xml:space="preserve"> </w:t>
      </w:r>
      <w:r>
        <w:t xml:space="preserve">could be significant in the Chinese stock market owing to the government policies on</w:t>
      </w:r>
      <w:r>
        <w:t xml:space="preserve"> </w:t>
      </w:r>
      <w:r>
        <w:rPr>
          <w:b/>
        </w:rPr>
        <w:t xml:space="preserve">trading restrictions</w:t>
      </w:r>
      <w:r>
        <w:t xml:space="preserve"> </w:t>
      </w:r>
      <w:r>
        <w:t xml:space="preserve">(the</w:t>
      </w:r>
      <w:r>
        <w:t xml:space="preserve"> </w:t>
      </w:r>
      <w:r>
        <w:t xml:space="preserve">“</w:t>
      </w:r>
      <w:r>
        <w:t xml:space="preserve">T + 1</w:t>
      </w:r>
      <w:r>
        <w:t xml:space="preserve">”</w:t>
      </w:r>
      <w:r>
        <w:t xml:space="preserve"> </w:t>
      </w:r>
      <w:r>
        <w:t xml:space="preserve">trading rule and other short-selling prohibitions)</w:t>
      </w:r>
    </w:p>
    <w:p>
      <w:pPr>
        <w:pStyle w:val="FirstParagraph"/>
      </w:pPr>
      <w:r>
        <w:rPr>
          <w:b/>
        </w:rPr>
        <w:t xml:space="preserve">Hypothesis II</w:t>
      </w:r>
      <w:r>
        <w:t xml:space="preserve">. The dynamics of idiosyncratic volatility is attributable in part to intangible information.</w:t>
      </w:r>
    </w:p>
    <w:p>
      <w:pPr>
        <w:numPr>
          <w:ilvl w:val="0"/>
          <w:numId w:val="1025"/>
        </w:numPr>
        <w:pStyle w:val="Compact"/>
      </w:pPr>
      <w:r>
        <w:t xml:space="preserve">idiosyncratic volatility can also be interpreted from the perspective of information flows (non-accounting-related information)</w:t>
      </w:r>
    </w:p>
    <w:p>
      <w:pPr>
        <w:pStyle w:val="FirstParagraph"/>
      </w:pPr>
      <w:r>
        <w:rPr>
          <w:b/>
        </w:rPr>
        <w:t xml:space="preserve">Hypothesis III</w:t>
      </w:r>
      <w:r>
        <w:t xml:space="preserve">. Intangible information is the main driver of the value premium from two channels:</w:t>
      </w:r>
    </w:p>
    <w:p>
      <w:pPr>
        <w:numPr>
          <w:ilvl w:val="0"/>
          <w:numId w:val="1026"/>
        </w:numPr>
        <w:pStyle w:val="Compact"/>
      </w:pPr>
      <w:r>
        <w:t xml:space="preserve">one, the</w:t>
      </w:r>
      <w:r>
        <w:t xml:space="preserve"> </w:t>
      </w:r>
      <w:r>
        <w:rPr>
          <w:b/>
        </w:rPr>
        <w:t xml:space="preserve">direct channel</w:t>
      </w:r>
      <w:r>
        <w:t xml:space="preserve">, which measures the intangible information’s direct impact on the value premium, and</w:t>
      </w:r>
    </w:p>
    <w:p>
      <w:pPr>
        <w:numPr>
          <w:ilvl w:val="0"/>
          <w:numId w:val="1026"/>
        </w:numPr>
        <w:pStyle w:val="Compact"/>
      </w:pPr>
      <w:r>
        <w:t xml:space="preserve">two, the</w:t>
      </w:r>
      <w:r>
        <w:t xml:space="preserve"> </w:t>
      </w:r>
      <w:r>
        <w:rPr>
          <w:b/>
        </w:rPr>
        <w:t xml:space="preserve">indirect channel</w:t>
      </w:r>
      <w:r>
        <w:t xml:space="preserve">, which measures the impact of intangible information on idiosyncratic volatility.</w:t>
      </w:r>
    </w:p>
    <w:p>
      <w:pPr>
        <w:pStyle w:val="Heading3"/>
      </w:pPr>
      <w:bookmarkStart w:id="37" w:name="data-1"/>
      <w:r>
        <w:t xml:space="preserve">Data</w:t>
      </w:r>
      <w:bookmarkEnd w:id="37"/>
    </w:p>
    <w:p>
      <w:pPr>
        <w:pStyle w:val="FirstParagraph"/>
      </w:pPr>
      <w:r>
        <w:t xml:space="preserve">Stocks listed on the Shanghai and Shenzhen A-share markets from January 1995 to December 2015.</w:t>
      </w:r>
    </w:p>
    <w:p>
      <w:pPr>
        <w:pStyle w:val="BodyText"/>
      </w:pPr>
      <w:r>
        <w:t xml:space="preserve">Monthly stock returns, share prices, market values, and accounting variables, such as book values</w:t>
      </w:r>
    </w:p>
    <w:p>
      <w:pPr>
        <w:pStyle w:val="BodyText"/>
      </w:pPr>
      <w:r>
        <w:rPr>
          <w:b/>
        </w:rPr>
        <w:t xml:space="preserve">Book-to-market ratio (BM)</w:t>
      </w:r>
      <w:r>
        <w:t xml:space="preserve"> </w:t>
      </w:r>
      <w:r>
        <w:t xml:space="preserve">is the ratio of the book value over the market value at the end of December of year t − 1.</w:t>
      </w:r>
    </w:p>
    <w:p>
      <w:pPr>
        <w:pStyle w:val="BodyText"/>
      </w:pPr>
      <w:r>
        <w:rPr>
          <w:b/>
        </w:rPr>
        <w:t xml:space="preserve">Intangible information (INTAN)</w:t>
      </w:r>
      <w:r>
        <w:t xml:space="preserve"> </w:t>
      </w:r>
      <w:r>
        <w:t xml:space="preserve">is estimated based on a cross-sectional regression of the past two-year log stock returns of each firm on the firms’ two-year lagged log book-to-market ratio and two-year book returns.</w:t>
      </w:r>
    </w:p>
    <w:p>
      <w:pPr>
        <w:numPr>
          <w:ilvl w:val="0"/>
          <w:numId w:val="1027"/>
        </w:numPr>
        <w:pStyle w:val="Compact"/>
      </w:pPr>
      <w:r>
        <w:t xml:space="preserve">Tangible returns are the fitted values of the regression,</w:t>
      </w:r>
    </w:p>
    <w:p>
      <w:pPr>
        <w:numPr>
          <w:ilvl w:val="0"/>
          <w:numId w:val="1027"/>
        </w:numPr>
        <w:pStyle w:val="Compact"/>
      </w:pPr>
      <w:r>
        <w:t xml:space="preserve">and intangible returns (a proxy for INTAN) are the residuals</w:t>
      </w:r>
    </w:p>
    <w:p>
      <w:pPr>
        <w:pStyle w:val="FirstParagraph"/>
      </w:pPr>
      <w:r>
        <w:rPr>
          <w:b/>
        </w:rPr>
        <w:t xml:space="preserve">Idiosyncratic volatility</w:t>
      </w:r>
      <w:r>
        <w:t xml:space="preserve"> </w:t>
      </w:r>
      <w:r>
        <w:t xml:space="preserve">is the standard deviation of the residuals after estimating the</w:t>
      </w:r>
      <w:r>
        <w:t xml:space="preserve"> </w:t>
      </w:r>
      <w:r>
        <w:rPr>
          <w:b/>
        </w:rPr>
        <w:t xml:space="preserve">Fama and French (1993) three-factor model</w:t>
      </w:r>
      <w:r>
        <w:t xml:space="preserve"> </w:t>
      </w:r>
      <w:r>
        <w:t xml:space="preserve">using the excess daily returns over the past month (for monthly frequency) or the past year (for annual frequency).</w:t>
      </w:r>
    </w:p>
    <w:p>
      <w:pPr>
        <w:pStyle w:val="BodyText"/>
      </w:pPr>
      <w:r>
        <w:t xml:space="preserve">The information available in June of year t is used to predict the returns in July of t to June of t + 1:</w:t>
      </w:r>
    </w:p>
    <w:p>
      <w:pPr>
        <w:numPr>
          <w:ilvl w:val="0"/>
          <w:numId w:val="1028"/>
        </w:numPr>
        <w:pStyle w:val="Compact"/>
      </w:pPr>
      <w:r>
        <w:t xml:space="preserve">BM in December of year t − 1;</w:t>
      </w:r>
    </w:p>
    <w:p>
      <w:pPr>
        <w:numPr>
          <w:ilvl w:val="0"/>
          <w:numId w:val="1028"/>
        </w:numPr>
        <w:pStyle w:val="Compact"/>
      </w:pPr>
      <w:r>
        <w:t xml:space="preserve">IVOL in June of year t;</w:t>
      </w:r>
    </w:p>
    <w:p>
      <w:pPr>
        <w:numPr>
          <w:ilvl w:val="0"/>
          <w:numId w:val="1028"/>
        </w:numPr>
        <w:pStyle w:val="Compact"/>
      </w:pPr>
      <w:r>
        <w:t xml:space="preserve">and INTAN in December of year t − 1.</w:t>
      </w:r>
    </w:p>
    <w:p>
      <w:pPr>
        <w:pStyle w:val="Heading3"/>
      </w:pPr>
      <w:bookmarkStart w:id="38" w:name="methodology"/>
      <w:r>
        <w:t xml:space="preserve">Methodology</w:t>
      </w:r>
      <w:bookmarkEnd w:id="38"/>
    </w:p>
    <w:p>
      <w:pPr>
        <w:pStyle w:val="Heading4"/>
      </w:pPr>
      <w:bookmarkStart w:id="39" w:name="X710b0aa80c705572a86ebd8eba14c5bbe4cc135"/>
      <w:r>
        <w:t xml:space="preserve">Examine the existence of the value premium</w:t>
      </w:r>
      <w:bookmarkEnd w:id="39"/>
    </w:p>
    <w:p>
      <w:pPr>
        <w:pStyle w:val="FirstParagraph"/>
      </w:pPr>
      <w:r>
        <w:rPr>
          <w:b/>
        </w:rPr>
        <w:t xml:space="preserve">1) Sorting of returns on BM</w:t>
      </w:r>
    </w:p>
    <w:p>
      <w:pPr>
        <w:numPr>
          <w:ilvl w:val="0"/>
          <w:numId w:val="1029"/>
        </w:numPr>
        <w:pStyle w:val="Compact"/>
      </w:pPr>
      <w:r>
        <w:t xml:space="preserve">firms are ranked each year according to their BM ratio and are assigned to quintile portfolios based on their ranking</w:t>
      </w:r>
    </w:p>
    <w:p>
      <w:pPr>
        <w:numPr>
          <w:ilvl w:val="0"/>
          <w:numId w:val="1029"/>
        </w:numPr>
        <w:pStyle w:val="Compact"/>
      </w:pPr>
      <w:r>
        <w:t xml:space="preserve">compare the average abnormal returns in each quintile.</w:t>
      </w:r>
    </w:p>
    <w:p>
      <w:pPr>
        <w:numPr>
          <w:ilvl w:val="0"/>
          <w:numId w:val="1029"/>
        </w:numPr>
        <w:pStyle w:val="Compact"/>
      </w:pPr>
      <w:r>
        <w:t xml:space="preserve">if high BM stocks provide higher average returns, the highest BM quintile group would have higher average returns than those of the lowest group</w:t>
      </w:r>
    </w:p>
    <w:p>
      <w:pPr>
        <w:pStyle w:val="FirstParagraph"/>
      </w:pPr>
      <w:r>
        <w:t xml:space="preserve">A</w:t>
      </w:r>
      <w:r>
        <w:t xml:space="preserve"> </w:t>
      </w:r>
      <w:r>
        <w:rPr>
          <w:b/>
        </w:rPr>
        <w:t xml:space="preserve">drawback</w:t>
      </w:r>
      <w:r>
        <w:t xml:space="preserve"> </w:t>
      </w:r>
      <w:r>
        <w:t xml:space="preserve">of the sorting technique is that capturing the incremental roles of the factors influencing the value premium is difficult.</w:t>
      </w:r>
    </w:p>
    <w:p>
      <w:pPr>
        <w:pStyle w:val="BodyText"/>
      </w:pPr>
      <w:r>
        <w:rPr>
          <w:b/>
        </w:rPr>
        <w:t xml:space="preserve">2) Cross-section regressions</w:t>
      </w:r>
    </w:p>
    <w:p>
      <w:pPr>
        <w:pStyle w:val="BodyText"/>
      </w:pPr>
      <m:oMathPara>
        <m:oMathParaPr>
          <m:jc m:val="center"/>
        </m:oMathParaPr>
        <m:oMath>
          <m:m>
            <m:mPr>
              <m:baseJc m:val="center"/>
              <m:plcHide m:val="1"/>
              <m:mcs>
                <m:mc>
                  <m:mcPr>
                    <m:mcJc m:val="left"/>
                    <m:count m:val="1"/>
                  </m:mcPr>
                </m:mc>
              </m:mcs>
            </m:mPr>
            <m:mr>
              <m:e>
                <m:sSubSup>
                  <m:e>
                    <m:r>
                      <m:t>R</m:t>
                    </m:r>
                  </m:e>
                  <m:sub>
                    <m:r>
                      <m:t>t</m:t>
                    </m:r>
                    <m:r>
                      <m:t>+</m:t>
                    </m:r>
                    <m:r>
                      <m:t>1</m:t>
                    </m:r>
                  </m:sub>
                  <m:sup>
                    <m:r>
                      <m:t>e</m:t>
                    </m:r>
                    <m:r>
                      <m:t>i</m:t>
                    </m:r>
                  </m:sup>
                </m:sSubSup>
                <m:r>
                  <m:t>=</m:t>
                </m:r>
                <m:sSub>
                  <m:e>
                    <m:r>
                      <m:t>a</m:t>
                    </m:r>
                  </m:e>
                  <m:sub>
                    <m:r>
                      <m:t>t</m:t>
                    </m:r>
                  </m:sub>
                </m:sSub>
                <m:r>
                  <m:t>+</m:t>
                </m:r>
                <m:sSub>
                  <m:e>
                    <m:r>
                      <m:t>b</m:t>
                    </m:r>
                  </m:e>
                  <m:sub>
                    <m:r>
                      <m:t>t</m:t>
                    </m:r>
                  </m:sub>
                </m:sSub>
                <m:r>
                  <m:t>B</m:t>
                </m:r>
                <m:sSub>
                  <m:e>
                    <m:r>
                      <m:t>M</m:t>
                    </m:r>
                  </m:e>
                  <m:sub>
                    <m:r>
                      <m:t>i</m:t>
                    </m:r>
                    <m:r>
                      <m:t>,</m:t>
                    </m:r>
                    <m:r>
                      <m:t>t</m:t>
                    </m:r>
                  </m:sub>
                </m:sSub>
                <m:r>
                  <m:t>+</m:t>
                </m:r>
                <m:sSubSup>
                  <m:e>
                    <m:r>
                      <m:t>e</m:t>
                    </m:r>
                  </m:e>
                  <m:sub>
                    <m:r>
                      <m:t>t</m:t>
                    </m:r>
                    <m:r>
                      <m:t>+</m:t>
                    </m:r>
                    <m:r>
                      <m:t>1</m:t>
                    </m:r>
                  </m:sub>
                  <m:sup>
                    <m:r>
                      <m:t>i</m:t>
                    </m:r>
                  </m:sup>
                </m:sSubSup>
                <m:r>
                  <m:rPr>
                    <m:nor/>
                    <m:sty m:val="p"/>
                  </m:rPr>
                  <m:t> for each </m:t>
                </m:r>
                <m:r>
                  <m:t>t</m:t>
                </m:r>
              </m:e>
            </m:mr>
            <m:mr>
              <m:e>
                <m:acc>
                  <m:accPr>
                    <m:chr m:val="̂"/>
                  </m:accPr>
                  <m:e>
                    <m:r>
                      <m:t>b</m:t>
                    </m:r>
                  </m:e>
                </m:acc>
                <m:r>
                  <m:t>=</m:t>
                </m:r>
                <m:f>
                  <m:fPr>
                    <m:type m:val="bar"/>
                  </m:fPr>
                  <m:num>
                    <m:r>
                      <m:t>1</m:t>
                    </m:r>
                  </m:num>
                  <m:den>
                    <m:r>
                      <m:t>T</m:t>
                    </m:r>
                  </m:den>
                </m:f>
                <m:nary>
                  <m:naryPr>
                    <m:chr m:val="∑"/>
                    <m:limLoc m:val="undOvr"/>
                    <m:subHide m:val="0"/>
                    <m:supHide m:val="0"/>
                  </m:naryPr>
                  <m:sub>
                    <m:r>
                      <m:t>t</m:t>
                    </m:r>
                    <m:r>
                      <m:t>=</m:t>
                    </m:r>
                    <m:r>
                      <m:t>1</m:t>
                    </m:r>
                  </m:sub>
                  <m:sup>
                    <m:r>
                      <m:t>T</m:t>
                    </m:r>
                  </m:sup>
                  <m:e>
                    <m:sSub>
                      <m:e>
                        <m:acc>
                          <m:accPr>
                            <m:chr m:val="̂"/>
                          </m:accPr>
                          <m:e>
                            <m:r>
                              <m:t>b</m:t>
                            </m:r>
                          </m:e>
                        </m:acc>
                      </m:e>
                      <m:sub>
                        <m:r>
                          <m:t>t</m:t>
                        </m:r>
                      </m:sub>
                    </m:sSub>
                  </m:e>
                </m:nary>
              </m:e>
            </m:mr>
          </m:m>
        </m:oMath>
      </m:oMathPara>
    </w:p>
    <w:p>
      <w:pPr>
        <w:pStyle w:val="FirstParagraph"/>
      </w:pPr>
      <w:r>
        <w:t xml:space="preserve">When</w:t>
      </w:r>
      <w:r>
        <w:t xml:space="preserve"> </w:t>
      </w:r>
      <m:oMath>
        <m:acc>
          <m:accPr>
            <m:chr m:val="̂"/>
          </m:accPr>
          <m:e>
            <m:r>
              <m:t>b</m:t>
            </m:r>
          </m:e>
        </m:acc>
      </m:oMath>
      <w:r>
        <w:t xml:space="preserve"> </w:t>
      </w:r>
      <w:r>
        <w:t xml:space="preserve">is significantly positive, it suggests that higher</w:t>
      </w:r>
      <w:r>
        <w:t xml:space="preserve"> </w:t>
      </w:r>
      <m:oMath>
        <m:r>
          <m:t>B</m:t>
        </m:r>
        <m:r>
          <m:t>M</m:t>
        </m:r>
      </m:oMath>
      <w:r>
        <w:t xml:space="preserve"> </w:t>
      </w:r>
      <w:r>
        <w:t xml:space="preserve">increases future abnormal returns.</w:t>
      </w:r>
    </w:p>
    <w:p>
      <w:pPr>
        <w:pStyle w:val="BodyText"/>
      </w:pPr>
      <w:r>
        <w:rPr>
          <w:b/>
        </w:rPr>
        <w:t xml:space="preserve">Fama–French abnormal returns</w:t>
      </w:r>
      <w:r>
        <w:t xml:space="preserve"> </w:t>
      </w:r>
      <m:oMath>
        <m:sSubSup>
          <m:e>
            <m:r>
              <m:t>R</m:t>
            </m:r>
          </m:e>
          <m:sub>
            <m:r>
              <m:t>t</m:t>
            </m:r>
            <m:r>
              <m:t>+</m:t>
            </m:r>
            <m:r>
              <m:t>1</m:t>
            </m:r>
          </m:sub>
          <m:sup>
            <m:r>
              <m:t>e</m:t>
            </m:r>
            <m:r>
              <m:t>i</m:t>
            </m:r>
          </m:sup>
        </m:sSubSup>
      </m:oMath>
      <w:r>
        <w:t xml:space="preserve">: residuals of the regression in which Raw returns at each firm are regressed on the Fama–French three factors.</w:t>
      </w:r>
    </w:p>
    <w:p>
      <w:pPr>
        <w:pStyle w:val="Heading4"/>
      </w:pPr>
      <w:bookmarkStart w:id="40" w:name="decomposition-methodology"/>
      <w:r>
        <w:t xml:space="preserve">Decomposition methodology</w:t>
      </w:r>
      <w:bookmarkEnd w:id="40"/>
    </w:p>
    <w:p>
      <w:pPr>
        <w:pStyle w:val="FirstParagraph"/>
      </w:pPr>
      <m:oMathPara>
        <m:oMathParaPr>
          <m:jc m:val="center"/>
        </m:oMathParaPr>
        <m:oMath>
          <m:sSub>
            <m:e>
              <m:r>
                <m:rPr>
                  <m:sty m:val="p"/>
                </m:rPr>
                <m:t>B</m:t>
              </m:r>
              <m:r>
                <m:rPr>
                  <m:sty m:val="p"/>
                </m:rPr>
                <m:t>M</m:t>
              </m:r>
            </m:e>
            <m:sub>
              <m:r>
                <m:rPr>
                  <m:sty m:val="p"/>
                </m:rPr>
                <m:t>i</m:t>
              </m:r>
              <m:r>
                <m:t>,</m:t>
              </m:r>
              <m:r>
                <m:rPr>
                  <m:sty m:val="p"/>
                </m:rPr>
                <m:t>t</m:t>
              </m:r>
            </m:sub>
          </m:sSub>
          <m:r>
            <m:t>=</m:t>
          </m:r>
          <m:sSub>
            <m:e>
              <m:acc>
                <m:accPr>
                  <m:chr m:val="̂"/>
                </m:accPr>
                <m:e>
                  <m:r>
                    <m:t>φ</m:t>
                  </m:r>
                </m:e>
              </m:acc>
            </m:e>
            <m:sub>
              <m:r>
                <m:rPr>
                  <m:sty m:val="p"/>
                </m:rPr>
                <m:t>t</m:t>
              </m:r>
            </m:sub>
          </m:sSub>
          <m:r>
            <m:t>+</m:t>
          </m:r>
          <m:sSubSup>
            <m:e>
              <m:acc>
                <m:accPr>
                  <m:chr m:val="̂"/>
                </m:accPr>
                <m:e>
                  <m:r>
                    <m:t>δ</m:t>
                  </m:r>
                </m:e>
              </m:acc>
            </m:e>
            <m:sub>
              <m:r>
                <m:rPr>
                  <m:sty m:val="p"/>
                </m:rPr>
                <m:t>t</m:t>
              </m:r>
            </m:sub>
            <m:sup>
              <m:r>
                <m:t>1</m:t>
              </m:r>
            </m:sup>
          </m:sSubSup>
          <m:sSub>
            <m:e>
              <m:r>
                <m:rPr>
                  <m:sty m:val="p"/>
                </m:rPr>
                <m:t>I</m:t>
              </m:r>
              <m:r>
                <m:rPr>
                  <m:sty m:val="p"/>
                </m:rPr>
                <m:t>N</m:t>
              </m:r>
              <m:r>
                <m:rPr>
                  <m:sty m:val="p"/>
                </m:rPr>
                <m:t>T</m:t>
              </m:r>
              <m:r>
                <m:rPr>
                  <m:sty m:val="p"/>
                </m:rPr>
                <m:t>A</m:t>
              </m:r>
              <m:r>
                <m:rPr>
                  <m:sty m:val="p"/>
                </m:rPr>
                <m:t>N</m:t>
              </m:r>
            </m:e>
            <m:sub>
              <m:r>
                <m:rPr>
                  <m:sty m:val="p"/>
                </m:rPr>
                <m:t>i</m:t>
              </m:r>
              <m:r>
                <m:t>,</m:t>
              </m:r>
              <m:r>
                <m:rPr>
                  <m:sty m:val="p"/>
                </m:rPr>
                <m:t>t</m:t>
              </m:r>
            </m:sub>
          </m:sSub>
          <m:r>
            <m:t>+</m:t>
          </m:r>
          <m:sSubSup>
            <m:e>
              <m:acc>
                <m:accPr>
                  <m:chr m:val="̂"/>
                </m:accPr>
                <m:e>
                  <m:r>
                    <m:t>δ</m:t>
                  </m:r>
                </m:e>
              </m:acc>
            </m:e>
            <m:sub>
              <m:r>
                <m:rPr>
                  <m:sty m:val="p"/>
                </m:rPr>
                <m:t>t</m:t>
              </m:r>
            </m:sub>
            <m:sup>
              <m:r>
                <m:t>2</m:t>
              </m:r>
            </m:sup>
          </m:sSubSup>
          <m:sSub>
            <m:e>
              <m:r>
                <m:rPr>
                  <m:sty m:val="p"/>
                </m:rPr>
                <m:t>I</m:t>
              </m:r>
              <m:r>
                <m:rPr>
                  <m:sty m:val="p"/>
                </m:rPr>
                <m:t>V</m:t>
              </m:r>
              <m:r>
                <m:rPr>
                  <m:sty m:val="p"/>
                </m:rPr>
                <m:t>O</m:t>
              </m:r>
              <m:r>
                <m:rPr>
                  <m:sty m:val="p"/>
                </m:rPr>
                <m:t>L</m:t>
              </m:r>
            </m:e>
            <m:sub>
              <m:r>
                <m:rPr>
                  <m:sty m:val="p"/>
                </m:rPr>
                <m:t>i</m:t>
              </m:r>
              <m:r>
                <m:t>,</m:t>
              </m:r>
              <m:r>
                <m:rPr>
                  <m:sty m:val="p"/>
                </m:rPr>
                <m:t>t</m:t>
              </m:r>
            </m:sub>
          </m:sSub>
          <m:r>
            <m:t>+</m:t>
          </m:r>
          <m:sSub>
            <m:e>
              <m:acc>
                <m:accPr>
                  <m:chr m:val="̂"/>
                </m:accPr>
                <m:e>
                  <m:r>
                    <m:t>μ</m:t>
                  </m:r>
                </m:e>
              </m:acc>
            </m:e>
            <m:sub>
              <m:r>
                <m:rPr>
                  <m:sty m:val="p"/>
                </m:rPr>
                <m:t>i</m:t>
              </m:r>
              <m:r>
                <m:t>,</m:t>
              </m:r>
              <m:r>
                <m:rPr>
                  <m:sty m:val="p"/>
                </m:rPr>
                <m:t>t</m:t>
              </m:r>
            </m:sub>
          </m:sSub>
        </m:oMath>
      </m:oMathPara>
    </w:p>
    <w:p>
      <w:pPr>
        <w:pStyle w:val="FirstParagraph"/>
      </w:pPr>
      <m:oMathPara>
        <m:oMathParaPr>
          <m:jc m:val="center"/>
        </m:oMathParaPr>
        <m:oMath>
          <m:sSub>
            <m:e>
              <m:acc>
                <m:accPr>
                  <m:chr m:val="̂"/>
                </m:accPr>
                <m:e>
                  <m:r>
                    <m:rPr>
                      <m:sty m:val="p"/>
                    </m:rPr>
                    <m:t>b</m:t>
                  </m:r>
                </m:e>
              </m:acc>
            </m:e>
            <m:sub>
              <m:r>
                <m:rPr>
                  <m:sty m:val="p"/>
                </m:rPr>
                <m:t>t</m:t>
              </m:r>
            </m:sub>
          </m:sSub>
          <m:r>
            <m:t>≡</m:t>
          </m:r>
          <m:f>
            <m:fPr>
              <m:type m:val="bar"/>
            </m:fPr>
            <m:num>
              <m:r>
                <m:rPr>
                  <m:nor/>
                  <m:sty m:val="p"/>
                </m:rPr>
                <m:t>Cov</m:t>
              </m:r>
              <m:d>
                <m:dPr>
                  <m:begChr m:val="["/>
                  <m:endChr m:val="]"/>
                  <m:grow/>
                </m:dPr>
                <m:e>
                  <m:sSubSup>
                    <m:e>
                      <m:r>
                        <m:rPr>
                          <m:sty m:val="p"/>
                        </m:rPr>
                        <m:t>R</m:t>
                      </m:r>
                    </m:e>
                    <m:sub>
                      <m:r>
                        <m:rPr>
                          <m:sty m:val="p"/>
                        </m:rPr>
                        <m:t>t</m:t>
                      </m:r>
                      <m:r>
                        <m:t>+</m:t>
                      </m:r>
                      <m:r>
                        <m:t>1</m:t>
                      </m:r>
                    </m:sub>
                    <m:sup>
                      <m:r>
                        <m:rPr>
                          <m:sty m:val="p"/>
                        </m:rPr>
                        <m:t>e</m:t>
                      </m:r>
                    </m:sup>
                  </m:sSubSup>
                  <m:r>
                    <m:t>,</m:t>
                  </m:r>
                  <m:sSub>
                    <m:e>
                      <m:r>
                        <m:rPr>
                          <m:sty m:val="p"/>
                        </m:rPr>
                        <m:t>B</m:t>
                      </m:r>
                      <m:r>
                        <m:rPr>
                          <m:sty m:val="p"/>
                        </m:rPr>
                        <m:t>M</m:t>
                      </m:r>
                    </m:e>
                    <m:sub>
                      <m:r>
                        <m:rPr>
                          <m:sty m:val="p"/>
                        </m:rPr>
                        <m:t>i</m:t>
                      </m:r>
                      <m:r>
                        <m:t>,</m:t>
                      </m:r>
                      <m:r>
                        <m:rPr>
                          <m:sty m:val="p"/>
                        </m:rPr>
                        <m:t>t</m:t>
                      </m:r>
                    </m:sub>
                  </m:sSub>
                </m:e>
              </m:d>
            </m:num>
            <m:den>
              <m:r>
                <m:rPr>
                  <m:nor/>
                  <m:sty m:val="p"/>
                </m:rPr>
                <m:t>Var</m:t>
              </m:r>
              <m:d>
                <m:dPr>
                  <m:begChr m:val="["/>
                  <m:endChr m:val="]"/>
                  <m:grow/>
                </m:dPr>
                <m:e>
                  <m:sSub>
                    <m:e>
                      <m:r>
                        <m:rPr>
                          <m:sty m:val="p"/>
                        </m:rPr>
                        <m:t>B</m:t>
                      </m:r>
                      <m:r>
                        <m:rPr>
                          <m:sty m:val="p"/>
                        </m:rPr>
                        <m:t>M</m:t>
                      </m:r>
                    </m:e>
                    <m:sub>
                      <m:r>
                        <m:rPr>
                          <m:sty m:val="p"/>
                        </m:rPr>
                        <m:t>i</m:t>
                      </m:r>
                      <m:r>
                        <m:t>,</m:t>
                      </m:r>
                      <m:r>
                        <m:rPr>
                          <m:sty m:val="p"/>
                        </m:rPr>
                        <m:t>t</m:t>
                      </m:r>
                    </m:sub>
                  </m:sSub>
                </m:e>
              </m:d>
            </m:den>
          </m:f>
          <m:r>
            <m:t>=</m:t>
          </m:r>
          <m:f>
            <m:fPr>
              <m:type m:val="bar"/>
            </m:fPr>
            <m:num>
              <m:r>
                <m:rPr>
                  <m:nor/>
                  <m:sty m:val="p"/>
                </m:rPr>
                <m:t>Cov</m:t>
              </m:r>
              <m:d>
                <m:dPr>
                  <m:begChr m:val="["/>
                  <m:endChr m:val=""/>
                  <m:grow/>
                </m:dPr>
                <m:e>
                  <m:sSubSup>
                    <m:e>
                      <m:r>
                        <m:rPr>
                          <m:sty m:val="p"/>
                        </m:rPr>
                        <m:t>R</m:t>
                      </m:r>
                    </m:e>
                    <m:sub>
                      <m:r>
                        <m:rPr>
                          <m:sty m:val="p"/>
                        </m:rPr>
                        <m:t>t</m:t>
                      </m:r>
                      <m:r>
                        <m:t>+</m:t>
                      </m:r>
                      <m:r>
                        <m:t>1</m:t>
                      </m:r>
                    </m:sub>
                    <m:sup>
                      <m:r>
                        <m:rPr>
                          <m:sty m:val="p"/>
                        </m:rPr>
                        <m:t>e</m:t>
                      </m:r>
                    </m:sup>
                  </m:sSubSup>
                  <m:r>
                    <m:t>,</m:t>
                  </m:r>
                  <m:sSubSup>
                    <m:e>
                      <m:acc>
                        <m:accPr>
                          <m:chr m:val="̂"/>
                        </m:accPr>
                        <m:e>
                          <m:r>
                            <m:t>δ</m:t>
                          </m:r>
                        </m:e>
                      </m:acc>
                    </m:e>
                    <m:sub>
                      <m:r>
                        <m:rPr>
                          <m:sty m:val="p"/>
                        </m:rPr>
                        <m:t>t</m:t>
                      </m:r>
                    </m:sub>
                    <m:sup>
                      <m:r>
                        <m:t>1</m:t>
                      </m:r>
                    </m:sup>
                  </m:sSubSup>
                  <m:r>
                    <m:rPr>
                      <m:sty m:val="p"/>
                    </m:rPr>
                    <m:t>I</m:t>
                  </m:r>
                  <m:r>
                    <m:rPr>
                      <m:sty m:val="p"/>
                    </m:rPr>
                    <m:t>N</m:t>
                  </m:r>
                  <m:r>
                    <m:rPr>
                      <m:sty m:val="p"/>
                    </m:rPr>
                    <m:t>T</m:t>
                  </m:r>
                  <m:r>
                    <m:rPr>
                      <m:sty m:val="p"/>
                    </m:rPr>
                    <m:t>A</m:t>
                  </m:r>
                  <m:sSub>
                    <m:e>
                      <m:r>
                        <m:rPr>
                          <m:sty m:val="p"/>
                        </m:rPr>
                        <m:t>N</m:t>
                      </m:r>
                    </m:e>
                    <m:sub>
                      <m:r>
                        <m:rPr>
                          <m:nor/>
                          <m:sty m:val="p"/>
                        </m:rPr>
                        <m:t>i </m:t>
                      </m:r>
                      <m:r>
                        <m:rPr>
                          <m:sty m:val="p"/>
                        </m:rPr>
                        <m:t>,</m:t>
                      </m:r>
                      <m:r>
                        <m:rPr>
                          <m:sty m:val="p"/>
                        </m:rPr>
                        <m:t>t</m:t>
                      </m:r>
                    </m:sub>
                  </m:sSub>
                  <m:r>
                    <m:rPr>
                      <m:sty m:val="p"/>
                    </m:rPr>
                    <m:t>]</m:t>
                  </m:r>
                </m:e>
              </m:d>
            </m:num>
            <m:den>
              <m:r>
                <m:rPr>
                  <m:nor/>
                  <m:sty m:val="p"/>
                </m:rPr>
                <m:t>Var</m:t>
              </m:r>
              <m:d>
                <m:dPr>
                  <m:begChr m:val="["/>
                  <m:endChr m:val="]"/>
                  <m:grow/>
                </m:dPr>
                <m:e>
                  <m:sSub>
                    <m:e>
                      <m:r>
                        <m:rPr>
                          <m:sty m:val="p"/>
                        </m:rPr>
                        <m:t>B</m:t>
                      </m:r>
                      <m:r>
                        <m:rPr>
                          <m:sty m:val="p"/>
                        </m:rPr>
                        <m:t>M</m:t>
                      </m:r>
                    </m:e>
                    <m:sub>
                      <m:r>
                        <m:rPr>
                          <m:sty m:val="p"/>
                        </m:rPr>
                        <m:t>i</m:t>
                      </m:r>
                      <m:r>
                        <m:t>,</m:t>
                      </m:r>
                      <m:r>
                        <m:rPr>
                          <m:sty m:val="p"/>
                        </m:rPr>
                        <m:t>t</m:t>
                      </m:r>
                    </m:sub>
                  </m:sSub>
                </m:e>
              </m:d>
            </m:den>
          </m:f>
          <m:r>
            <m:t>+</m:t>
          </m:r>
          <m:f>
            <m:fPr>
              <m:type m:val="bar"/>
            </m:fPr>
            <m:num>
              <m:r>
                <m:rPr>
                  <m:nor/>
                  <m:sty m:val="p"/>
                </m:rPr>
                <m:t>Cov</m:t>
              </m:r>
              <m:d>
                <m:dPr>
                  <m:begChr m:val="["/>
                  <m:endChr m:val="]"/>
                  <m:grow/>
                </m:dPr>
                <m:e>
                  <m:sSubSup>
                    <m:e>
                      <m:r>
                        <m:rPr>
                          <m:sty m:val="p"/>
                        </m:rPr>
                        <m:t>R</m:t>
                      </m:r>
                    </m:e>
                    <m:sub>
                      <m:r>
                        <m:rPr>
                          <m:sty m:val="p"/>
                        </m:rPr>
                        <m:t>t</m:t>
                      </m:r>
                      <m:r>
                        <m:t>+</m:t>
                      </m:r>
                      <m:r>
                        <m:t>1</m:t>
                      </m:r>
                    </m:sub>
                    <m:sup>
                      <m:r>
                        <m:rPr>
                          <m:sty m:val="p"/>
                        </m:rPr>
                        <m:t>e</m:t>
                      </m:r>
                    </m:sup>
                  </m:sSubSup>
                  <m:r>
                    <m:t>,</m:t>
                  </m:r>
                  <m:sSup>
                    <m:e>
                      <m:acc>
                        <m:accPr>
                          <m:chr m:val="̂"/>
                        </m:accPr>
                        <m:e>
                          <m:r>
                            <m:t>δ</m:t>
                          </m:r>
                        </m:e>
                      </m:acc>
                    </m:e>
                    <m:sup>
                      <m:r>
                        <m:t>2</m:t>
                      </m:r>
                    </m:sup>
                  </m:sSup>
                  <m:sSub>
                    <m:e>
                      <m:r>
                        <m:t>​</m:t>
                      </m:r>
                    </m:e>
                    <m:sub>
                      <m:r>
                        <m:rPr>
                          <m:sty m:val="p"/>
                        </m:rPr>
                        <m:t>t</m:t>
                      </m:r>
                    </m:sub>
                  </m:sSub>
                  <m:r>
                    <m:rPr>
                      <m:sty m:val="p"/>
                    </m:rPr>
                    <m:t>I</m:t>
                  </m:r>
                  <m:r>
                    <m:rPr>
                      <m:sty m:val="p"/>
                    </m:rPr>
                    <m:t>V</m:t>
                  </m:r>
                  <m:r>
                    <m:rPr>
                      <m:sty m:val="p"/>
                    </m:rPr>
                    <m:t>O</m:t>
                  </m:r>
                  <m:r>
                    <m:rPr>
                      <m:sty m:val="p"/>
                    </m:rPr>
                    <m:t>L</m:t>
                  </m:r>
                  <m:r>
                    <m:rPr>
                      <m:sty m:val="p"/>
                    </m:rPr>
                    <m:t>i</m:t>
                  </m:r>
                  <m:r>
                    <m:t>,</m:t>
                  </m:r>
                  <m:r>
                    <m:rPr>
                      <m:sty m:val="p"/>
                    </m:rPr>
                    <m:t>t</m:t>
                  </m:r>
                </m:e>
              </m:d>
            </m:num>
            <m:den>
              <m:r>
                <m:rPr>
                  <m:nor/>
                  <m:sty m:val="p"/>
                </m:rPr>
                <m:t>Var</m:t>
              </m:r>
              <m:d>
                <m:dPr>
                  <m:begChr m:val="["/>
                  <m:endChr m:val="]"/>
                  <m:grow/>
                </m:dPr>
                <m:e>
                  <m:sSub>
                    <m:e>
                      <m:r>
                        <m:rPr>
                          <m:sty m:val="p"/>
                        </m:rPr>
                        <m:t>B</m:t>
                      </m:r>
                      <m:r>
                        <m:rPr>
                          <m:sty m:val="p"/>
                        </m:rPr>
                        <m:t>M</m:t>
                      </m:r>
                    </m:e>
                    <m:sub>
                      <m:r>
                        <m:rPr>
                          <m:sty m:val="p"/>
                        </m:rPr>
                        <m:t>i</m:t>
                      </m:r>
                      <m:r>
                        <m:t>,</m:t>
                      </m:r>
                      <m:r>
                        <m:rPr>
                          <m:sty m:val="p"/>
                        </m:rPr>
                        <m:t>t</m:t>
                      </m:r>
                    </m:sub>
                  </m:sSub>
                </m:e>
              </m:d>
            </m:den>
          </m:f>
          <m:r>
            <m:t>+</m:t>
          </m:r>
          <m:f>
            <m:fPr>
              <m:type m:val="bar"/>
            </m:fPr>
            <m:num>
              <m:r>
                <m:rPr>
                  <m:nor/>
                  <m:sty m:val="p"/>
                </m:rPr>
                <m:t>Cov</m:t>
              </m:r>
              <m:d>
                <m:dPr>
                  <m:begChr m:val="["/>
                  <m:endChr m:val="]"/>
                  <m:grow/>
                </m:dPr>
                <m:e>
                  <m:sSubSup>
                    <m:e>
                      <m:r>
                        <m:rPr>
                          <m:sty m:val="p"/>
                        </m:rPr>
                        <m:t>R</m:t>
                      </m:r>
                    </m:e>
                    <m:sub>
                      <m:r>
                        <m:rPr>
                          <m:sty m:val="p"/>
                        </m:rPr>
                        <m:t>t</m:t>
                      </m:r>
                      <m:r>
                        <m:t>+</m:t>
                      </m:r>
                      <m:r>
                        <m:t>1</m:t>
                      </m:r>
                    </m:sub>
                    <m:sup>
                      <m:r>
                        <m:rPr>
                          <m:sty m:val="p"/>
                        </m:rPr>
                        <m:t>e</m:t>
                      </m:r>
                      <m:r>
                        <m:rPr>
                          <m:sty m:val="p"/>
                        </m:rPr>
                        <m:t>i</m:t>
                      </m:r>
                    </m:sup>
                  </m:sSubSup>
                  <m:r>
                    <m:t>,</m:t>
                  </m:r>
                  <m:sSub>
                    <m:e>
                      <m:acc>
                        <m:accPr>
                          <m:chr m:val="̂"/>
                        </m:accPr>
                        <m:e>
                          <m:r>
                            <m:t>φ</m:t>
                          </m:r>
                        </m:e>
                      </m:acc>
                    </m:e>
                    <m:sub>
                      <m:r>
                        <m:rPr>
                          <m:sty m:val="p"/>
                        </m:rPr>
                        <m:t>t</m:t>
                      </m:r>
                    </m:sub>
                  </m:sSub>
                  <m:r>
                    <m:t>+</m:t>
                  </m:r>
                  <m:sSub>
                    <m:e>
                      <m:acc>
                        <m:accPr>
                          <m:chr m:val="̂"/>
                        </m:accPr>
                        <m:e>
                          <m:r>
                            <m:t>μ</m:t>
                          </m:r>
                        </m:e>
                      </m:acc>
                    </m:e>
                    <m:sub>
                      <m:r>
                        <m:rPr>
                          <m:sty m:val="p"/>
                        </m:rPr>
                        <m:t>i</m:t>
                      </m:r>
                      <m:r>
                        <m:t>,</m:t>
                      </m:r>
                      <m:r>
                        <m:rPr>
                          <m:sty m:val="p"/>
                        </m:rPr>
                        <m:t>t</m:t>
                      </m:r>
                    </m:sub>
                  </m:sSub>
                </m:e>
              </m:d>
            </m:num>
            <m:den>
              <m:r>
                <m:rPr>
                  <m:nor/>
                  <m:sty m:val="p"/>
                </m:rPr>
                <m:t>Var</m:t>
              </m:r>
              <m:d>
                <m:dPr>
                  <m:begChr m:val="["/>
                  <m:endChr m:val="]"/>
                  <m:grow/>
                </m:dPr>
                <m:e>
                  <m:sSub>
                    <m:e>
                      <m:r>
                        <m:rPr>
                          <m:sty m:val="p"/>
                        </m:rPr>
                        <m:t>B</m:t>
                      </m:r>
                      <m:r>
                        <m:rPr>
                          <m:sty m:val="p"/>
                        </m:rPr>
                        <m:t>M</m:t>
                      </m:r>
                    </m:e>
                    <m:sub>
                      <m:r>
                        <m:rPr>
                          <m:sty m:val="p"/>
                        </m:rPr>
                        <m:t>i</m:t>
                      </m:r>
                      <m:r>
                        <m:t>,</m:t>
                      </m:r>
                      <m:r>
                        <m:rPr>
                          <m:sty m:val="p"/>
                        </m:rPr>
                        <m:t>t</m:t>
                      </m:r>
                    </m:sub>
                  </m:sSub>
                </m:e>
              </m:d>
            </m:den>
          </m:f>
        </m:oMath>
      </m:oMathPara>
    </w:p>
    <w:p>
      <w:pPr>
        <w:pStyle w:val="FirstParagraph"/>
      </w:pPr>
      <m:oMathPara>
        <m:oMathParaPr>
          <m:jc m:val="center"/>
        </m:oMathParaPr>
        <m:oMath>
          <m:sSub>
            <m:e>
              <m:acc>
                <m:accPr>
                  <m:chr m:val="̂"/>
                </m:accPr>
                <m:e>
                  <m:r>
                    <m:t>b</m:t>
                  </m:r>
                </m:e>
              </m:acc>
            </m:e>
            <m:sub>
              <m:r>
                <m:t>t</m:t>
              </m:r>
            </m:sub>
          </m:sSub>
          <m:r>
            <m:t>≡</m:t>
          </m:r>
          <m:sSubSup>
            <m:e>
              <m:acc>
                <m:accPr>
                  <m:chr m:val="̂"/>
                </m:accPr>
                <m:e>
                  <m:r>
                    <m:t>b</m:t>
                  </m:r>
                </m:e>
              </m:acc>
            </m:e>
            <m:sub>
              <m:r>
                <m:t>t</m:t>
              </m:r>
            </m:sub>
            <m:sup>
              <m:r>
                <m:t>I</m:t>
              </m:r>
              <m:r>
                <m:t>N</m:t>
              </m:r>
              <m:r>
                <m:t>T</m:t>
              </m:r>
              <m:r>
                <m:t>A</m:t>
              </m:r>
              <m:r>
                <m:t>N</m:t>
              </m:r>
            </m:sup>
          </m:sSubSup>
          <m:r>
            <m:t>+</m:t>
          </m:r>
          <m:sSubSup>
            <m:e>
              <m:acc>
                <m:accPr>
                  <m:chr m:val="̂"/>
                </m:accPr>
                <m:e>
                  <m:r>
                    <m:t>b</m:t>
                  </m:r>
                </m:e>
              </m:acc>
            </m:e>
            <m:sub>
              <m:r>
                <m:t>t</m:t>
              </m:r>
            </m:sub>
            <m:sup>
              <m:r>
                <m:rPr>
                  <m:nor/>
                  <m:sty m:val="p"/>
                </m:rPr>
                <m:t>IVOL </m:t>
              </m:r>
            </m:sup>
          </m:sSubSup>
          <m:r>
            <m:t>+</m:t>
          </m:r>
          <m:sSubSup>
            <m:e>
              <m:acc>
                <m:accPr>
                  <m:chr m:val="̂"/>
                </m:accPr>
                <m:e>
                  <m:r>
                    <m:t>b</m:t>
                  </m:r>
                </m:e>
              </m:acc>
            </m:e>
            <m:sub>
              <m:r>
                <m:t>t</m:t>
              </m:r>
            </m:sub>
            <m:sup>
              <m:r>
                <m:t>R</m:t>
              </m:r>
            </m:sup>
          </m:sSubSup>
        </m:oMath>
      </m:oMathPara>
    </w:p>
    <w:p>
      <w:pPr>
        <w:pStyle w:val="Heading3"/>
      </w:pPr>
      <w:bookmarkStart w:id="41" w:name="X784fc6c528f7ae077c88b04830f1be88e1b9733"/>
      <w:r>
        <w:t xml:space="preserve">Empirical significance of the value premium</w:t>
      </w:r>
      <w:bookmarkEnd w:id="41"/>
    </w:p>
    <w:p>
      <w:pPr>
        <w:pStyle w:val="FirstParagraph"/>
      </w:pPr>
      <w:r>
        <w:drawing>
          <wp:inline>
            <wp:extent cx="5334000" cy="3351320"/>
            <wp:effectExtent b="0" l="0" r="0" t="0"/>
            <wp:docPr descr="" title="" id="1" name="Picture"/>
            <a:graphic>
              <a:graphicData uri="http://schemas.openxmlformats.org/drawingml/2006/picture">
                <pic:pic>
                  <pic:nvPicPr>
                    <pic:cNvPr descr="img/SpecialTopic3_AnomaliesinInternationalFinancialMarkets.en_20221028095450.png" id="0" name="Picture"/>
                    <pic:cNvPicPr>
                      <a:picLocks noChangeArrowheads="1" noChangeAspect="1"/>
                    </pic:cNvPicPr>
                  </pic:nvPicPr>
                  <pic:blipFill>
                    <a:blip r:embed="rId42"/>
                    <a:stretch>
                      <a:fillRect/>
                    </a:stretch>
                  </pic:blipFill>
                  <pic:spPr bwMode="auto">
                    <a:xfrm>
                      <a:off x="0" y="0"/>
                      <a:ext cx="5334000" cy="3351320"/>
                    </a:xfrm>
                    <a:prstGeom prst="rect">
                      <a:avLst/>
                    </a:prstGeom>
                    <a:noFill/>
                    <a:ln w="9525">
                      <a:noFill/>
                      <a:headEnd/>
                      <a:tailEnd/>
                    </a:ln>
                  </pic:spPr>
                </pic:pic>
              </a:graphicData>
            </a:graphic>
          </wp:inline>
        </w:drawing>
      </w:r>
    </w:p>
    <w:p>
      <w:pPr>
        <w:pStyle w:val="BodyText"/>
      </w:pPr>
      <w:r>
        <w:drawing>
          <wp:inline>
            <wp:extent cx="5334000" cy="2716764"/>
            <wp:effectExtent b="0" l="0" r="0" t="0"/>
            <wp:docPr descr="" title="" id="1" name="Picture"/>
            <a:graphic>
              <a:graphicData uri="http://schemas.openxmlformats.org/drawingml/2006/picture">
                <pic:pic>
                  <pic:nvPicPr>
                    <pic:cNvPr descr="img/SpecialTopic3_AnomaliesinInternationalFinancialMarkets.en_20221028095927.png" id="0" name="Picture"/>
                    <pic:cNvPicPr>
                      <a:picLocks noChangeArrowheads="1" noChangeAspect="1"/>
                    </pic:cNvPicPr>
                  </pic:nvPicPr>
                  <pic:blipFill>
                    <a:blip r:embed="rId43"/>
                    <a:stretch>
                      <a:fillRect/>
                    </a:stretch>
                  </pic:blipFill>
                  <pic:spPr bwMode="auto">
                    <a:xfrm>
                      <a:off x="0" y="0"/>
                      <a:ext cx="5334000" cy="2716764"/>
                    </a:xfrm>
                    <a:prstGeom prst="rect">
                      <a:avLst/>
                    </a:prstGeom>
                    <a:noFill/>
                    <a:ln w="9525">
                      <a:noFill/>
                      <a:headEnd/>
                      <a:tailEnd/>
                    </a:ln>
                  </pic:spPr>
                </pic:pic>
              </a:graphicData>
            </a:graphic>
          </wp:inline>
        </w:drawing>
      </w:r>
    </w:p>
    <w:p>
      <w:pPr>
        <w:pStyle w:val="BodyText"/>
      </w:pPr>
      <w:r>
        <w:drawing>
          <wp:inline>
            <wp:extent cx="5334000" cy="2219120"/>
            <wp:effectExtent b="0" l="0" r="0" t="0"/>
            <wp:docPr descr="" title="" id="1" name="Picture"/>
            <a:graphic>
              <a:graphicData uri="http://schemas.openxmlformats.org/drawingml/2006/picture">
                <pic:pic>
                  <pic:nvPicPr>
                    <pic:cNvPr descr="img/SpecialTopic3_AnomaliesinInternationalFinancialMarkets.en_20221028100329.png" id="0" name="Picture"/>
                    <pic:cNvPicPr>
                      <a:picLocks noChangeArrowheads="1" noChangeAspect="1"/>
                    </pic:cNvPicPr>
                  </pic:nvPicPr>
                  <pic:blipFill>
                    <a:blip r:embed="rId44"/>
                    <a:stretch>
                      <a:fillRect/>
                    </a:stretch>
                  </pic:blipFill>
                  <pic:spPr bwMode="auto">
                    <a:xfrm>
                      <a:off x="0" y="0"/>
                      <a:ext cx="5334000" cy="2219120"/>
                    </a:xfrm>
                    <a:prstGeom prst="rect">
                      <a:avLst/>
                    </a:prstGeom>
                    <a:noFill/>
                    <a:ln w="9525">
                      <a:noFill/>
                      <a:headEnd/>
                      <a:tailEnd/>
                    </a:ln>
                  </pic:spPr>
                </pic:pic>
              </a:graphicData>
            </a:graphic>
          </wp:inline>
        </w:drawing>
      </w:r>
    </w:p>
    <w:p>
      <w:pPr>
        <w:pStyle w:val="BodyText"/>
      </w:pPr>
      <w:r>
        <w:drawing>
          <wp:inline>
            <wp:extent cx="5334000" cy="2493950"/>
            <wp:effectExtent b="0" l="0" r="0" t="0"/>
            <wp:docPr descr="" title="" id="1" name="Picture"/>
            <a:graphic>
              <a:graphicData uri="http://schemas.openxmlformats.org/drawingml/2006/picture">
                <pic:pic>
                  <pic:nvPicPr>
                    <pic:cNvPr descr="img/SpecialTopic3_AnomaliesinInternationalFinancialMarkets.en_20221028102213.png" id="0" name="Picture"/>
                    <pic:cNvPicPr>
                      <a:picLocks noChangeArrowheads="1" noChangeAspect="1"/>
                    </pic:cNvPicPr>
                  </pic:nvPicPr>
                  <pic:blipFill>
                    <a:blip r:embed="rId45"/>
                    <a:stretch>
                      <a:fillRect/>
                    </a:stretch>
                  </pic:blipFill>
                  <pic:spPr bwMode="auto">
                    <a:xfrm>
                      <a:off x="0" y="0"/>
                      <a:ext cx="5334000" cy="2493950"/>
                    </a:xfrm>
                    <a:prstGeom prst="rect">
                      <a:avLst/>
                    </a:prstGeom>
                    <a:noFill/>
                    <a:ln w="9525">
                      <a:noFill/>
                      <a:headEnd/>
                      <a:tailEnd/>
                    </a:ln>
                  </pic:spPr>
                </pic:pic>
              </a:graphicData>
            </a:graphic>
          </wp:inline>
        </w:drawing>
      </w:r>
    </w:p>
    <w:p>
      <w:pPr>
        <w:pStyle w:val="BodyText"/>
      </w:pPr>
      <w:r>
        <w:drawing>
          <wp:inline>
            <wp:extent cx="5334000" cy="3054773"/>
            <wp:effectExtent b="0" l="0" r="0" t="0"/>
            <wp:docPr descr="" title="" id="1" name="Picture"/>
            <a:graphic>
              <a:graphicData uri="http://schemas.openxmlformats.org/drawingml/2006/picture">
                <pic:pic>
                  <pic:nvPicPr>
                    <pic:cNvPr descr="img/SpecialTopic3_AnomaliesinInternationalFinancialMarkets.en_20221028102245.png" id="0" name="Picture"/>
                    <pic:cNvPicPr>
                      <a:picLocks noChangeArrowheads="1" noChangeAspect="1"/>
                    </pic:cNvPicPr>
                  </pic:nvPicPr>
                  <pic:blipFill>
                    <a:blip r:embed="rId46"/>
                    <a:stretch>
                      <a:fillRect/>
                    </a:stretch>
                  </pic:blipFill>
                  <pic:spPr bwMode="auto">
                    <a:xfrm>
                      <a:off x="0" y="0"/>
                      <a:ext cx="5334000" cy="3054773"/>
                    </a:xfrm>
                    <a:prstGeom prst="rect">
                      <a:avLst/>
                    </a:prstGeom>
                    <a:noFill/>
                    <a:ln w="9525">
                      <a:noFill/>
                      <a:headEnd/>
                      <a:tailEnd/>
                    </a:ln>
                  </pic:spPr>
                </pic:pic>
              </a:graphicData>
            </a:graphic>
          </wp:inline>
        </w:drawing>
      </w:r>
    </w:p>
    <w:p>
      <w:pPr>
        <w:pStyle w:val="BodyText"/>
      </w:pPr>
      <w:r>
        <w:drawing>
          <wp:inline>
            <wp:extent cx="5334000" cy="3137844"/>
            <wp:effectExtent b="0" l="0" r="0" t="0"/>
            <wp:docPr descr="" title="" id="1" name="Picture"/>
            <a:graphic>
              <a:graphicData uri="http://schemas.openxmlformats.org/drawingml/2006/picture">
                <pic:pic>
                  <pic:nvPicPr>
                    <pic:cNvPr descr="img/SpecialTopic3_AnomaliesinInternationalFinancialMarkets.en_20221028102550.png" id="0" name="Picture"/>
                    <pic:cNvPicPr>
                      <a:picLocks noChangeArrowheads="1" noChangeAspect="1"/>
                    </pic:cNvPicPr>
                  </pic:nvPicPr>
                  <pic:blipFill>
                    <a:blip r:embed="rId47"/>
                    <a:stretch>
                      <a:fillRect/>
                    </a:stretch>
                  </pic:blipFill>
                  <pic:spPr bwMode="auto">
                    <a:xfrm>
                      <a:off x="0" y="0"/>
                      <a:ext cx="5334000" cy="3137844"/>
                    </a:xfrm>
                    <a:prstGeom prst="rect">
                      <a:avLst/>
                    </a:prstGeom>
                    <a:noFill/>
                    <a:ln w="9525">
                      <a:noFill/>
                      <a:headEnd/>
                      <a:tailEnd/>
                    </a:ln>
                  </pic:spPr>
                </pic:pic>
              </a:graphicData>
            </a:graphic>
          </wp:inline>
        </w:drawing>
      </w:r>
    </w:p>
    <w:p>
      <w:pPr>
        <w:pStyle w:val="BodyText"/>
      </w:pPr>
      <w:r>
        <w:drawing>
          <wp:inline>
            <wp:extent cx="5334000" cy="2057516"/>
            <wp:effectExtent b="0" l="0" r="0" t="0"/>
            <wp:docPr descr="" title="" id="1" name="Picture"/>
            <a:graphic>
              <a:graphicData uri="http://schemas.openxmlformats.org/drawingml/2006/picture">
                <pic:pic>
                  <pic:nvPicPr>
                    <pic:cNvPr descr="img/SpecialTopic3_AnomaliesinInternationalFinancialMarkets.en_20221028103016.png" id="0" name="Picture"/>
                    <pic:cNvPicPr>
                      <a:picLocks noChangeArrowheads="1" noChangeAspect="1"/>
                    </pic:cNvPicPr>
                  </pic:nvPicPr>
                  <pic:blipFill>
                    <a:blip r:embed="rId48"/>
                    <a:stretch>
                      <a:fillRect/>
                    </a:stretch>
                  </pic:blipFill>
                  <pic:spPr bwMode="auto">
                    <a:xfrm>
                      <a:off x="0" y="0"/>
                      <a:ext cx="5334000" cy="2057516"/>
                    </a:xfrm>
                    <a:prstGeom prst="rect">
                      <a:avLst/>
                    </a:prstGeom>
                    <a:noFill/>
                    <a:ln w="9525">
                      <a:noFill/>
                      <a:headEnd/>
                      <a:tailEnd/>
                    </a:ln>
                  </pic:spPr>
                </pic:pic>
              </a:graphicData>
            </a:graphic>
          </wp:inline>
        </w:drawing>
      </w:r>
    </w:p>
    <w:p>
      <w:pPr>
        <w:pStyle w:val="BodyText"/>
      </w:pPr>
      <m:oMathPara>
        <m:oMathParaPr>
          <m:jc m:val="center"/>
        </m:oMathParaPr>
        <m:oMath>
          <m:r>
            <m:t>I</m:t>
          </m:r>
          <m:r>
            <m:t>V</m:t>
          </m:r>
          <m:r>
            <m:t>O</m:t>
          </m:r>
          <m:sSub>
            <m:e>
              <m:r>
                <m:t>L</m:t>
              </m:r>
            </m:e>
            <m:sub>
              <m:r>
                <m:t>i</m:t>
              </m:r>
              <m:r>
                <m:t>,</m:t>
              </m:r>
              <m:r>
                <m:t>t</m:t>
              </m:r>
            </m:sub>
          </m:sSub>
          <m:r>
            <m:t>=</m:t>
          </m:r>
          <m:sSub>
            <m:e>
              <m:r>
                <m:t>η</m:t>
              </m:r>
            </m:e>
            <m:sub>
              <m:r>
                <m:t>t</m:t>
              </m:r>
            </m:sub>
          </m:sSub>
          <m:r>
            <m:t>+</m:t>
          </m:r>
          <m:sSub>
            <m:e>
              <m:r>
                <m:t>κ</m:t>
              </m:r>
            </m:e>
            <m:sub>
              <m:r>
                <m:t>t</m:t>
              </m:r>
            </m:sub>
          </m:sSub>
          <m:r>
            <m:t>I</m:t>
          </m:r>
          <m:r>
            <m:t>N</m:t>
          </m:r>
          <m:r>
            <m:t>T</m:t>
          </m:r>
          <m:r>
            <m:t>A</m:t>
          </m:r>
          <m:sSub>
            <m:e>
              <m:r>
                <m:t>N</m:t>
              </m:r>
            </m:e>
            <m:sub>
              <m:r>
                <m:t>i</m:t>
              </m:r>
              <m:r>
                <m:t>,</m:t>
              </m:r>
              <m:r>
                <m:t>t</m:t>
              </m:r>
            </m:sub>
          </m:sSub>
          <m:r>
            <m:t>+</m:t>
          </m:r>
          <m:sSub>
            <m:e>
              <m:r>
                <m:t>ς</m:t>
              </m:r>
            </m:e>
            <m:sub>
              <m:r>
                <m:t>i</m:t>
              </m:r>
              <m:r>
                <m:t>,</m:t>
              </m:r>
              <m:r>
                <m:t>t</m:t>
              </m:r>
            </m:sub>
          </m:sSub>
        </m:oMath>
      </m:oMathPara>
    </w:p>
    <w:p>
      <w:pPr>
        <w:pStyle w:val="FirstParagraph"/>
      </w:pPr>
      <m:oMathPara>
        <m:oMathParaPr>
          <m:jc m:val="center"/>
        </m:oMathParaPr>
        <m:oMath>
          <m:r>
            <m:t>I</m:t>
          </m:r>
          <m:r>
            <m:t>V</m:t>
          </m:r>
          <m:r>
            <m:t>O</m:t>
          </m:r>
          <m:r>
            <m:t>L</m:t>
          </m:r>
          <m:r>
            <m:t>E</m:t>
          </m:r>
          <m:sSub>
            <m:e>
              <m:r>
                <m:t>X</m:t>
              </m:r>
            </m:e>
            <m:sub>
              <m:r>
                <m:t>i</m:t>
              </m:r>
              <m:r>
                <m:t>,</m:t>
              </m:r>
              <m:r>
                <m:t>t</m:t>
              </m:r>
            </m:sub>
          </m:sSub>
          <m:r>
            <m:t>=</m:t>
          </m:r>
          <m:r>
            <m:t>I</m:t>
          </m:r>
          <m:r>
            <m:t>V</m:t>
          </m:r>
          <m:r>
            <m:t>O</m:t>
          </m:r>
          <m:sSub>
            <m:e>
              <m:r>
                <m:t>L</m:t>
              </m:r>
            </m:e>
            <m:sub>
              <m:r>
                <m:t>i</m:t>
              </m:r>
              <m:r>
                <m:t>,</m:t>
              </m:r>
              <m:r>
                <m:t>t</m:t>
              </m:r>
            </m:sub>
          </m:sSub>
          <m:r>
            <m:t>−</m:t>
          </m:r>
          <m:sSub>
            <m:e>
              <m:acc>
                <m:accPr>
                  <m:chr m:val="̂"/>
                </m:accPr>
                <m:e>
                  <m:r>
                    <m:t>κ</m:t>
                  </m:r>
                </m:e>
              </m:acc>
            </m:e>
            <m:sub>
              <m:r>
                <m:t>t</m:t>
              </m:r>
            </m:sub>
          </m:sSub>
          <m:r>
            <m:t>I</m:t>
          </m:r>
          <m:r>
            <m:t>N</m:t>
          </m:r>
          <m:r>
            <m:t>T</m:t>
          </m:r>
          <m:r>
            <m:t>A</m:t>
          </m:r>
          <m:sSub>
            <m:e>
              <m:r>
                <m:t>N</m:t>
              </m:r>
            </m:e>
            <m:sub>
              <m:r>
                <m:t>i</m:t>
              </m:r>
              <m:r>
                <m:t>,</m:t>
              </m:r>
              <m:r>
                <m:t>t</m:t>
              </m:r>
            </m:sub>
          </m:sSub>
        </m:oMath>
      </m:oMathPara>
    </w:p>
    <w:p>
      <w:pPr>
        <w:pStyle w:val="Heading3"/>
      </w:pPr>
      <w:bookmarkStart w:id="49" w:name="key-finding"/>
      <w:r>
        <w:t xml:space="preserve">key finding</w:t>
      </w:r>
      <w:bookmarkEnd w:id="49"/>
    </w:p>
    <w:p>
      <w:pPr>
        <w:numPr>
          <w:ilvl w:val="0"/>
          <w:numId w:val="1030"/>
        </w:numPr>
        <w:pStyle w:val="Compact"/>
      </w:pPr>
      <w:r>
        <w:t xml:space="preserve">Based on portfolio sorts of abnormal returns on the BM ratio and cross-section regressions,</w:t>
      </w:r>
      <w:r>
        <w:t xml:space="preserve"> </w:t>
      </w:r>
      <w:r>
        <w:rPr>
          <w:b/>
        </w:rPr>
        <w:t xml:space="preserve">the significant presence of the BM effect</w:t>
      </w:r>
      <w:r>
        <w:t xml:space="preserve"> </w:t>
      </w:r>
      <w:r>
        <w:t xml:space="preserve">in the Chinese stock market can be observed.</w:t>
      </w:r>
    </w:p>
    <w:p>
      <w:pPr>
        <w:numPr>
          <w:ilvl w:val="0"/>
          <w:numId w:val="1030"/>
        </w:numPr>
        <w:pStyle w:val="Compact"/>
      </w:pPr>
      <w:r>
        <w:t xml:space="preserve">The</w:t>
      </w:r>
      <w:r>
        <w:t xml:space="preserve"> </w:t>
      </w:r>
      <w:r>
        <w:rPr>
          <w:b/>
        </w:rPr>
        <w:t xml:space="preserve">single decomposition analysis</w:t>
      </w:r>
      <w:r>
        <w:t xml:space="preserve"> </w:t>
      </w:r>
      <w:r>
        <w:t xml:space="preserve">confirms that arbitrage risk and intangible information contribute to the value premium in the Chinese stock market. More specifically, intangible information can account for at least 50% of the value premium over different investment horizons.</w:t>
      </w:r>
    </w:p>
    <w:p>
      <w:pPr>
        <w:numPr>
          <w:ilvl w:val="0"/>
          <w:numId w:val="1030"/>
        </w:numPr>
        <w:pStyle w:val="Compact"/>
      </w:pPr>
      <w:r>
        <w:t xml:space="preserve">The</w:t>
      </w:r>
      <w:r>
        <w:t xml:space="preserve"> </w:t>
      </w:r>
      <w:r>
        <w:rPr>
          <w:b/>
        </w:rPr>
        <w:t xml:space="preserve">multivariate decomposition analysis</w:t>
      </w:r>
      <w:r>
        <w:t xml:space="preserve"> </w:t>
      </w:r>
      <w:r>
        <w:t xml:space="preserve">indicates that compared with intangible information, idiosyncratic volatility does not significantly contribute to the value premium, which further confirms the</w:t>
      </w:r>
      <w:r>
        <w:t xml:space="preserve"> </w:t>
      </w:r>
      <w:r>
        <w:rPr>
          <w:b/>
        </w:rPr>
        <w:t xml:space="preserve">dominant role of intangible information</w:t>
      </w:r>
      <w:r>
        <w:t xml:space="preserve">.</w:t>
      </w:r>
    </w:p>
    <w:p>
      <w:pPr>
        <w:numPr>
          <w:ilvl w:val="0"/>
          <w:numId w:val="1030"/>
        </w:numPr>
        <w:pStyle w:val="Compact"/>
      </w:pPr>
      <w:r>
        <w:t xml:space="preserve">Moreover,</w:t>
      </w:r>
      <w:r>
        <w:t xml:space="preserve"> </w:t>
      </w:r>
      <w:r>
        <w:rPr>
          <w:b/>
        </w:rPr>
        <w:t xml:space="preserve">INTAN also influences value effects indirectly through IVOL</w:t>
      </w:r>
      <w:r>
        <w:t xml:space="preserve">. Once we fully account for the impact of INTAN on IVOL, the latter influences only less than half of the original IVOL on the BM effect.</w:t>
      </w:r>
    </w:p>
    <w:p>
      <w:pPr>
        <w:pStyle w:val="Heading3"/>
      </w:pPr>
      <w:bookmarkStart w:id="50" w:name="practice-questions"/>
      <w:r>
        <w:t xml:space="preserve">PRACTICE QUESTIONS</w:t>
      </w:r>
      <w:bookmarkEnd w:id="50"/>
    </w:p>
    <w:p>
      <w:pPr>
        <w:pStyle w:val="FirstParagraph"/>
      </w:pPr>
      <w:r>
        <w:rPr>
          <w:b/>
        </w:rPr>
        <w:t xml:space="preserve">Practice</w:t>
      </w:r>
      <w:r>
        <w:t xml:space="preserve"> </w:t>
      </w:r>
      <w:r>
        <w:t xml:space="preserve">(PRACTICE QUESTIONS FOR SPECIAL TOPICS) With reference to the article entitled</w:t>
      </w:r>
      <w:r>
        <w:t xml:space="preserve"> </w:t>
      </w:r>
      <w:r>
        <w:t xml:space="preserve">“</w:t>
      </w:r>
      <w:r>
        <w:t xml:space="preserve">Decomposing the value premium: the role of intangible information in the Chinese stock market</w:t>
      </w:r>
      <w:r>
        <w:t xml:space="preserve">”</w:t>
      </w:r>
      <w:r>
        <w:t xml:space="preserve"> </w:t>
      </w:r>
      <w:r>
        <w:t xml:space="preserve">by Ho and An (2020), explain and discuss</w:t>
      </w:r>
      <w:r>
        <w:t xml:space="preserve"> </w:t>
      </w:r>
      <w:r>
        <w:rPr>
          <w:b/>
        </w:rPr>
        <w:t xml:space="preserve">the factors contributing to the book-to-market effect in China’s stock market</w:t>
      </w:r>
      <w:r>
        <w:t xml:space="preserve">.</w:t>
      </w:r>
    </w:p>
    <w:p>
      <w:pPr>
        <w:pStyle w:val="BodyText"/>
      </w:pPr>
      <w:r>
        <w:t xml:space="preserve">According to Fama and French (1998, 2012), the book-to-market (BM) effect (otherwise known as the</w:t>
      </w:r>
      <w:r>
        <w:t xml:space="preserve"> </w:t>
      </w:r>
      <w:r>
        <w:rPr>
          <w:b/>
        </w:rPr>
        <w:t xml:space="preserve">value premium puzzle</w:t>
      </w:r>
      <w:r>
        <w:t xml:space="preserve">) refers to the stylized fact that stocks with high BM ratios provide higher average returns in future compared with stocks with low BM ratios. Based on portfolio sorts of abnormal returns on the BM ratio (Table 2) and cross-section regressions (Table 3), Ho and An (2020) observe</w:t>
      </w:r>
      <w:r>
        <w:t xml:space="preserve"> </w:t>
      </w:r>
      <w:r>
        <w:rPr>
          <w:b/>
        </w:rPr>
        <w:t xml:space="preserve">the significant presence of the BM effect</w:t>
      </w:r>
      <w:r>
        <w:t xml:space="preserve"> </w:t>
      </w:r>
      <w:r>
        <w:t xml:space="preserve">in the Chinese stock market.</w:t>
      </w:r>
    </w:p>
    <w:p>
      <w:pPr>
        <w:pStyle w:val="BodyText"/>
      </w:pPr>
      <w:r>
        <w:t xml:space="preserve">Further analysis based on Hou and Loh’s (2016)</w:t>
      </w:r>
      <w:r>
        <w:t xml:space="preserve"> </w:t>
      </w:r>
      <w:r>
        <w:rPr>
          <w:b/>
        </w:rPr>
        <w:t xml:space="preserve">single and multivariate decomposition analyses</w:t>
      </w:r>
      <w:r>
        <w:t xml:space="preserve"> </w:t>
      </w:r>
      <w:r>
        <w:t xml:space="preserve">in Tables 4, 5, and 7 of Ho and An (2020) suggest that</w:t>
      </w:r>
      <w:r>
        <w:t xml:space="preserve"> </w:t>
      </w:r>
      <w:r>
        <w:rPr>
          <w:b/>
        </w:rPr>
        <w:t xml:space="preserve">intangible information (INTAN) and arbitrage risk are two major factors</w:t>
      </w:r>
      <w:r>
        <w:t xml:space="preserve"> </w:t>
      </w:r>
      <w:r>
        <w:t xml:space="preserve">contributing to the BM effect.</w:t>
      </w:r>
    </w:p>
    <w:p>
      <w:pPr>
        <w:pStyle w:val="BodyText"/>
      </w:pPr>
      <w:r>
        <w:rPr>
          <w:b/>
        </w:rPr>
        <w:t xml:space="preserve">INTAN</w:t>
      </w:r>
      <w:r>
        <w:t xml:space="preserve"> </w:t>
      </w:r>
      <w:r>
        <w:t xml:space="preserve">(also known as non-accounting-related information) refers to information that is orthogonal or unrelated to past accounting-based information (Daniel and Titman, 2006; Jiang 2010). Ho and An (2020) measure INTAN by extracting the residuals from the cross-sectional regression involving the past stock returns of each firm on the firms’ lagged BM ratio and book returns. Depending on the length of investment horizons (which could range from 9 months to 2 years), INTAN is negatively correlated with BM and contributes at least 50% to the value premium in the Chinese stock market. More specifically, as shown in Table 4, for an investment horizon of 9 months, the estimated coefficient of INTAN is -0.126 (t-statistic = 4.772) in Stage 3 of the single decomposition analysis and INTAN contributes 64.8% to the value</w:t>
      </w:r>
      <w:r>
        <w:t xml:space="preserve"> </w:t>
      </w:r>
      <w:r>
        <w:t xml:space="preserve">premium.</w:t>
      </w:r>
    </w:p>
    <w:p>
      <w:pPr>
        <w:pStyle w:val="BodyText"/>
      </w:pPr>
      <w:r>
        <w:t xml:space="preserve">The second factor,</w:t>
      </w:r>
      <w:r>
        <w:t xml:space="preserve"> </w:t>
      </w:r>
      <w:r>
        <w:rPr>
          <w:b/>
        </w:rPr>
        <w:t xml:space="preserve">arbitrage risk</w:t>
      </w:r>
      <w:r>
        <w:t xml:space="preserve">, refers to the risk associated with arbitrage-related transactions; in practice, arbitrage is conducted by a smally group of traders, who could be worried about the fluctuations in their portfolio values (also called arbitrage risk). Idiosyncratic volatility (IVOL) measures the extent of arbitrage risk. Ho and An (2020) measure the IVOL by extracting the residual component from the Fama and French (1993) three-factor model involving the excess daily returns. The single decomposition results in Table 4 of Ho and An (2020) suggest that IVOL is negatively related to BM and contributes up to 49% to the value premium in China’s stock market.</w:t>
      </w:r>
    </w:p>
    <w:p>
      <w:pPr>
        <w:pStyle w:val="BodyText"/>
      </w:pPr>
      <w:r>
        <w:t xml:space="preserve">Based on</w:t>
      </w:r>
      <w:r>
        <w:t xml:space="preserve"> </w:t>
      </w:r>
      <w:r>
        <w:rPr>
          <w:b/>
        </w:rPr>
        <w:t xml:space="preserve">multiple decomposition analysis</w:t>
      </w:r>
      <w:r>
        <w:t xml:space="preserve"> </w:t>
      </w:r>
      <w:r>
        <w:t xml:space="preserve">(Table 5), the estimated coefficient of IVOL does not appear to be significant and INTAN is the dominant contributor to the value premium in the Chinese stock market. In particular, when the investment horizon is one year, INTAN contributes about 67% to the value premium.</w:t>
      </w:r>
    </w:p>
    <w:p>
      <w:pPr>
        <w:pStyle w:val="BodyText"/>
      </w:pPr>
      <w:r>
        <w:t xml:space="preserve">Further analysis of the</w:t>
      </w:r>
      <w:r>
        <w:t xml:space="preserve"> </w:t>
      </w:r>
      <w:r>
        <w:rPr>
          <w:b/>
        </w:rPr>
        <w:t xml:space="preserve">relationship between INTAN and IVOL</w:t>
      </w:r>
      <w:r>
        <w:t xml:space="preserve"> </w:t>
      </w:r>
      <w:r>
        <w:t xml:space="preserve">by Ho and An (2020) suggests that after considering the influence of INTAN on IVOL, IVOL does not seem to contribute substantially to the value premium. As illustrated in Table 7, the component of IVOL that excludes INTAN (</w:t>
      </w:r>
      <w:r>
        <w:rPr>
          <w:b/>
        </w:rPr>
        <w:t xml:space="preserve">IVOLEX</w:t>
      </w:r>
      <w:r>
        <w:t xml:space="preserve">) contributes about 24% to the value premium. This result could suggest that INTAN is the major driving force of the value premium in China’s stock market.</w:t>
      </w:r>
    </w:p>
    <w:p>
      <w:pPr>
        <w:pStyle w:val="Heading2"/>
      </w:pPr>
      <w:bookmarkStart w:id="51" w:name="X9366c9d0e4a8e5005af6f2c1c10d151f95d99c3"/>
      <w:r>
        <w:t xml:space="preserve">Have we solved the idiosyncratic volatility puzzle?</w:t>
      </w:r>
      <w:bookmarkEnd w:id="51"/>
    </w:p>
    <w:p>
      <w:pPr>
        <w:pStyle w:val="FirstParagraph"/>
      </w:pPr>
      <w:r>
        <w:t xml:space="preserve">Journal of Financial Economics 121 (2016) 167-194</w:t>
      </w:r>
    </w:p>
    <w:p>
      <w:pPr>
        <w:pStyle w:val="BodyText"/>
      </w:pPr>
      <w:r>
        <w:t xml:space="preserve">Kewei Hou and Roger Loh</w:t>
      </w:r>
    </w:p>
    <w:p>
      <w:pPr>
        <w:pStyle w:val="Heading3"/>
      </w:pPr>
      <w:bookmarkStart w:id="52" w:name="introduction-1"/>
      <w:r>
        <w:t xml:space="preserve">Introduction</w:t>
      </w:r>
      <w:bookmarkEnd w:id="52"/>
    </w:p>
    <w:p>
      <w:pPr>
        <w:pStyle w:val="FirstParagraph"/>
      </w:pPr>
      <w:r>
        <w:t xml:space="preserve">Ang, Hodrick, Xing, and Zhang (2006) , in a highly influential paper, document</w:t>
      </w:r>
      <w:r>
        <w:t xml:space="preserve"> </w:t>
      </w:r>
      <w:r>
        <w:rPr>
          <w:b/>
        </w:rPr>
        <w:t xml:space="preserve">a negative relation between idiosyncratic volatility and subsequent stock returns</w:t>
      </w:r>
      <w:r>
        <w:t xml:space="preserve">.</w:t>
      </w:r>
    </w:p>
    <w:p>
      <w:pPr>
        <w:numPr>
          <w:ilvl w:val="0"/>
          <w:numId w:val="1031"/>
        </w:numPr>
        <w:pStyle w:val="Compact"/>
      </w:pPr>
      <w:r>
        <w:t xml:space="preserve">Puzzling because according to standard asset-pricing models (e.g. CAPM), non-systematic risk should not be priced (Fama and MacBeth, 1973)</w:t>
      </w:r>
    </w:p>
    <w:p>
      <w:pPr>
        <w:numPr>
          <w:ilvl w:val="0"/>
          <w:numId w:val="1031"/>
        </w:numPr>
        <w:pStyle w:val="Compact"/>
      </w:pPr>
      <w:r>
        <w:t xml:space="preserve">Or if priced, the relation should be positive (Merton, 1987; Hirshleifer, 1988). Investors with undiversified portfolios demand positive premium for holding stocks with high idiosyncratic risk.</w:t>
      </w:r>
    </w:p>
    <w:p>
      <w:pPr>
        <w:pStyle w:val="FirstParagraph"/>
      </w:pPr>
      <w:r>
        <w:t xml:space="preserve">Many papers try to explain the puzzle. But unclear which explanation is best or whether the puzzle is fully explained.</w:t>
      </w:r>
    </w:p>
    <w:p>
      <w:pPr>
        <w:pStyle w:val="BodyText"/>
      </w:pPr>
      <w:r>
        <w:t xml:space="preserve">To date, there has been no comprehensive examination about which explanations best explain the puzzle.</w:t>
      </w:r>
    </w:p>
    <w:p>
      <w:pPr>
        <w:pStyle w:val="BodyText"/>
      </w:pPr>
      <w:r>
        <w:rPr>
          <w:b/>
        </w:rPr>
        <w:t xml:space="preserve">Hou and Loh’s (2016) contribution:</w:t>
      </w:r>
      <w:r>
        <w:t xml:space="preserve"> </w:t>
      </w:r>
      <w:r>
        <w:t xml:space="preserve">Provides a method to objectively quantify the incremental contribution of each existing reason that claims to explain the puzzle.</w:t>
      </w:r>
    </w:p>
    <w:p>
      <w:pPr>
        <w:numPr>
          <w:ilvl w:val="0"/>
          <w:numId w:val="1032"/>
        </w:numPr>
        <w:pStyle w:val="Compact"/>
      </w:pPr>
      <w:r>
        <w:t xml:space="preserve">Objective and agnostic approach</w:t>
      </w:r>
    </w:p>
    <w:p>
      <w:pPr>
        <w:numPr>
          <w:ilvl w:val="1"/>
          <w:numId w:val="1033"/>
        </w:numPr>
        <w:pStyle w:val="Compact"/>
      </w:pPr>
      <w:r>
        <w:t xml:space="preserve">Most papers aim to remove the IVOL puzzle with their favorite key explanation. Hou and Loh (2016) treat each potential candidate explanation seriously, without favorites.</w:t>
      </w:r>
    </w:p>
    <w:p>
      <w:pPr>
        <w:numPr>
          <w:ilvl w:val="1"/>
          <w:numId w:val="1033"/>
        </w:numPr>
        <w:pStyle w:val="Compact"/>
      </w:pPr>
      <w:r>
        <w:t xml:space="preserve">Most papers just aim to make the IVOL coefficient insignificant. Hou and Loh (2016) can</w:t>
      </w:r>
      <w:r>
        <w:t xml:space="preserve"> </w:t>
      </w:r>
      <w:r>
        <w:rPr>
          <w:b/>
        </w:rPr>
        <w:t xml:space="preserve">quantify</w:t>
      </w:r>
      <w:r>
        <w:t xml:space="preserve"> </w:t>
      </w:r>
      <w:r>
        <w:t xml:space="preserve">the fraction of the puzzle that a candidate explains.</w:t>
      </w:r>
    </w:p>
    <w:p>
      <w:pPr>
        <w:numPr>
          <w:ilvl w:val="0"/>
          <w:numId w:val="1032"/>
        </w:numPr>
        <w:pStyle w:val="Compact"/>
      </w:pPr>
      <w:r>
        <w:t xml:space="preserve">Hou and Loh (2016) pit existing explanations against one another</w:t>
      </w:r>
    </w:p>
    <w:p>
      <w:pPr>
        <w:numPr>
          <w:ilvl w:val="1"/>
          <w:numId w:val="1034"/>
        </w:numPr>
        <w:pStyle w:val="Compact"/>
      </w:pPr>
      <w:r>
        <w:t xml:space="preserve">A common framework, standard sample, and fair horse race between explanations.</w:t>
      </w:r>
    </w:p>
    <w:p>
      <w:pPr>
        <w:numPr>
          <w:ilvl w:val="1"/>
          <w:numId w:val="1034"/>
        </w:numPr>
        <w:pStyle w:val="Compact"/>
      </w:pPr>
      <w:r>
        <w:t xml:space="preserve">Existing papers usually do not consider competing explanations.</w:t>
      </w:r>
    </w:p>
    <w:p>
      <w:pPr>
        <w:numPr>
          <w:ilvl w:val="0"/>
          <w:numId w:val="1032"/>
        </w:numPr>
        <w:pStyle w:val="Compact"/>
      </w:pPr>
      <w:r>
        <w:t xml:space="preserve">Hou and Loh’s (2016) method can be used to evaluate any anomaly in asset-pricing.</w:t>
      </w:r>
    </w:p>
    <w:p>
      <w:pPr>
        <w:pStyle w:val="FirstParagraph"/>
      </w:pPr>
      <w:r>
        <w:rPr>
          <w:b/>
        </w:rPr>
        <w:t xml:space="preserve">Candidate explanations</w:t>
      </w:r>
    </w:p>
    <w:p>
      <w:pPr>
        <w:numPr>
          <w:ilvl w:val="0"/>
          <w:numId w:val="1035"/>
        </w:numPr>
        <w:pStyle w:val="Compact"/>
      </w:pPr>
      <w:r>
        <w:t xml:space="preserve">Lottery Preference (Sections 2.2 and 3.3)</w:t>
      </w:r>
    </w:p>
    <w:p>
      <w:pPr>
        <w:numPr>
          <w:ilvl w:val="1"/>
          <w:numId w:val="1036"/>
        </w:numPr>
        <w:pStyle w:val="Compact"/>
      </w:pPr>
      <w:r>
        <w:t xml:space="preserve">Skewness (Barberis &amp; Huang, 2008)</w:t>
      </w:r>
    </w:p>
    <w:p>
      <w:pPr>
        <w:numPr>
          <w:ilvl w:val="1"/>
          <w:numId w:val="1036"/>
        </w:numPr>
        <w:pStyle w:val="Compact"/>
      </w:pPr>
      <w:r>
        <w:t xml:space="preserve">Co-skewness (Chabi-Yo &amp; Yang, 2009)</w:t>
      </w:r>
    </w:p>
    <w:p>
      <w:pPr>
        <w:numPr>
          <w:ilvl w:val="1"/>
          <w:numId w:val="1036"/>
        </w:numPr>
        <w:pStyle w:val="Compact"/>
      </w:pPr>
      <w:r>
        <w:t xml:space="preserve">Expected idiosyncratic skewness (Boyer, Mitton, &amp; Vorkink, 2010)</w:t>
      </w:r>
    </w:p>
    <w:p>
      <w:pPr>
        <w:numPr>
          <w:ilvl w:val="1"/>
          <w:numId w:val="1036"/>
        </w:numPr>
        <w:pStyle w:val="Compact"/>
      </w:pPr>
      <w:r>
        <w:t xml:space="preserve">Maximum daily return (Bali, Cakici, Whitelaw, 2011)</w:t>
      </w:r>
    </w:p>
    <w:p>
      <w:pPr>
        <w:numPr>
          <w:ilvl w:val="1"/>
          <w:numId w:val="1036"/>
        </w:numPr>
        <w:pStyle w:val="Compact"/>
      </w:pPr>
      <w:r>
        <w:t xml:space="preserve">Retail-trading proportion (Han &amp; Kumar, 2013)</w:t>
      </w:r>
    </w:p>
    <w:p>
      <w:pPr>
        <w:numPr>
          <w:ilvl w:val="0"/>
          <w:numId w:val="1035"/>
        </w:numPr>
        <w:pStyle w:val="Compact"/>
      </w:pPr>
      <w:r>
        <w:t xml:space="preserve">Market Frictions (Sections 2.3 and 3.4)</w:t>
      </w:r>
    </w:p>
    <w:p>
      <w:pPr>
        <w:numPr>
          <w:ilvl w:val="1"/>
          <w:numId w:val="1037"/>
        </w:numPr>
        <w:pStyle w:val="Compact"/>
      </w:pPr>
      <w:r>
        <w:t xml:space="preserve">Return reversal effects (Fu, 2009; Huang, Liu, Rhee, &amp; Zhang, 2009)</w:t>
      </w:r>
    </w:p>
    <w:p>
      <w:pPr>
        <w:numPr>
          <w:ilvl w:val="1"/>
          <w:numId w:val="1037"/>
        </w:numPr>
        <w:pStyle w:val="Compact"/>
      </w:pPr>
      <w:r>
        <w:t xml:space="preserve">Amihud (2002) illiquidity (Han &amp; Lesmond, 2011)</w:t>
      </w:r>
    </w:p>
    <w:p>
      <w:pPr>
        <w:numPr>
          <w:ilvl w:val="1"/>
          <w:numId w:val="1037"/>
        </w:numPr>
        <w:pStyle w:val="Compact"/>
      </w:pPr>
      <w:r>
        <w:t xml:space="preserve">Zero-return measure (Han &amp; Lesmond, 2011)</w:t>
      </w:r>
    </w:p>
    <w:p>
      <w:pPr>
        <w:numPr>
          <w:ilvl w:val="1"/>
          <w:numId w:val="1037"/>
        </w:numPr>
        <w:pStyle w:val="Compact"/>
      </w:pPr>
      <w:r>
        <w:t xml:space="preserve">Bid-ask spread (Han &amp; Lesmond, 2011)</w:t>
      </w:r>
    </w:p>
    <w:p>
      <w:pPr>
        <w:numPr>
          <w:ilvl w:val="0"/>
          <w:numId w:val="1035"/>
        </w:numPr>
        <w:pStyle w:val="Compact"/>
      </w:pPr>
      <w:r>
        <w:t xml:space="preserve">Others (Sections 2.4 and 3.5)</w:t>
      </w:r>
    </w:p>
    <w:p>
      <w:pPr>
        <w:numPr>
          <w:ilvl w:val="1"/>
          <w:numId w:val="1038"/>
        </w:numPr>
        <w:pStyle w:val="Compact"/>
      </w:pPr>
      <w:r>
        <w:t xml:space="preserve">Dispersion (Johnson, 2004)</w:t>
      </w:r>
    </w:p>
    <w:p>
      <w:pPr>
        <w:numPr>
          <w:ilvl w:val="1"/>
          <w:numId w:val="1038"/>
        </w:numPr>
        <w:pStyle w:val="Compact"/>
      </w:pPr>
      <w:r>
        <w:t xml:space="preserve">Average variance beta (Chen &amp; Petkova, 2012)</w:t>
      </w:r>
    </w:p>
    <w:p>
      <w:pPr>
        <w:numPr>
          <w:ilvl w:val="1"/>
          <w:numId w:val="1038"/>
        </w:numPr>
        <w:pStyle w:val="Compact"/>
      </w:pPr>
      <w:r>
        <w:t xml:space="preserve">Standardized unexpected earnings (Wong, 2011; Jiang, Xu, &amp; Yao, 2009)</w:t>
      </w:r>
    </w:p>
    <w:p>
      <w:pPr>
        <w:pStyle w:val="Heading3"/>
      </w:pPr>
      <w:bookmarkStart w:id="53" w:name="decomposition-methodology-1"/>
      <w:r>
        <w:t xml:space="preserve">Decomposition methodology</w:t>
      </w:r>
      <w:bookmarkEnd w:id="53"/>
    </w:p>
    <w:p>
      <w:pPr>
        <w:pStyle w:val="FirstParagraph"/>
      </w:pPr>
      <w:r>
        <w:t xml:space="preserve">Start from</w:t>
      </w:r>
      <w:r>
        <w:t xml:space="preserve"> </w:t>
      </w:r>
      <w:r>
        <w:rPr>
          <w:b/>
        </w:rPr>
        <w:t xml:space="preserve">Fama-MacBeth cross-sectional regressions</w:t>
      </w:r>
      <w:r>
        <w:t xml:space="preserve"> </w:t>
      </w:r>
      <w:r>
        <w:t xml:space="preserve">each month</w:t>
      </w:r>
      <w:r>
        <w:t xml:space="preserve"> </w:t>
      </w:r>
      <m:oMath>
        <m:r>
          <m:t>t</m:t>
        </m:r>
      </m:oMath>
      <w:r>
        <w:t xml:space="preserve"> </w:t>
      </w:r>
      <w:r>
        <w:t xml:space="preserve">for all stocks</w:t>
      </w:r>
      <w:r>
        <w:t xml:space="preserve"> </w:t>
      </w:r>
      <m:oMath>
        <m:r>
          <m:t>i</m:t>
        </m:r>
      </m:oMath>
      <w:r>
        <w:t xml:space="preserve">.</w:t>
      </w:r>
    </w:p>
    <w:p>
      <w:pPr>
        <w:pStyle w:val="BodyText"/>
      </w:pPr>
      <m:oMathPara>
        <m:oMathParaPr>
          <m:jc m:val="center"/>
        </m:oMathParaPr>
        <m:oMath>
          <m:sSub>
            <m:e>
              <m:r>
                <m:t>R</m:t>
              </m:r>
            </m:e>
            <m:sub>
              <m:r>
                <m:t>i</m:t>
              </m:r>
              <m:r>
                <m:t>t</m:t>
              </m:r>
            </m:sub>
          </m:sSub>
          <m:r>
            <m:t>=</m:t>
          </m:r>
          <m:sSub>
            <m:e>
              <m:r>
                <m:t>α</m:t>
              </m:r>
            </m:e>
            <m:sub>
              <m:r>
                <m:t>t</m:t>
              </m:r>
            </m:sub>
          </m:sSub>
          <m:r>
            <m:t>+</m:t>
          </m:r>
          <m:sSub>
            <m:e>
              <m:r>
                <m:t>γ</m:t>
              </m:r>
            </m:e>
            <m:sub>
              <m:r>
                <m:t>t</m:t>
              </m:r>
            </m:sub>
          </m:sSub>
          <m:r>
            <m:t>I</m:t>
          </m:r>
          <m:r>
            <m:t>V</m:t>
          </m:r>
          <m:r>
            <m:t>O</m:t>
          </m:r>
          <m:sSub>
            <m:e>
              <m:r>
                <m:t>L</m:t>
              </m:r>
            </m:e>
            <m:sub>
              <m:r>
                <m:t>i</m:t>
              </m:r>
              <m:r>
                <m:t>t</m:t>
              </m:r>
              <m:r>
                <m:t>−</m:t>
              </m:r>
              <m:r>
                <m:t>1</m:t>
              </m:r>
            </m:sub>
          </m:sSub>
          <m:r>
            <m:t>+</m:t>
          </m:r>
          <m:sSub>
            <m:e>
              <m:r>
                <m:t>ε</m:t>
              </m:r>
            </m:e>
            <m:sub>
              <m:r>
                <m:t>i</m:t>
              </m:r>
              <m:r>
                <m:t>t</m:t>
              </m:r>
            </m:sub>
          </m:sSub>
        </m:oMath>
      </m:oMathPara>
    </w:p>
    <w:p>
      <w:pPr>
        <w:pStyle w:val="FirstParagraph"/>
      </w:pPr>
      <w:r>
        <w:t xml:space="preserve">Let</w:t>
      </w:r>
      <w:r>
        <w:t xml:space="preserve"> </w:t>
      </w:r>
      <m:oMath>
        <m:r>
          <m:t>C</m:t>
        </m:r>
        <m:r>
          <m:t>a</m:t>
        </m:r>
        <m:r>
          <m:t>n</m:t>
        </m:r>
        <m:r>
          <m:t>d</m:t>
        </m:r>
        <m:r>
          <m:t>i</m:t>
        </m:r>
        <m:r>
          <m:t>d</m:t>
        </m:r>
        <m:r>
          <m:t>a</m:t>
        </m:r>
        <m:r>
          <m:t>t</m:t>
        </m:r>
        <m:r>
          <m:t>e</m:t>
        </m:r>
      </m:oMath>
      <w:r>
        <w:t xml:space="preserve"> </w:t>
      </w:r>
      <w:r>
        <w:t xml:space="preserve">be a candidate explanation.</w:t>
      </w:r>
      <w:r>
        <w:t xml:space="preserve"> </w:t>
      </w:r>
      <m:oMath>
        <m:r>
          <m:t>C</m:t>
        </m:r>
        <m:r>
          <m:t>a</m:t>
        </m:r>
        <m:r>
          <m:t>n</m:t>
        </m:r>
        <m:r>
          <m:t>d</m:t>
        </m:r>
        <m:r>
          <m:t>i</m:t>
        </m:r>
        <m:r>
          <m:t>d</m:t>
        </m:r>
        <m:r>
          <m:t>a</m:t>
        </m:r>
        <m:r>
          <m:t>t</m:t>
        </m:r>
        <m:sSub>
          <m:e>
            <m:r>
              <m:t>e</m:t>
            </m:r>
          </m:e>
          <m:sub>
            <m:r>
              <m:t>i</m:t>
            </m:r>
            <m:r>
              <m:t>t</m:t>
            </m:r>
            <m:r>
              <m:t>−</m:t>
            </m:r>
            <m:r>
              <m:t>1</m:t>
            </m:r>
          </m:sub>
        </m:sSub>
      </m:oMath>
      <w:r>
        <w:t xml:space="preserve"> </w:t>
      </w:r>
      <w:r>
        <w:t xml:space="preserve">must be correlated with</w:t>
      </w:r>
      <w:r>
        <w:t xml:space="preserve"> </w:t>
      </w:r>
      <m:oMath>
        <m:r>
          <m:t>I</m:t>
        </m:r>
        <m:r>
          <m:t>V</m:t>
        </m:r>
        <m:r>
          <m:t>O</m:t>
        </m:r>
        <m:sSub>
          <m:e>
            <m:r>
              <m:t>L</m:t>
            </m:r>
          </m:e>
          <m:sub>
            <m:r>
              <m:t>i</m:t>
            </m:r>
            <m:r>
              <m:t>t</m:t>
            </m:r>
            <m:r>
              <m:t>−</m:t>
            </m:r>
            <m:r>
              <m:t>1</m:t>
            </m:r>
          </m:sub>
        </m:sSub>
      </m:oMath>
      <w:r>
        <w:t xml:space="preserve"> </w:t>
      </w:r>
      <w:r>
        <w:t xml:space="preserve">to explain the IVOL puzzle.</w:t>
      </w:r>
    </w:p>
    <w:p>
      <w:pPr>
        <w:pStyle w:val="BodyText"/>
      </w:pPr>
      <m:oMathPara>
        <m:oMathParaPr>
          <m:jc m:val="center"/>
        </m:oMathParaPr>
        <m:oMath>
          <m:r>
            <m:t>I</m:t>
          </m:r>
          <m:r>
            <m:t>V</m:t>
          </m:r>
          <m:r>
            <m:t>O</m:t>
          </m:r>
          <m:sSub>
            <m:e>
              <m:r>
                <m:t>L</m:t>
              </m:r>
            </m:e>
            <m:sub>
              <m:r>
                <m:t>i</m:t>
              </m:r>
              <m:r>
                <m:t>t</m:t>
              </m:r>
              <m:r>
                <m:t>−</m:t>
              </m:r>
              <m:r>
                <m:t>1</m:t>
              </m:r>
            </m:sub>
          </m:sSub>
          <m:r>
            <m:t>=</m:t>
          </m:r>
          <m:sSub>
            <m:e>
              <m:r>
                <m:t>a</m:t>
              </m:r>
            </m:e>
            <m:sub>
              <m:r>
                <m:t>t</m:t>
              </m:r>
              <m:r>
                <m:t>−</m:t>
              </m:r>
              <m:r>
                <m:t>1</m:t>
              </m:r>
            </m:sub>
          </m:sSub>
          <m:r>
            <m:t>+</m:t>
          </m:r>
          <m:sSub>
            <m:e>
              <m:r>
                <m:t>δ</m:t>
              </m:r>
            </m:e>
            <m:sub>
              <m:r>
                <m:t>t</m:t>
              </m:r>
              <m:r>
                <m:t>−</m:t>
              </m:r>
              <m:r>
                <m:t>1</m:t>
              </m:r>
            </m:sub>
          </m:sSub>
          <m:r>
            <m:t>C</m:t>
          </m:r>
          <m:r>
            <m:t>a</m:t>
          </m:r>
          <m:r>
            <m:t>n</m:t>
          </m:r>
          <m:r>
            <m:t>d</m:t>
          </m:r>
          <m:r>
            <m:t>i</m:t>
          </m:r>
          <m:r>
            <m:t>d</m:t>
          </m:r>
          <m:r>
            <m:t>a</m:t>
          </m:r>
          <m:r>
            <m:t>t</m:t>
          </m:r>
          <m:sSub>
            <m:e>
              <m:r>
                <m:t>e</m:t>
              </m:r>
            </m:e>
            <m:sub>
              <m:r>
                <m:t>i</m:t>
              </m:r>
              <m:r>
                <m:t>t</m:t>
              </m:r>
              <m:r>
                <m:t>−</m:t>
              </m:r>
              <m:r>
                <m:t>1</m:t>
              </m:r>
            </m:sub>
          </m:sSub>
          <m:r>
            <m:t>+</m:t>
          </m:r>
          <m:sSub>
            <m:e>
              <m:r>
                <m:t>μ</m:t>
              </m:r>
            </m:e>
            <m:sub>
              <m:r>
                <m:t>i</m:t>
              </m:r>
              <m:r>
                <m:t>t</m:t>
              </m:r>
              <m:r>
                <m:t>−</m:t>
              </m:r>
              <m:r>
                <m:t>1</m:t>
              </m:r>
            </m:sub>
          </m:sSub>
        </m:oMath>
      </m:oMathPara>
    </w:p>
    <w:p>
      <w:pPr>
        <w:pStyle w:val="FirstParagraph"/>
      </w:pPr>
      <w:r>
        <w:t xml:space="preserve">From above, we can decompose</w:t>
      </w:r>
      <w:r>
        <w:t xml:space="preserve"> </w:t>
      </w:r>
      <m:oMath>
        <m:r>
          <m:t>I</m:t>
        </m:r>
        <m:r>
          <m:t>V</m:t>
        </m:r>
        <m:r>
          <m:t>O</m:t>
        </m:r>
        <m:sSub>
          <m:e>
            <m:r>
              <m:t>L</m:t>
            </m:r>
          </m:e>
          <m:sub>
            <m:r>
              <m:t>i</m:t>
            </m:r>
            <m:r>
              <m:t>t</m:t>
            </m:r>
            <m:r>
              <m:t>−</m:t>
            </m:r>
            <m:r>
              <m:t>1</m:t>
            </m:r>
          </m:sub>
        </m:sSub>
      </m:oMath>
      <w:r>
        <w:t xml:space="preserve"> </w:t>
      </w:r>
      <w:r>
        <w:t xml:space="preserve">into 2 components,</w:t>
      </w:r>
      <w:r>
        <w:t xml:space="preserve"> </w:t>
      </w:r>
      <m:oMath>
        <m:d>
          <m:dPr>
            <m:begChr m:val="("/>
            <m:endChr m:val=")"/>
            <m:grow/>
          </m:dPr>
          <m:e>
            <m:sSub>
              <m:e>
                <m:r>
                  <m:t>δ</m:t>
                </m:r>
              </m:e>
              <m:sub>
                <m:r>
                  <m:t>t</m:t>
                </m:r>
                <m:r>
                  <m:t>−</m:t>
                </m:r>
                <m:r>
                  <m:t>1</m:t>
                </m:r>
              </m:sub>
            </m:sSub>
            <m:r>
              <m:t>C</m:t>
            </m:r>
            <m:r>
              <m:t>a</m:t>
            </m:r>
            <m:r>
              <m:t>n</m:t>
            </m:r>
            <m:r>
              <m:t>d</m:t>
            </m:r>
            <m:r>
              <m:t>i</m:t>
            </m:r>
            <m:r>
              <m:t>d</m:t>
            </m:r>
            <m:r>
              <m:t>a</m:t>
            </m:r>
            <m:r>
              <m:t>t</m:t>
            </m:r>
            <m:sSub>
              <m:e>
                <m:r>
                  <m:t>e</m:t>
                </m:r>
              </m:e>
              <m:sub>
                <m:r>
                  <m:t>i</m:t>
                </m:r>
                <m:r>
                  <m:t>t</m:t>
                </m:r>
                <m:r>
                  <m:t>−</m:t>
                </m:r>
                <m:r>
                  <m:t>1</m:t>
                </m:r>
              </m:sub>
            </m:sSub>
          </m:e>
        </m:d>
      </m:oMath>
      <w:r>
        <w:t xml:space="preserve"> </w:t>
      </w:r>
      <w:r>
        <w:t xml:space="preserve">and</w:t>
      </w:r>
      <w:r>
        <w:t xml:space="preserve"> </w:t>
      </w:r>
      <m:oMath>
        <m:d>
          <m:dPr>
            <m:begChr m:val="("/>
            <m:endChr m:val=")"/>
            <m:grow/>
          </m:dPr>
          <m:e>
            <m:sSub>
              <m:e>
                <m:r>
                  <m:t>a</m:t>
                </m:r>
              </m:e>
              <m:sub>
                <m:r>
                  <m:t>t</m:t>
                </m:r>
                <m:r>
                  <m:t>−</m:t>
                </m:r>
                <m:r>
                  <m:t>1</m:t>
                </m:r>
              </m:sub>
            </m:sSub>
            <m:r>
              <m:t>+</m:t>
            </m:r>
            <m:sSub>
              <m:e>
                <m:r>
                  <m:t>μ</m:t>
                </m:r>
              </m:e>
              <m:sub>
                <m:r>
                  <m:t>i</m:t>
                </m:r>
                <m:r>
                  <m:t>t</m:t>
                </m:r>
                <m:r>
                  <m:t>−</m:t>
                </m:r>
                <m:r>
                  <m:t>1</m:t>
                </m:r>
              </m:sub>
            </m:sSub>
          </m:e>
        </m:d>
      </m:oMath>
      <w:r>
        <w:t xml:space="preserve">.</w:t>
      </w:r>
    </w:p>
    <w:p>
      <w:pPr>
        <w:numPr>
          <w:ilvl w:val="0"/>
          <w:numId w:val="1039"/>
        </w:numPr>
        <w:pStyle w:val="Compact"/>
      </w:pPr>
      <w:r>
        <w:t xml:space="preserve">First is the component of IVOL related to the candidate.</w:t>
      </w:r>
    </w:p>
    <w:p>
      <w:pPr>
        <w:numPr>
          <w:ilvl w:val="0"/>
          <w:numId w:val="1039"/>
        </w:numPr>
        <w:pStyle w:val="Compact"/>
      </w:pPr>
      <w:r>
        <w:t xml:space="preserve">Second is a residual component unrelated to the candidate.</w:t>
      </w:r>
    </w:p>
    <w:p>
      <w:pPr>
        <w:pStyle w:val="FirstParagraph"/>
      </w:pPr>
      <w:r>
        <w:t xml:space="preserve">The final step is to use the linearity of covariances to decompose the estimated</w:t>
      </w:r>
      <w:r>
        <w:t xml:space="preserve"> </w:t>
      </w:r>
      <m:oMath>
        <m:sSub>
          <m:e>
            <m:r>
              <m:t>γ</m:t>
            </m:r>
          </m:e>
          <m:sub>
            <m:r>
              <m:t>t</m:t>
            </m:r>
          </m:sub>
        </m:sSub>
      </m:oMath>
      <w:r>
        <w:t xml:space="preserve"> </w:t>
      </w:r>
      <w:r>
        <w:t xml:space="preserve">coefficient from</w:t>
      </w:r>
      <w:r>
        <w:t xml:space="preserve"> </w:t>
      </w:r>
      <m:oMath>
        <m:sSub>
          <m:e>
            <m:r>
              <m:t>R</m:t>
            </m:r>
          </m:e>
          <m:sub>
            <m:r>
              <m:t>i</m:t>
            </m:r>
            <m:r>
              <m:t>t</m:t>
            </m:r>
          </m:sub>
        </m:sSub>
        <m:r>
          <m:t>=</m:t>
        </m:r>
        <m:sSub>
          <m:e>
            <m:r>
              <m:t>α</m:t>
            </m:r>
          </m:e>
          <m:sub>
            <m:r>
              <m:t>t</m:t>
            </m:r>
          </m:sub>
        </m:sSub>
        <m:r>
          <m:t>+</m:t>
        </m:r>
        <m:sSub>
          <m:e>
            <m:r>
              <m:t>γ</m:t>
            </m:r>
          </m:e>
          <m:sub>
            <m:r>
              <m:t>t</m:t>
            </m:r>
          </m:sub>
        </m:sSub>
        <m:r>
          <m:t>I</m:t>
        </m:r>
        <m:r>
          <m:t>V</m:t>
        </m:r>
        <m:r>
          <m:t>O</m:t>
        </m:r>
        <m:sSub>
          <m:e>
            <m:r>
              <m:t>L</m:t>
            </m:r>
          </m:e>
          <m:sub>
            <m:r>
              <m:t>i</m:t>
            </m:r>
            <m:r>
              <m:t>t</m:t>
            </m:r>
            <m:r>
              <m:t>−</m:t>
            </m:r>
            <m:r>
              <m:t>1</m:t>
            </m:r>
          </m:sub>
        </m:sSub>
        <m:r>
          <m:t>+</m:t>
        </m:r>
        <m:sSub>
          <m:e>
            <m:r>
              <m:t>ε</m:t>
            </m:r>
          </m:e>
          <m:sub>
            <m:r>
              <m:t>i</m:t>
            </m:r>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γ</m:t>
                    </m:r>
                  </m:e>
                  <m:sub>
                    <m:r>
                      <m:t>t</m:t>
                    </m:r>
                  </m:sub>
                </m:sSub>
                <m:r>
                  <m:t>=</m:t>
                </m:r>
              </m:e>
              <m:e>
                <m:f>
                  <m:fPr>
                    <m:type m:val="bar"/>
                  </m:fPr>
                  <m:num>
                    <m:r>
                      <m:rPr>
                        <m:nor/>
                        <m:sty m:val="p"/>
                      </m:rPr>
                      <m:t>Cov</m:t>
                    </m:r>
                    <m:d>
                      <m:dPr>
                        <m:begChr m:val="["/>
                        <m:endChr m:val="]"/>
                        <m:grow/>
                      </m:dPr>
                      <m:e>
                        <m:sSub>
                          <m:e>
                            <m:r>
                              <m:t>R</m:t>
                            </m:r>
                          </m:e>
                          <m:sub>
                            <m:r>
                              <m:t>i</m:t>
                            </m:r>
                            <m:r>
                              <m:t>t</m:t>
                            </m:r>
                          </m:sub>
                        </m:sSub>
                        <m:r>
                          <m:t>,</m:t>
                        </m:r>
                        <m:r>
                          <m:t>I</m:t>
                        </m:r>
                        <m:r>
                          <m:t>V</m:t>
                        </m:r>
                        <m:r>
                          <m:t>O</m:t>
                        </m:r>
                        <m:sSub>
                          <m:e>
                            <m:r>
                              <m:t>L</m:t>
                            </m:r>
                          </m:e>
                          <m:sub>
                            <m:r>
                              <m:t>i</m:t>
                            </m:r>
                            <m:r>
                              <m:t>t</m:t>
                            </m:r>
                            <m:r>
                              <m:t>−</m:t>
                            </m:r>
                            <m:r>
                              <m:t>1</m:t>
                            </m:r>
                          </m:sub>
                        </m:sSub>
                      </m:e>
                    </m:d>
                  </m:num>
                  <m:den>
                    <m:r>
                      <m:rPr>
                        <m:nor/>
                        <m:sty m:val="p"/>
                      </m:rPr>
                      <m:t>Var</m:t>
                    </m:r>
                    <m:d>
                      <m:dPr>
                        <m:begChr m:val="["/>
                        <m:endChr m:val="]"/>
                        <m:grow/>
                      </m:dPr>
                      <m:e>
                        <m:r>
                          <m:t>I</m:t>
                        </m:r>
                        <m:r>
                          <m:t>V</m:t>
                        </m:r>
                        <m:r>
                          <m:t>O</m:t>
                        </m:r>
                        <m:sSub>
                          <m:e>
                            <m:r>
                              <m:t>L</m:t>
                            </m:r>
                          </m:e>
                          <m:sub>
                            <m:r>
                              <m:t>i</m:t>
                            </m:r>
                            <m:r>
                              <m:t>t</m:t>
                            </m:r>
                            <m:r>
                              <m:t>−</m:t>
                            </m:r>
                            <m:r>
                              <m:t>1</m:t>
                            </m:r>
                          </m:sub>
                        </m:sSub>
                      </m:e>
                    </m:d>
                  </m:den>
                </m:f>
              </m:e>
            </m:mr>
            <m:mr>
              <m:e>
                <m:r>
                  <m:t>=</m:t>
                </m:r>
              </m:e>
              <m:e>
                <m:f>
                  <m:fPr>
                    <m:type m:val="bar"/>
                  </m:fPr>
                  <m:num>
                    <m:r>
                      <m:rPr>
                        <m:nor/>
                        <m:sty m:val="p"/>
                      </m:rPr>
                      <m:t>Cov</m:t>
                    </m:r>
                    <m:d>
                      <m:dPr>
                        <m:begChr m:val="["/>
                        <m:endChr m:val="]"/>
                        <m:grow/>
                      </m:dPr>
                      <m:e>
                        <m:sSub>
                          <m:e>
                            <m:r>
                              <m:t>R</m:t>
                            </m:r>
                          </m:e>
                          <m:sub>
                            <m:r>
                              <m:t>i</m:t>
                            </m:r>
                            <m:r>
                              <m:t>t</m:t>
                            </m:r>
                          </m:sub>
                        </m:sSub>
                        <m:r>
                          <m:t>,</m:t>
                        </m:r>
                        <m:r>
                          <m:t> </m:t>
                        </m:r>
                        <m:d>
                          <m:dPr>
                            <m:begChr m:val="("/>
                            <m:endChr m:val=")"/>
                            <m:grow/>
                          </m:dPr>
                          <m:e>
                            <m:sSub>
                              <m:e>
                                <m:r>
                                  <m:t>δ</m:t>
                                </m:r>
                              </m:e>
                              <m:sub>
                                <m:r>
                                  <m:t>t</m:t>
                                </m:r>
                                <m:r>
                                  <m:t>−</m:t>
                                </m:r>
                                <m:r>
                                  <m:t>1</m:t>
                                </m:r>
                              </m:sub>
                            </m:sSub>
                            <m:sSub>
                              <m:e>
                                <m:r>
                                  <m:rPr>
                                    <m:nor/>
                                    <m:sty m:val="p"/>
                                  </m:rPr>
                                  <m:t> Candidate </m:t>
                                </m:r>
                              </m:e>
                              <m:sub>
                                <m:r>
                                  <m:t>i</m:t>
                                </m:r>
                                <m:r>
                                  <m:t>t</m:t>
                                </m:r>
                                <m:r>
                                  <m:t>−</m:t>
                                </m:r>
                                <m:r>
                                  <m:t>1</m:t>
                                </m:r>
                              </m:sub>
                            </m:sSub>
                            <m:r>
                              <m:t>+</m:t>
                            </m:r>
                            <m:sSub>
                              <m:e>
                                <m:r>
                                  <m:t>a</m:t>
                                </m:r>
                              </m:e>
                              <m:sub>
                                <m:r>
                                  <m:t>t</m:t>
                                </m:r>
                                <m:r>
                                  <m:t>−</m:t>
                                </m:r>
                                <m:r>
                                  <m:t>1</m:t>
                                </m:r>
                              </m:sub>
                            </m:sSub>
                            <m:r>
                              <m:t>+</m:t>
                            </m:r>
                            <m:sSub>
                              <m:e>
                                <m:r>
                                  <m:t>μ</m:t>
                                </m:r>
                              </m:e>
                              <m:sub>
                                <m:r>
                                  <m:t>i</m:t>
                                </m:r>
                                <m:r>
                                  <m:t>t</m:t>
                                </m:r>
                                <m:r>
                                  <m:t>−</m:t>
                                </m:r>
                                <m:r>
                                  <m:t>1</m:t>
                                </m:r>
                              </m:sub>
                            </m:sSub>
                          </m:e>
                        </m:d>
                      </m:e>
                    </m:d>
                  </m:num>
                  <m:den>
                    <m:r>
                      <m:rPr>
                        <m:nor/>
                        <m:sty m:val="p"/>
                      </m:rPr>
                      <m:t>Var</m:t>
                    </m:r>
                    <m:d>
                      <m:dPr>
                        <m:begChr m:val="["/>
                        <m:endChr m:val="]"/>
                        <m:grow/>
                      </m:dPr>
                      <m:e>
                        <m:r>
                          <m:t>I</m:t>
                        </m:r>
                        <m:r>
                          <m:t>V</m:t>
                        </m:r>
                        <m:r>
                          <m:t>O</m:t>
                        </m:r>
                        <m:sSub>
                          <m:e>
                            <m:r>
                              <m:t>L</m:t>
                            </m:r>
                          </m:e>
                          <m:sub>
                            <m:r>
                              <m:t>i</m:t>
                            </m:r>
                            <m:r>
                              <m:t>t</m:t>
                            </m:r>
                            <m:r>
                              <m:t>−</m:t>
                            </m:r>
                            <m:r>
                              <m:t>1</m:t>
                            </m:r>
                          </m:sub>
                        </m:sSub>
                      </m:e>
                    </m:d>
                  </m:den>
                </m:f>
              </m:e>
            </m:mr>
            <m:mr>
              <m:e>
                <m:r>
                  <m:t>=</m:t>
                </m:r>
              </m:e>
              <m:e>
                <m:f>
                  <m:fPr>
                    <m:type m:val="bar"/>
                  </m:fPr>
                  <m:num>
                    <m:r>
                      <m:rPr>
                        <m:nor/>
                        <m:sty m:val="p"/>
                      </m:rPr>
                      <m:t>Cov</m:t>
                    </m:r>
                    <m:d>
                      <m:dPr>
                        <m:begChr m:val="["/>
                        <m:endChr m:val="]"/>
                        <m:grow/>
                      </m:dPr>
                      <m:e>
                        <m:sSub>
                          <m:e>
                            <m:r>
                              <m:t>R</m:t>
                            </m:r>
                          </m:e>
                          <m:sub>
                            <m:r>
                              <m:t>i</m:t>
                            </m:r>
                            <m:r>
                              <m:t>t</m:t>
                            </m:r>
                          </m:sub>
                        </m:sSub>
                        <m:r>
                          <m:t>,</m:t>
                        </m:r>
                        <m:r>
                          <m:t> </m:t>
                        </m:r>
                        <m:sSub>
                          <m:e>
                            <m:r>
                              <m:t>δ</m:t>
                            </m:r>
                          </m:e>
                          <m:sub>
                            <m:r>
                              <m:t>t</m:t>
                            </m:r>
                            <m:r>
                              <m:t>−</m:t>
                            </m:r>
                            <m:r>
                              <m:t>1</m:t>
                            </m:r>
                          </m:sub>
                        </m:sSub>
                        <m:sSub>
                          <m:e>
                            <m:r>
                              <m:rPr>
                                <m:nor/>
                                <m:sty m:val="p"/>
                              </m:rPr>
                              <m:t> Candidate </m:t>
                            </m:r>
                          </m:e>
                          <m:sub>
                            <m:r>
                              <m:t>i</m:t>
                            </m:r>
                            <m:r>
                              <m:t>t</m:t>
                            </m:r>
                            <m:r>
                              <m:t>−</m:t>
                            </m:r>
                            <m:r>
                              <m:t>1</m:t>
                            </m:r>
                          </m:sub>
                        </m:sSub>
                      </m:e>
                    </m:d>
                  </m:num>
                  <m:den>
                    <m:r>
                      <m:rPr>
                        <m:nor/>
                        <m:sty m:val="p"/>
                      </m:rPr>
                      <m:t>Var</m:t>
                    </m:r>
                    <m:d>
                      <m:dPr>
                        <m:begChr m:val="["/>
                        <m:endChr m:val="]"/>
                        <m:grow/>
                      </m:dPr>
                      <m:e>
                        <m:r>
                          <m:t>I</m:t>
                        </m:r>
                        <m:r>
                          <m:t>V</m:t>
                        </m:r>
                        <m:r>
                          <m:t>O</m:t>
                        </m:r>
                        <m:sSub>
                          <m:e>
                            <m:r>
                              <m:t>L</m:t>
                            </m:r>
                          </m:e>
                          <m:sub>
                            <m:r>
                              <m:t>i</m:t>
                            </m:r>
                            <m:r>
                              <m:t>t</m:t>
                            </m:r>
                            <m:r>
                              <m:t>−</m:t>
                            </m:r>
                            <m:r>
                              <m:t>1</m:t>
                            </m:r>
                          </m:sub>
                        </m:sSub>
                      </m:e>
                    </m:d>
                  </m:den>
                </m:f>
                <m:r>
                  <m:t>+</m:t>
                </m:r>
                <m:f>
                  <m:fPr>
                    <m:type m:val="bar"/>
                  </m:fPr>
                  <m:num>
                    <m:r>
                      <m:rPr>
                        <m:nor/>
                        <m:sty m:val="p"/>
                      </m:rPr>
                      <m:t>Cov</m:t>
                    </m:r>
                    <m:d>
                      <m:dPr>
                        <m:begChr m:val="["/>
                        <m:endChr m:val="]"/>
                        <m:grow/>
                      </m:dPr>
                      <m:e>
                        <m:sSub>
                          <m:e>
                            <m:r>
                              <m:t>R</m:t>
                            </m:r>
                          </m:e>
                          <m:sub>
                            <m:r>
                              <m:t>i</m:t>
                            </m:r>
                            <m:r>
                              <m:t>t</m:t>
                            </m:r>
                          </m:sub>
                        </m:sSub>
                        <m:r>
                          <m:t>,</m:t>
                        </m:r>
                        <m:r>
                          <m:t> </m:t>
                        </m:r>
                        <m:d>
                          <m:dPr>
                            <m:begChr m:val="("/>
                            <m:endChr m:val=")"/>
                            <m:grow/>
                          </m:dPr>
                          <m:e>
                            <m:sSub>
                              <m:e>
                                <m:r>
                                  <m:t>a</m:t>
                                </m:r>
                              </m:e>
                              <m:sub>
                                <m:r>
                                  <m:t>t</m:t>
                                </m:r>
                                <m:r>
                                  <m:t>−</m:t>
                                </m:r>
                                <m:r>
                                  <m:t>1</m:t>
                                </m:r>
                              </m:sub>
                            </m:sSub>
                            <m:r>
                              <m:t>+</m:t>
                            </m:r>
                            <m:sSub>
                              <m:e>
                                <m:r>
                                  <m:t>μ</m:t>
                                </m:r>
                              </m:e>
                              <m:sub>
                                <m:r>
                                  <m:t>i</m:t>
                                </m:r>
                                <m:r>
                                  <m:t>t</m:t>
                                </m:r>
                                <m:r>
                                  <m:t>−</m:t>
                                </m:r>
                                <m:r>
                                  <m:t>1</m:t>
                                </m:r>
                              </m:sub>
                            </m:sSub>
                          </m:e>
                        </m:d>
                      </m:e>
                    </m:d>
                  </m:num>
                  <m:den>
                    <m:r>
                      <m:rPr>
                        <m:nor/>
                        <m:sty m:val="p"/>
                      </m:rPr>
                      <m:t>Var</m:t>
                    </m:r>
                    <m:d>
                      <m:dPr>
                        <m:begChr m:val="["/>
                        <m:endChr m:val="]"/>
                        <m:grow/>
                      </m:dPr>
                      <m:e>
                        <m:r>
                          <m:t>I</m:t>
                        </m:r>
                        <m:r>
                          <m:t>V</m:t>
                        </m:r>
                        <m:r>
                          <m:t>O</m:t>
                        </m:r>
                        <m:sSub>
                          <m:e>
                            <m:r>
                              <m:t>L</m:t>
                            </m:r>
                          </m:e>
                          <m:sub>
                            <m:r>
                              <m:t>i</m:t>
                            </m:r>
                            <m:r>
                              <m:t>t</m:t>
                            </m:r>
                            <m:r>
                              <m:t>−</m:t>
                            </m:r>
                            <m:r>
                              <m:t>1</m:t>
                            </m:r>
                          </m:sub>
                        </m:sSub>
                      </m:e>
                    </m:d>
                  </m:den>
                </m:f>
              </m:e>
            </m:mr>
            <m:mr>
              <m:e>
                <m:r>
                  <m:t>=</m:t>
                </m:r>
              </m:e>
              <m:e>
                <m:sSubSup>
                  <m:e>
                    <m:r>
                      <m:t>γ</m:t>
                    </m:r>
                  </m:e>
                  <m:sub>
                    <m:r>
                      <m:t>t</m:t>
                    </m:r>
                  </m:sub>
                  <m:sup>
                    <m:r>
                      <m:t>C</m:t>
                    </m:r>
                  </m:sup>
                </m:sSubSup>
                <m:r>
                  <m:t>+</m:t>
                </m:r>
                <m:sSubSup>
                  <m:e>
                    <m:r>
                      <m:t>γ</m:t>
                    </m:r>
                  </m:e>
                  <m:sub>
                    <m:r>
                      <m:t>t</m:t>
                    </m:r>
                  </m:sub>
                  <m:sup>
                    <m:r>
                      <m:t>R</m:t>
                    </m:r>
                  </m:sup>
                </m:sSubSup>
              </m:e>
            </m:mr>
          </m:m>
        </m:oMath>
      </m:oMathPara>
    </w:p>
    <w:p>
      <w:pPr>
        <w:pStyle w:val="FirstParagraph"/>
      </w:pPr>
      <m:oMath>
        <m:sSubSup>
          <m:e>
            <m:r>
              <m:t>γ</m:t>
            </m:r>
          </m:e>
          <m:sub>
            <m:r>
              <m:t>t</m:t>
            </m:r>
          </m:sub>
          <m:sup>
            <m:r>
              <m:t>C</m:t>
            </m:r>
          </m:sup>
        </m:sSubSup>
        <m:r>
          <m:t>/</m:t>
        </m:r>
        <m:sSub>
          <m:e>
            <m:r>
              <m:t>γ</m:t>
            </m:r>
          </m:e>
          <m:sub>
            <m:r>
              <m:t>t</m:t>
            </m:r>
          </m:sub>
        </m:sSub>
      </m:oMath>
      <w:r>
        <w:t xml:space="preserve"> </w:t>
      </w:r>
      <w:r>
        <w:t xml:space="preserve">is the fraction explained by the Candidate variable.</w:t>
      </w:r>
    </w:p>
    <w:p>
      <w:pPr>
        <w:pStyle w:val="Heading4"/>
      </w:pPr>
      <w:bookmarkStart w:id="54" w:name="relating-to-the-conventional-approach"/>
      <w:r>
        <w:t xml:space="preserve">Relating to the conventional approach</w:t>
      </w:r>
      <w:bookmarkEnd w:id="54"/>
    </w:p>
    <w:p>
      <w:pPr>
        <w:pStyle w:val="FirstParagraph"/>
      </w:pPr>
      <w:r>
        <w:t xml:space="preserve">Conventional approach:</w:t>
      </w:r>
    </w:p>
    <w:p>
      <w:pPr>
        <w:pStyle w:val="BodyText"/>
      </w:pPr>
      <m:oMathPara>
        <m:oMathParaPr>
          <m:jc m:val="center"/>
        </m:oMathParaPr>
        <m:oMath>
          <m:sSub>
            <m:e>
              <m:r>
                <m:t>R</m:t>
              </m:r>
            </m:e>
            <m:sub>
              <m:r>
                <m:t>i</m:t>
              </m:r>
              <m:r>
                <m:t>t</m:t>
              </m:r>
            </m:sub>
          </m:sSub>
          <m:r>
            <m:t>=</m:t>
          </m:r>
          <m:sSub>
            <m:e>
              <m:acc>
                <m:accPr>
                  <m:chr m:val="̃"/>
                </m:accPr>
                <m:e>
                  <m:r>
                    <m:t>α</m:t>
                  </m:r>
                </m:e>
              </m:acc>
            </m:e>
            <m:sub>
              <m:r>
                <m:t>t</m:t>
              </m:r>
            </m:sub>
          </m:sSub>
          <m:r>
            <m:t>+</m:t>
          </m:r>
          <m:sSubSup>
            <m:e>
              <m:acc>
                <m:accPr>
                  <m:chr m:val="̃"/>
                </m:accPr>
                <m:e>
                  <m:r>
                    <m:t>γ</m:t>
                  </m:r>
                </m:e>
              </m:acc>
            </m:e>
            <m:sub>
              <m:r>
                <m:t>t</m:t>
              </m:r>
            </m:sub>
            <m:sup>
              <m:r>
                <m:t>R</m:t>
              </m:r>
            </m:sup>
          </m:sSubSup>
          <m:r>
            <m:t>I</m:t>
          </m:r>
          <m:r>
            <m:t>V</m:t>
          </m:r>
          <m:r>
            <m:t>O</m:t>
          </m:r>
          <m:sSub>
            <m:e>
              <m:r>
                <m:t>L</m:t>
              </m:r>
            </m:e>
            <m:sub>
              <m:r>
                <m:t>i</m:t>
              </m:r>
              <m:r>
                <m:t>t</m:t>
              </m:r>
              <m:r>
                <m:t>−</m:t>
              </m:r>
              <m:r>
                <m:t>1</m:t>
              </m:r>
            </m:sub>
          </m:sSub>
          <m:r>
            <m:t>+</m:t>
          </m:r>
          <m:sSubSup>
            <m:e>
              <m:acc>
                <m:accPr>
                  <m:chr m:val="̃"/>
                </m:accPr>
                <m:e>
                  <m:r>
                    <m:t>γ</m:t>
                  </m:r>
                </m:e>
              </m:acc>
            </m:e>
            <m:sub>
              <m:r>
                <m:t>t</m:t>
              </m:r>
            </m:sub>
            <m:sup>
              <m:r>
                <m:t>C</m:t>
              </m:r>
            </m:sup>
          </m:sSubSup>
          <m:sSub>
            <m:e>
              <m:r>
                <m:t>C</m:t>
              </m:r>
            </m:e>
            <m:sub>
              <m:r>
                <m:t>i</m:t>
              </m:r>
              <m:r>
                <m:t>t</m:t>
              </m:r>
              <m:r>
                <m:t>−</m:t>
              </m:r>
              <m:r>
                <m:t>1</m:t>
              </m:r>
            </m:sub>
          </m:sSub>
          <m:r>
            <m:t>+</m:t>
          </m:r>
          <m:sSub>
            <m:e>
              <m:acc>
                <m:accPr>
                  <m:chr m:val="̃"/>
                </m:accPr>
                <m:e>
                  <m:r>
                    <m:t>ϵ</m:t>
                  </m:r>
                </m:e>
              </m:acc>
            </m:e>
            <m:sub>
              <m:r>
                <m:t>i</m:t>
              </m:r>
              <m:r>
                <m:t>t</m:t>
              </m:r>
            </m:sub>
          </m:sSub>
        </m:oMath>
      </m:oMathPara>
    </w:p>
    <w:p>
      <w:pPr>
        <w:pStyle w:val="FirstParagraph"/>
      </w:pPr>
      <w:r>
        <w:t xml:space="preserve">Which can be re-written as:</w:t>
      </w:r>
    </w:p>
    <w:p>
      <w:pPr>
        <w:pStyle w:val="BodyText"/>
      </w:pPr>
      <m:oMathPara>
        <m:oMathParaPr>
          <m:jc m:val="center"/>
        </m:oMathParaPr>
        <m:oMath>
          <m:m>
            <m:mPr>
              <m:baseJc m:val="center"/>
              <m:plcHide m:val="1"/>
              <m:mcs>
                <m:mc>
                  <m:mcPr>
                    <m:mcJc m:val="left"/>
                    <m:count m:val="1"/>
                  </m:mcPr>
                </m:mc>
              </m:mcs>
            </m:mPr>
            <m:mr>
              <m:e>
                <m:sSub>
                  <m:e>
                    <m:r>
                      <m:t>R</m:t>
                    </m:r>
                  </m:e>
                  <m:sub>
                    <m:r>
                      <m:t>i</m:t>
                    </m:r>
                    <m:r>
                      <m:t>t</m:t>
                    </m:r>
                  </m:sub>
                </m:sSub>
                <m:r>
                  <m:t>=</m:t>
                </m:r>
                <m:sSub>
                  <m:e>
                    <m:acc>
                      <m:accPr>
                        <m:chr m:val="̃"/>
                      </m:accPr>
                      <m:e>
                        <m:r>
                          <m:t>α</m:t>
                        </m:r>
                      </m:e>
                    </m:acc>
                  </m:e>
                  <m:sub>
                    <m:r>
                      <m:t>t</m:t>
                    </m:r>
                  </m:sub>
                </m:sSub>
                <m:r>
                  <m:t>+</m:t>
                </m:r>
                <m:sSubSup>
                  <m:e>
                    <m:acc>
                      <m:accPr>
                        <m:chr m:val="̃"/>
                      </m:accPr>
                      <m:e>
                        <m:r>
                          <m:t>γ</m:t>
                        </m:r>
                      </m:e>
                    </m:acc>
                  </m:e>
                  <m:sub>
                    <m:r>
                      <m:t>t</m:t>
                    </m:r>
                  </m:sub>
                  <m:sup>
                    <m:r>
                      <m:t>R</m:t>
                    </m:r>
                  </m:sup>
                </m:sSubSup>
                <m:d>
                  <m:dPr>
                    <m:begChr m:val="("/>
                    <m:endChr m:val=")"/>
                    <m:grow/>
                  </m:dPr>
                  <m:e>
                    <m:sSub>
                      <m:e>
                        <m:r>
                          <m:t>a</m:t>
                        </m:r>
                      </m:e>
                      <m:sub>
                        <m:r>
                          <m:t>t</m:t>
                        </m:r>
                        <m:r>
                          <m:t>−</m:t>
                        </m:r>
                        <m:r>
                          <m:t>1</m:t>
                        </m:r>
                      </m:sub>
                    </m:sSub>
                    <m:r>
                      <m:t>+</m:t>
                    </m:r>
                    <m:sSub>
                      <m:e>
                        <m:r>
                          <m:t>μ</m:t>
                        </m:r>
                      </m:e>
                      <m:sub>
                        <m:r>
                          <m:t>i</m:t>
                        </m:r>
                        <m:r>
                          <m:t>t</m:t>
                        </m:r>
                        <m:r>
                          <m:t>−</m:t>
                        </m:r>
                        <m:r>
                          <m:t>1</m:t>
                        </m:r>
                      </m:sub>
                    </m:sSub>
                    <m:r>
                      <m:t>+</m:t>
                    </m:r>
                    <m:sSub>
                      <m:e>
                        <m:r>
                          <m:t>δ</m:t>
                        </m:r>
                      </m:e>
                      <m:sub>
                        <m:r>
                          <m:t>t</m:t>
                        </m:r>
                        <m:r>
                          <m:t>−</m:t>
                        </m:r>
                        <m:r>
                          <m:t>1</m:t>
                        </m:r>
                      </m:sub>
                    </m:sSub>
                    <m:sSub>
                      <m:e>
                        <m:r>
                          <m:t>C</m:t>
                        </m:r>
                      </m:e>
                      <m:sub>
                        <m:r>
                          <m:t>i</m:t>
                        </m:r>
                        <m:r>
                          <m:t>t</m:t>
                        </m:r>
                        <m:r>
                          <m:t>−</m:t>
                        </m:r>
                        <m:r>
                          <m:t>1</m:t>
                        </m:r>
                      </m:sub>
                    </m:sSub>
                  </m:e>
                </m:d>
                <m:r>
                  <m:t>+</m:t>
                </m:r>
                <m:sSup>
                  <m:e>
                    <m:acc>
                      <m:accPr>
                        <m:chr m:val="̃"/>
                      </m:accPr>
                      <m:e>
                        <m:r>
                          <m:t>γ</m:t>
                        </m:r>
                      </m:e>
                    </m:acc>
                  </m:e>
                  <m:sup>
                    <m:r>
                      <m:t>C</m:t>
                    </m:r>
                  </m:sup>
                </m:sSup>
                <m:sSub>
                  <m:e>
                    <m:r>
                      <m:t>C</m:t>
                    </m:r>
                  </m:e>
                  <m:sub>
                    <m:r>
                      <m:t>i</m:t>
                    </m:r>
                    <m:r>
                      <m:t>t</m:t>
                    </m:r>
                    <m:r>
                      <m:t>−</m:t>
                    </m:r>
                    <m:r>
                      <m:t>1</m:t>
                    </m:r>
                  </m:sub>
                </m:sSub>
                <m:r>
                  <m:t>+</m:t>
                </m:r>
                <m:sSub>
                  <m:e>
                    <m:acc>
                      <m:accPr>
                        <m:chr m:val="̃"/>
                      </m:accPr>
                      <m:e>
                        <m:r>
                          <m:t>ϵ</m:t>
                        </m:r>
                      </m:e>
                    </m:acc>
                  </m:e>
                  <m:sub>
                    <m:r>
                      <m:t>i</m:t>
                    </m:r>
                    <m:r>
                      <m:t>t</m:t>
                    </m:r>
                  </m:sub>
                </m:sSub>
              </m:e>
            </m:mr>
            <m:mr>
              <m:e>
                <m:sSub>
                  <m:e>
                    <m:r>
                      <m:t>R</m:t>
                    </m:r>
                  </m:e>
                  <m:sub>
                    <m:r>
                      <m:t>i</m:t>
                    </m:r>
                    <m:r>
                      <m:t>t</m:t>
                    </m:r>
                  </m:sub>
                </m:sSub>
                <m:r>
                  <m:t>=</m:t>
                </m:r>
                <m:sSub>
                  <m:e>
                    <m:acc>
                      <m:accPr>
                        <m:chr m:val="̃"/>
                      </m:accPr>
                      <m:e>
                        <m:r>
                          <m:t>α</m:t>
                        </m:r>
                      </m:e>
                    </m:acc>
                  </m:e>
                  <m:sub>
                    <m:r>
                      <m:t>t</m:t>
                    </m:r>
                  </m:sub>
                </m:sSub>
                <m:r>
                  <m:t>+</m:t>
                </m:r>
                <m:sSubSup>
                  <m:e>
                    <m:acc>
                      <m:accPr>
                        <m:chr m:val="̃"/>
                      </m:accPr>
                      <m:e>
                        <m:r>
                          <m:t>γ</m:t>
                        </m:r>
                      </m:e>
                    </m:acc>
                  </m:e>
                  <m:sub>
                    <m:r>
                      <m:t>t</m:t>
                    </m:r>
                  </m:sub>
                  <m:sup>
                    <m:r>
                      <m:t>R</m:t>
                    </m:r>
                  </m:sup>
                </m:sSubSup>
                <m:d>
                  <m:dPr>
                    <m:begChr m:val="("/>
                    <m:endChr m:val=")"/>
                    <m:grow/>
                  </m:dPr>
                  <m:e>
                    <m:sSub>
                      <m:e>
                        <m:r>
                          <m:t>a</m:t>
                        </m:r>
                      </m:e>
                      <m:sub>
                        <m:r>
                          <m:t>t</m:t>
                        </m:r>
                        <m:r>
                          <m:t>−</m:t>
                        </m:r>
                        <m:r>
                          <m:t>1</m:t>
                        </m:r>
                      </m:sub>
                    </m:sSub>
                    <m:r>
                      <m:t>+</m:t>
                    </m:r>
                    <m:sSub>
                      <m:e>
                        <m:r>
                          <m:t>μ</m:t>
                        </m:r>
                      </m:e>
                      <m:sub>
                        <m:r>
                          <m:t>i</m:t>
                        </m:r>
                        <m:r>
                          <m:t>t</m:t>
                        </m:r>
                        <m:r>
                          <m:t>−</m:t>
                        </m:r>
                        <m:r>
                          <m:t>1</m:t>
                        </m:r>
                      </m:sub>
                    </m:sSub>
                  </m:e>
                </m:d>
                <m:r>
                  <m:t>+</m:t>
                </m:r>
                <m:sSup>
                  <m:e>
                    <m:acc>
                      <m:accPr>
                        <m:chr m:val="‾"/>
                      </m:accPr>
                      <m:e>
                        <m:r>
                          <m:t>γ</m:t>
                        </m:r>
                      </m:e>
                    </m:acc>
                  </m:e>
                  <m:sup>
                    <m:r>
                      <m:t>C</m:t>
                    </m:r>
                  </m:sup>
                </m:sSup>
                <m:sSub>
                  <m:e>
                    <m:r>
                      <m:t>C</m:t>
                    </m:r>
                  </m:e>
                  <m:sub>
                    <m:r>
                      <m:t>i</m:t>
                    </m:r>
                    <m:r>
                      <m:t>t</m:t>
                    </m:r>
                    <m:r>
                      <m:t>−</m:t>
                    </m:r>
                    <m:r>
                      <m:t>1</m:t>
                    </m:r>
                  </m:sub>
                </m:sSub>
                <m:r>
                  <m:t>+</m:t>
                </m:r>
                <m:sSub>
                  <m:e>
                    <m:acc>
                      <m:accPr>
                        <m:chr m:val="̃"/>
                      </m:accPr>
                      <m:e>
                        <m:r>
                          <m:t>ϵ</m:t>
                        </m:r>
                      </m:e>
                    </m:acc>
                  </m:e>
                  <m:sub>
                    <m:r>
                      <m:t>i</m:t>
                    </m:r>
                    <m:r>
                      <m:t>t</m:t>
                    </m:r>
                  </m:sub>
                </m:sSub>
              </m:e>
            </m:mr>
          </m:m>
        </m:oMath>
      </m:oMathPara>
    </w:p>
    <w:p>
      <w:pPr>
        <w:pStyle w:val="FirstParagraph"/>
      </w:pPr>
      <w:r>
        <w:t xml:space="preserve">where</w:t>
      </w:r>
      <w:r>
        <w:t xml:space="preserve"> </w:t>
      </w:r>
      <m:oMath>
        <m:sSubSup>
          <m:e>
            <m:acc>
              <m:accPr>
                <m:chr m:val="‾"/>
              </m:accPr>
              <m:e>
                <m:r>
                  <m:t>γ</m:t>
                </m:r>
              </m:e>
            </m:acc>
          </m:e>
          <m:sub>
            <m:r>
              <m:t>t</m:t>
            </m:r>
          </m:sub>
          <m:sup>
            <m:r>
              <m:t>c</m:t>
            </m:r>
          </m:sup>
        </m:sSubSup>
        <m:r>
          <m:t>=</m:t>
        </m:r>
        <m:sSubSup>
          <m:e>
            <m:acc>
              <m:accPr>
                <m:chr m:val="̃"/>
              </m:accPr>
              <m:e>
                <m:r>
                  <m:t>γ</m:t>
                </m:r>
              </m:e>
            </m:acc>
          </m:e>
          <m:sub>
            <m:r>
              <m:t>t</m:t>
            </m:r>
          </m:sub>
          <m:sup>
            <m:r>
              <m:t>c</m:t>
            </m:r>
          </m:sup>
        </m:sSubSup>
        <m:r>
          <m:t>+</m:t>
        </m:r>
        <m:sSub>
          <m:e>
            <m:r>
              <m:t>δ</m:t>
            </m:r>
          </m:e>
          <m:sub>
            <m:r>
              <m:t>t</m:t>
            </m:r>
            <m:r>
              <m:t>−</m:t>
            </m:r>
            <m:r>
              <m:t>1</m:t>
            </m:r>
          </m:sub>
        </m:sSub>
        <m:sSubSup>
          <m:e>
            <m:acc>
              <m:accPr>
                <m:chr m:val="̃"/>
              </m:accPr>
              <m:e>
                <m:r>
                  <m:t>γ</m:t>
                </m:r>
              </m:e>
            </m:acc>
          </m:e>
          <m:sub>
            <m:r>
              <m:t>t</m:t>
            </m:r>
          </m:sub>
          <m:sup>
            <m:r>
              <m:t>R</m:t>
            </m:r>
          </m:sup>
        </m:sSubSup>
      </m:oMath>
      <w:r>
        <w:t xml:space="preserve">, is the coefficient when</w:t>
      </w:r>
      <w:r>
        <w:t xml:space="preserve"> </w:t>
      </w:r>
      <m:oMath>
        <m:sSub>
          <m:e>
            <m:r>
              <m:t>R</m:t>
            </m:r>
          </m:e>
          <m:sub>
            <m:r>
              <m:t>i</m:t>
            </m:r>
            <m:r>
              <m:t>t</m:t>
            </m:r>
          </m:sub>
        </m:sSub>
      </m:oMath>
      <w:r>
        <w:t xml:space="preserve"> </w:t>
      </w:r>
      <w:r>
        <w:t xml:space="preserve">is regressed on</w:t>
      </w:r>
      <w:r>
        <w:t xml:space="preserve"> </w:t>
      </w:r>
      <m:oMath>
        <m:sSub>
          <m:e>
            <m:r>
              <m:t>C</m:t>
            </m:r>
          </m:e>
          <m:sub>
            <m:r>
              <m:t>i</m:t>
            </m:r>
            <m:r>
              <m:t>t</m:t>
            </m:r>
            <m:r>
              <m:t>−</m:t>
            </m:r>
            <m:r>
              <m:t>1</m:t>
            </m:r>
          </m:sub>
        </m:sSub>
      </m:oMath>
      <w:r>
        <w:t xml:space="preserve">. Rewrite Equation (3):</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γ</m:t>
                    </m:r>
                  </m:e>
                  <m:sub>
                    <m:r>
                      <m:t>t</m:t>
                    </m:r>
                  </m:sub>
                  <m:sup>
                    <m:r>
                      <m:t>c</m:t>
                    </m:r>
                  </m:sup>
                </m:sSubSup>
              </m:e>
              <m:e>
                <m:r>
                  <m:t>=</m:t>
                </m:r>
                <m:f>
                  <m:fPr>
                    <m:type m:val="bar"/>
                  </m:fPr>
                  <m:num>
                    <m:r>
                      <m:rPr>
                        <m:nor/>
                        <m:sty m:val="p"/>
                      </m:rPr>
                      <m:t>Cov</m:t>
                    </m:r>
                    <m:d>
                      <m:dPr>
                        <m:begChr m:val="["/>
                        <m:endChr m:val="]"/>
                        <m:grow/>
                      </m:dPr>
                      <m:e>
                        <m:sSub>
                          <m:e>
                            <m:r>
                              <m:t>R</m:t>
                            </m:r>
                          </m:e>
                          <m:sub>
                            <m:r>
                              <m:t>i</m:t>
                            </m:r>
                            <m:r>
                              <m:t>t</m:t>
                            </m:r>
                          </m:sub>
                        </m:sSub>
                        <m:r>
                          <m:t>,</m:t>
                        </m:r>
                        <m:sSub>
                          <m:e>
                            <m:r>
                              <m:t>δ</m:t>
                            </m:r>
                          </m:e>
                          <m:sub>
                            <m:r>
                              <m:t>t</m:t>
                            </m:r>
                            <m:r>
                              <m:t>−</m:t>
                            </m:r>
                            <m:r>
                              <m:t>1</m:t>
                            </m:r>
                          </m:sub>
                        </m:sSub>
                        <m:sSub>
                          <m:e>
                            <m:r>
                              <m:t>C</m:t>
                            </m:r>
                          </m:e>
                          <m:sub>
                            <m:r>
                              <m:t>i</m:t>
                            </m:r>
                            <m:r>
                              <m:t>t</m:t>
                            </m:r>
                            <m:r>
                              <m:t>−</m:t>
                            </m:r>
                            <m:r>
                              <m:t>1</m:t>
                            </m:r>
                          </m:sub>
                        </m:sSub>
                      </m:e>
                    </m:d>
                  </m:num>
                  <m:den>
                    <m:r>
                      <m:rPr>
                        <m:nor/>
                        <m:sty m:val="p"/>
                      </m:rPr>
                      <m:t>Var</m:t>
                    </m:r>
                    <m:d>
                      <m:dPr>
                        <m:begChr m:val="["/>
                        <m:endChr m:val="]"/>
                        <m:grow/>
                      </m:dPr>
                      <m:e>
                        <m:r>
                          <m:t>I</m:t>
                        </m:r>
                        <m:r>
                          <m:t>V</m:t>
                        </m:r>
                        <m:r>
                          <m:t>O</m:t>
                        </m:r>
                        <m:sSub>
                          <m:e>
                            <m:r>
                              <m:t>L</m:t>
                            </m:r>
                          </m:e>
                          <m:sub>
                            <m:r>
                              <m:t>i</m:t>
                            </m:r>
                            <m:r>
                              <m:t>t</m:t>
                            </m:r>
                            <m:r>
                              <m:t>−</m:t>
                            </m:r>
                            <m:r>
                              <m:t>1</m:t>
                            </m:r>
                          </m:sub>
                        </m:sSub>
                      </m:e>
                    </m:d>
                  </m:den>
                </m:f>
              </m:e>
            </m:mr>
            <m:mr>
              <m:e/>
              <m:e>
                <m:r>
                  <m:t>=</m:t>
                </m:r>
                <m:f>
                  <m:fPr>
                    <m:type m:val="bar"/>
                  </m:fPr>
                  <m:num>
                    <m:r>
                      <m:rPr>
                        <m:nor/>
                        <m:sty m:val="p"/>
                      </m:rPr>
                      <m:t>Cov</m:t>
                    </m:r>
                    <m:d>
                      <m:dPr>
                        <m:begChr m:val="["/>
                        <m:endChr m:val="]"/>
                        <m:grow/>
                      </m:dPr>
                      <m:e>
                        <m:sSub>
                          <m:e>
                            <m:r>
                              <m:t>R</m:t>
                            </m:r>
                          </m:e>
                          <m:sub>
                            <m:r>
                              <m:t>i</m:t>
                            </m:r>
                            <m:r>
                              <m:t>t</m:t>
                            </m:r>
                          </m:sub>
                        </m:sSub>
                        <m:r>
                          <m:t>,</m:t>
                        </m:r>
                        <m:sSub>
                          <m:e>
                            <m:r>
                              <m:t>δ</m:t>
                            </m:r>
                          </m:e>
                          <m:sub>
                            <m:r>
                              <m:t>t</m:t>
                            </m:r>
                            <m:r>
                              <m:t>−</m:t>
                            </m:r>
                            <m:r>
                              <m:t>1</m:t>
                            </m:r>
                          </m:sub>
                        </m:sSub>
                        <m:sSub>
                          <m:e>
                            <m:r>
                              <m:t>C</m:t>
                            </m:r>
                          </m:e>
                          <m:sub>
                            <m:r>
                              <m:t>i</m:t>
                            </m:r>
                            <m:r>
                              <m:t>t</m:t>
                            </m:r>
                            <m:r>
                              <m:t>−</m:t>
                            </m:r>
                            <m:r>
                              <m:t>1</m:t>
                            </m:r>
                          </m:sub>
                        </m:sSub>
                      </m:e>
                    </m:d>
                  </m:num>
                  <m:den>
                    <m:r>
                      <m:rPr>
                        <m:nor/>
                        <m:sty m:val="p"/>
                      </m:rPr>
                      <m:t>Var</m:t>
                    </m:r>
                    <m:d>
                      <m:dPr>
                        <m:begChr m:val="["/>
                        <m:endChr m:val="]"/>
                        <m:grow/>
                      </m:dPr>
                      <m:e>
                        <m:sSub>
                          <m:e>
                            <m:r>
                              <m:t>δ</m:t>
                            </m:r>
                          </m:e>
                          <m:sub>
                            <m:r>
                              <m:t>t</m:t>
                            </m:r>
                            <m:r>
                              <m:t>−</m:t>
                            </m:r>
                            <m:r>
                              <m:t>1</m:t>
                            </m:r>
                          </m:sub>
                        </m:sSub>
                        <m:sSub>
                          <m:e>
                            <m:r>
                              <m:t>C</m:t>
                            </m:r>
                          </m:e>
                          <m:sub>
                            <m:r>
                              <m:t>i</m:t>
                            </m:r>
                            <m:r>
                              <m:t>t</m:t>
                            </m:r>
                            <m:r>
                              <m:t>−</m:t>
                            </m:r>
                            <m:r>
                              <m:t>1</m:t>
                            </m:r>
                          </m:sub>
                        </m:sSub>
                      </m:e>
                    </m:d>
                  </m:den>
                </m:f>
                <m:r>
                  <m:t>×</m:t>
                </m:r>
                <m:f>
                  <m:fPr>
                    <m:type m:val="bar"/>
                  </m:fPr>
                  <m:num>
                    <m:r>
                      <m:rPr>
                        <m:nor/>
                        <m:sty m:val="p"/>
                      </m:rPr>
                      <m:t>Var</m:t>
                    </m:r>
                    <m:d>
                      <m:dPr>
                        <m:begChr m:val="["/>
                        <m:endChr m:val="]"/>
                        <m:grow/>
                      </m:dPr>
                      <m:e>
                        <m:sSub>
                          <m:e>
                            <m:r>
                              <m:t>δ</m:t>
                            </m:r>
                          </m:e>
                          <m:sub>
                            <m:r>
                              <m:t>t</m:t>
                            </m:r>
                            <m:r>
                              <m:t>−</m:t>
                            </m:r>
                            <m:r>
                              <m:t>1</m:t>
                            </m:r>
                          </m:sub>
                        </m:sSub>
                        <m:sSub>
                          <m:e>
                            <m:r>
                              <m:t>C</m:t>
                            </m:r>
                          </m:e>
                          <m:sub>
                            <m:r>
                              <m:t>i</m:t>
                            </m:r>
                            <m:r>
                              <m:t>t</m:t>
                            </m:r>
                            <m:r>
                              <m:t>−</m:t>
                            </m:r>
                            <m:r>
                              <m:t>1</m:t>
                            </m:r>
                          </m:sub>
                        </m:sSub>
                      </m:e>
                    </m:d>
                  </m:num>
                  <m:den>
                    <m:r>
                      <m:rPr>
                        <m:nor/>
                        <m:sty m:val="p"/>
                      </m:rPr>
                      <m:t>Var</m:t>
                    </m:r>
                    <m:d>
                      <m:dPr>
                        <m:begChr m:val="["/>
                        <m:endChr m:val="]"/>
                        <m:grow/>
                      </m:dPr>
                      <m:e>
                        <m:r>
                          <m:t>I</m:t>
                        </m:r>
                        <m:r>
                          <m:t>V</m:t>
                        </m:r>
                        <m:r>
                          <m:t>O</m:t>
                        </m:r>
                        <m:sSub>
                          <m:e>
                            <m:r>
                              <m:t>L</m:t>
                            </m:r>
                          </m:e>
                          <m:sub>
                            <m:r>
                              <m:t>i</m:t>
                            </m:r>
                            <m:r>
                              <m:t>t</m:t>
                            </m:r>
                            <m:r>
                              <m:t>−</m:t>
                            </m:r>
                            <m:r>
                              <m:t>1</m:t>
                            </m:r>
                          </m:sub>
                        </m:sSub>
                      </m:e>
                    </m:d>
                  </m:den>
                </m:f>
              </m:e>
            </m:mr>
            <m:mr>
              <m:e/>
              <m:e>
                <m:r>
                  <m:t>=</m:t>
                </m:r>
                <m:f>
                  <m:fPr>
                    <m:type m:val="bar"/>
                  </m:fPr>
                  <m:num>
                    <m:sSubSup>
                      <m:e>
                        <m:acc>
                          <m:accPr>
                            <m:chr m:val="‾"/>
                          </m:accPr>
                          <m:e>
                            <m:r>
                              <m:t>γ</m:t>
                            </m:r>
                          </m:e>
                        </m:acc>
                      </m:e>
                      <m:sub>
                        <m:r>
                          <m:t>t</m:t>
                        </m:r>
                      </m:sub>
                      <m:sup>
                        <m:r>
                          <m:t>C</m:t>
                        </m:r>
                      </m:sup>
                    </m:sSubSup>
                  </m:num>
                  <m:den>
                    <m:sSub>
                      <m:e>
                        <m:r>
                          <m:t>δ</m:t>
                        </m:r>
                      </m:e>
                      <m:sub>
                        <m:r>
                          <m:t>t</m:t>
                        </m:r>
                        <m:r>
                          <m:t>−</m:t>
                        </m:r>
                        <m:r>
                          <m:t>1</m:t>
                        </m:r>
                      </m:sub>
                    </m:sSub>
                  </m:den>
                </m:f>
                <m:r>
                  <m:t>×</m:t>
                </m:r>
                <m:f>
                  <m:fPr>
                    <m:type m:val="bar"/>
                  </m:fPr>
                  <m:num>
                    <m:r>
                      <m:rPr>
                        <m:nor/>
                        <m:sty m:val="p"/>
                      </m:rPr>
                      <m:t>Var</m:t>
                    </m:r>
                    <m:d>
                      <m:dPr>
                        <m:begChr m:val="["/>
                        <m:endChr m:val="]"/>
                        <m:grow/>
                      </m:dPr>
                      <m:e>
                        <m:sSub>
                          <m:e>
                            <m:r>
                              <m:t>δ</m:t>
                            </m:r>
                          </m:e>
                          <m:sub>
                            <m:r>
                              <m:t>t</m:t>
                            </m:r>
                            <m:r>
                              <m:t>−</m:t>
                            </m:r>
                            <m:r>
                              <m:t>1</m:t>
                            </m:r>
                          </m:sub>
                        </m:sSub>
                        <m:sSub>
                          <m:e>
                            <m:r>
                              <m:t>C</m:t>
                            </m:r>
                          </m:e>
                          <m:sub>
                            <m:r>
                              <m:t>i</m:t>
                            </m:r>
                            <m:r>
                              <m:t>t</m:t>
                            </m:r>
                            <m:r>
                              <m:t>−</m:t>
                            </m:r>
                            <m:r>
                              <m:t>1</m:t>
                            </m:r>
                          </m:sub>
                        </m:sSub>
                      </m:e>
                    </m:d>
                  </m:num>
                  <m:den>
                    <m:r>
                      <m:rPr>
                        <m:nor/>
                        <m:sty m:val="p"/>
                      </m:rPr>
                      <m:t>Var</m:t>
                    </m:r>
                    <m:d>
                      <m:dPr>
                        <m:begChr m:val="["/>
                        <m:endChr m:val="]"/>
                        <m:grow/>
                      </m:dPr>
                      <m:e>
                        <m:r>
                          <m:t>I</m:t>
                        </m:r>
                        <m:r>
                          <m:t>V</m:t>
                        </m:r>
                        <m:r>
                          <m:t>O</m:t>
                        </m:r>
                        <m:sSub>
                          <m:e>
                            <m:r>
                              <m:t>L</m:t>
                            </m:r>
                          </m:e>
                          <m:sub>
                            <m:r>
                              <m:t>i</m:t>
                            </m:r>
                            <m:r>
                              <m:t>t</m:t>
                            </m:r>
                            <m:r>
                              <m:t>−</m:t>
                            </m:r>
                            <m:r>
                              <m:t>1</m:t>
                            </m:r>
                          </m:sub>
                        </m:sSub>
                      </m:e>
                    </m:d>
                  </m:den>
                </m:f>
              </m:e>
            </m:mr>
            <m:mr>
              <m:e/>
              <m:e>
                <m:r>
                  <m:t>=</m:t>
                </m:r>
                <m:d>
                  <m:dPr>
                    <m:begChr m:val="("/>
                    <m:endChr m:val=")"/>
                    <m:grow/>
                  </m:dPr>
                  <m:e>
                    <m:f>
                      <m:fPr>
                        <m:type m:val="bar"/>
                      </m:fPr>
                      <m:num>
                        <m:sSubSup>
                          <m:e>
                            <m:acc>
                              <m:accPr>
                                <m:chr m:val="̃"/>
                              </m:accPr>
                              <m:e>
                                <m:r>
                                  <m:t>γ</m:t>
                                </m:r>
                              </m:e>
                            </m:acc>
                          </m:e>
                          <m:sub>
                            <m:r>
                              <m:t>t</m:t>
                            </m:r>
                          </m:sub>
                          <m:sup>
                            <m:r>
                              <m:t>c</m:t>
                            </m:r>
                          </m:sup>
                        </m:sSubSup>
                      </m:num>
                      <m:den>
                        <m:sSub>
                          <m:e>
                            <m:r>
                              <m:t>δ</m:t>
                            </m:r>
                          </m:e>
                          <m:sub>
                            <m:r>
                              <m:t>t</m:t>
                            </m:r>
                            <m:r>
                              <m:t>−</m:t>
                            </m:r>
                            <m:r>
                              <m:t>1</m:t>
                            </m:r>
                          </m:sub>
                        </m:sSub>
                      </m:den>
                    </m:f>
                    <m:r>
                      <m:t>+</m:t>
                    </m:r>
                    <m:sSubSup>
                      <m:e>
                        <m:acc>
                          <m:accPr>
                            <m:chr m:val="̃"/>
                          </m:accPr>
                          <m:e>
                            <m:r>
                              <m:t>γ</m:t>
                            </m:r>
                          </m:e>
                        </m:acc>
                      </m:e>
                      <m:sub>
                        <m:r>
                          <m:t>t</m:t>
                        </m:r>
                      </m:sub>
                      <m:sup>
                        <m:r>
                          <m:t>R</m:t>
                        </m:r>
                      </m:sup>
                    </m:sSubSup>
                  </m:e>
                </m:d>
                <m:r>
                  <m:t>×</m:t>
                </m:r>
                <m:f>
                  <m:fPr>
                    <m:type m:val="bar"/>
                  </m:fPr>
                  <m:num>
                    <m:r>
                      <m:rPr>
                        <m:nor/>
                        <m:sty m:val="p"/>
                      </m:rPr>
                      <m:t>Var</m:t>
                    </m:r>
                    <m:d>
                      <m:dPr>
                        <m:begChr m:val="["/>
                        <m:endChr m:val="]"/>
                        <m:grow/>
                      </m:dPr>
                      <m:e>
                        <m:sSub>
                          <m:e>
                            <m:r>
                              <m:t>δ</m:t>
                            </m:r>
                          </m:e>
                          <m:sub>
                            <m:r>
                              <m:t>t</m:t>
                            </m:r>
                            <m:r>
                              <m:t>−</m:t>
                            </m:r>
                            <m:r>
                              <m:t>1</m:t>
                            </m:r>
                          </m:sub>
                        </m:sSub>
                        <m:sSub>
                          <m:e>
                            <m:r>
                              <m:t>C</m:t>
                            </m:r>
                          </m:e>
                          <m:sub>
                            <m:r>
                              <m:t>i</m:t>
                            </m:r>
                            <m:r>
                              <m:t>t</m:t>
                            </m:r>
                            <m:r>
                              <m:t>−</m:t>
                            </m:r>
                            <m:r>
                              <m:t>1</m:t>
                            </m:r>
                          </m:sub>
                        </m:sSub>
                      </m:e>
                    </m:d>
                  </m:num>
                  <m:den>
                    <m:r>
                      <m:rPr>
                        <m:nor/>
                        <m:sty m:val="p"/>
                      </m:rPr>
                      <m:t>Var</m:t>
                    </m:r>
                    <m:d>
                      <m:dPr>
                        <m:begChr m:val="["/>
                        <m:endChr m:val="]"/>
                        <m:grow/>
                      </m:dPr>
                      <m:e>
                        <m:r>
                          <m:t>I</m:t>
                        </m:r>
                        <m:r>
                          <m:t>V</m:t>
                        </m:r>
                        <m:r>
                          <m:t>O</m:t>
                        </m:r>
                        <m:sSub>
                          <m:e>
                            <m:r>
                              <m:t>L</m:t>
                            </m:r>
                          </m:e>
                          <m:sub>
                            <m:r>
                              <m:t>i</m:t>
                            </m:r>
                            <m:r>
                              <m:t>t</m:t>
                            </m:r>
                            <m:r>
                              <m:t>−</m:t>
                            </m:r>
                            <m:r>
                              <m:t>1</m:t>
                            </m:r>
                          </m:sub>
                        </m:sSub>
                      </m:e>
                    </m:d>
                  </m:den>
                </m:f>
              </m:e>
            </m:mr>
          </m:m>
        </m:oMath>
      </m:oMathPara>
    </w:p>
    <w:p>
      <w:pPr>
        <w:pStyle w:val="FirstParagraph"/>
      </w:pPr>
      <w:r>
        <w:t xml:space="preserve">Note: "</w:t>
      </w:r>
      <w:r>
        <w:t xml:space="preserve"> </w:t>
      </w:r>
      <m:oMath>
        <m:r>
          <m:rPr>
            <m:sty m:val="p"/>
          </m:rPr>
          <m:t>C</m:t>
        </m:r>
      </m:oMath>
      <w:r>
        <w:t xml:space="preserve"> </w:t>
      </w:r>
      <w:r>
        <w:t xml:space="preserve">" in equations (4)-(6) denotes the candidate explanatory variable.</w:t>
      </w:r>
    </w:p>
    <w:p>
      <w:pPr>
        <w:pStyle w:val="BodyText"/>
      </w:pPr>
      <w:r>
        <w:t xml:space="preserve">This suggests that</w:t>
      </w:r>
      <w:r>
        <w:t xml:space="preserve"> </w:t>
      </w:r>
      <m:oMath>
        <m:sSubSup>
          <m:e>
            <m:r>
              <m:t>γ</m:t>
            </m:r>
          </m:e>
          <m:sub>
            <m:r>
              <m:t>t</m:t>
            </m:r>
          </m:sub>
          <m:sup>
            <m:r>
              <m:t>C</m:t>
            </m:r>
          </m:sup>
        </m:sSubSup>
      </m:oMath>
    </w:p>
    <w:p>
      <w:pPr>
        <w:numPr>
          <w:ilvl w:val="0"/>
          <w:numId w:val="1040"/>
        </w:numPr>
        <w:pStyle w:val="Compact"/>
      </w:pPr>
      <w:r>
        <w:t xml:space="preserve">not only depends on the fraction of the variation of idiosyncratic volatility explained by the candidate variable</w:t>
      </w:r>
      <w:r>
        <w:t xml:space="preserve"> </w:t>
      </w:r>
      <m:oMath>
        <m:d>
          <m:dPr>
            <m:begChr m:val="("/>
            <m:endChr m:val=")"/>
            <m:grow/>
          </m:dPr>
          <m:e>
            <m:f>
              <m:fPr>
                <m:type m:val="bar"/>
              </m:fPr>
              <m:num>
                <m:r>
                  <m:rPr>
                    <m:nor/>
                    <m:sty m:val="p"/>
                  </m:rPr>
                  <m:t>Var</m:t>
                </m:r>
                <m:d>
                  <m:dPr>
                    <m:begChr m:val="["/>
                    <m:endChr m:val="]"/>
                    <m:grow/>
                  </m:dPr>
                  <m:e>
                    <m:sSub>
                      <m:e>
                        <m:r>
                          <m:t>δ</m:t>
                        </m:r>
                      </m:e>
                      <m:sub>
                        <m:r>
                          <m:t>t</m:t>
                        </m:r>
                        <m:r>
                          <m:t>−</m:t>
                        </m:r>
                        <m:r>
                          <m:t>1</m:t>
                        </m:r>
                      </m:sub>
                    </m:sSub>
                    <m:sSub>
                      <m:e>
                        <m:r>
                          <m:rPr>
                            <m:nor/>
                            <m:sty m:val="p"/>
                          </m:rPr>
                          <m:t> Candidate </m:t>
                        </m:r>
                      </m:e>
                      <m:sub>
                        <m:r>
                          <m:t>i</m:t>
                        </m:r>
                        <m:r>
                          <m:t>t</m:t>
                        </m:r>
                        <m:r>
                          <m:t>−</m:t>
                        </m:r>
                        <m:r>
                          <m:t>1</m:t>
                        </m:r>
                      </m:sub>
                    </m:sSub>
                  </m:e>
                </m:d>
              </m:num>
              <m:den>
                <m:r>
                  <m:rPr>
                    <m:nor/>
                    <m:sty m:val="p"/>
                  </m:rPr>
                  <m:t>Var</m:t>
                </m:r>
                <m:d>
                  <m:dPr>
                    <m:begChr m:val="["/>
                    <m:endChr m:val="]"/>
                    <m:grow/>
                  </m:dPr>
                  <m:e>
                    <m:r>
                      <m:t>N</m:t>
                    </m:r>
                    <m:sSub>
                      <m:e>
                        <m:r>
                          <m:t>L</m:t>
                        </m:r>
                      </m:e>
                      <m:sub>
                        <m:r>
                          <m:t>i</m:t>
                        </m:r>
                        <m:r>
                          <m:t>t</m:t>
                        </m:r>
                        <m:r>
                          <m:t>−</m:t>
                        </m:r>
                        <m:r>
                          <m:t>1</m:t>
                        </m:r>
                      </m:sub>
                    </m:sSub>
                  </m:e>
                </m:d>
              </m:den>
            </m:f>
          </m:e>
        </m:d>
      </m:oMath>
      <w:r>
        <w:t xml:space="preserve">,</w:t>
      </w:r>
    </w:p>
    <w:p>
      <w:pPr>
        <w:numPr>
          <w:ilvl w:val="0"/>
          <w:numId w:val="1040"/>
        </w:numPr>
        <w:pStyle w:val="Compact"/>
      </w:pPr>
      <w:r>
        <w:t xml:space="preserve">but also on the component of the candidate variable that is uncorrelated with idiosyncratic volatility but correlated with future returns as captured by</w:t>
      </w:r>
      <w:r>
        <w:t xml:space="preserve"> </w:t>
      </w:r>
      <m:oMath>
        <m:sSubSup>
          <m:e>
            <m:acc>
              <m:accPr>
                <m:chr m:val="̃"/>
              </m:accPr>
              <m:e>
                <m:r>
                  <m:t>γ</m:t>
                </m:r>
              </m:e>
            </m:acc>
          </m:e>
          <m:sub>
            <m:r>
              <m:t>t</m:t>
            </m:r>
          </m:sub>
          <m:sup>
            <m:r>
              <m:rPr>
                <m:sty m:val="p"/>
              </m:rPr>
              <m:t>C</m:t>
            </m:r>
          </m:sup>
        </m:sSubSup>
      </m:oMath>
      <w:r>
        <w:t xml:space="preserve">.</w:t>
      </w:r>
    </w:p>
    <w:p>
      <w:pPr>
        <w:pStyle w:val="Heading3"/>
      </w:pPr>
      <w:bookmarkStart w:id="55" w:name="results"/>
      <w:r>
        <w:t xml:space="preserve">Results</w:t>
      </w:r>
      <w:bookmarkEnd w:id="55"/>
    </w:p>
    <w:p>
      <w:pPr>
        <w:pStyle w:val="FirstParagraph"/>
      </w:pPr>
      <w:r>
        <w:rPr>
          <w:b/>
        </w:rPr>
        <w:t xml:space="preserve">Univariate candidates</w:t>
      </w:r>
    </w:p>
    <w:p>
      <w:pPr>
        <w:pStyle w:val="BodyText"/>
      </w:pPr>
      <w:r>
        <w:drawing>
          <wp:inline>
            <wp:extent cx="5334000" cy="1901127"/>
            <wp:effectExtent b="0" l="0" r="0" t="0"/>
            <wp:docPr descr="" title="" id="1" name="Picture"/>
            <a:graphic>
              <a:graphicData uri="http://schemas.openxmlformats.org/drawingml/2006/picture">
                <pic:pic>
                  <pic:nvPicPr>
                    <pic:cNvPr descr="img/SpecialTopic3_AnomaliesinInternationalFinancialMarkets.en_20221028163955.png" id="0" name="Picture"/>
                    <pic:cNvPicPr>
                      <a:picLocks noChangeArrowheads="1" noChangeAspect="1"/>
                    </pic:cNvPicPr>
                  </pic:nvPicPr>
                  <pic:blipFill>
                    <a:blip r:embed="rId56"/>
                    <a:stretch>
                      <a:fillRect/>
                    </a:stretch>
                  </pic:blipFill>
                  <pic:spPr bwMode="auto">
                    <a:xfrm>
                      <a:off x="0" y="0"/>
                      <a:ext cx="5334000" cy="1901127"/>
                    </a:xfrm>
                    <a:prstGeom prst="rect">
                      <a:avLst/>
                    </a:prstGeom>
                    <a:noFill/>
                    <a:ln w="9525">
                      <a:noFill/>
                      <a:headEnd/>
                      <a:tailEnd/>
                    </a:ln>
                  </pic:spPr>
                </pic:pic>
              </a:graphicData>
            </a:graphic>
          </wp:inline>
        </w:drawing>
      </w:r>
    </w:p>
    <w:p>
      <w:pPr>
        <w:pStyle w:val="BodyText"/>
      </w:pPr>
      <w:r>
        <w:rPr>
          <w:b/>
        </w:rPr>
        <w:t xml:space="preserve">Multivariate analysis</w:t>
      </w:r>
    </w:p>
    <w:p>
      <w:pPr>
        <w:pStyle w:val="BodyText"/>
      </w:pPr>
      <w:r>
        <w:t xml:space="preserve">Lottery and friction variables dominate other explanations.</w:t>
      </w:r>
    </w:p>
    <w:p>
      <w:pPr>
        <w:pStyle w:val="BodyText"/>
      </w:pPr>
      <w:r>
        <w:t xml:space="preserve">Table 5</w:t>
      </w:r>
    </w:p>
    <w:p>
      <w:pPr>
        <w:pStyle w:val="BodyText"/>
      </w:pPr>
      <w:r>
        <w:drawing>
          <wp:inline>
            <wp:extent cx="5334000" cy="4799425"/>
            <wp:effectExtent b="0" l="0" r="0" t="0"/>
            <wp:docPr descr="" title="" id="1" name="Picture"/>
            <a:graphic>
              <a:graphicData uri="http://schemas.openxmlformats.org/drawingml/2006/picture">
                <pic:pic>
                  <pic:nvPicPr>
                    <pic:cNvPr descr="img/SpecialTopic3_AnomaliesinInternationalFinancialMarkets.en_20221028164302.png" id="0" name="Picture"/>
                    <pic:cNvPicPr>
                      <a:picLocks noChangeArrowheads="1" noChangeAspect="1"/>
                    </pic:cNvPicPr>
                  </pic:nvPicPr>
                  <pic:blipFill>
                    <a:blip r:embed="rId57"/>
                    <a:stretch>
                      <a:fillRect/>
                    </a:stretch>
                  </pic:blipFill>
                  <pic:spPr bwMode="auto">
                    <a:xfrm>
                      <a:off x="0" y="0"/>
                      <a:ext cx="5334000" cy="4799425"/>
                    </a:xfrm>
                    <a:prstGeom prst="rect">
                      <a:avLst/>
                    </a:prstGeom>
                    <a:noFill/>
                    <a:ln w="9525">
                      <a:noFill/>
                      <a:headEnd/>
                      <a:tailEnd/>
                    </a:ln>
                  </pic:spPr>
                </pic:pic>
              </a:graphicData>
            </a:graphic>
          </wp:inline>
        </w:drawing>
      </w:r>
    </w:p>
    <w:p>
      <w:pPr>
        <w:pStyle w:val="BodyText"/>
      </w:pPr>
      <w:r>
        <w:rPr>
          <w:b/>
        </w:rPr>
        <w:t xml:space="preserve">Fig 1A: Summary of explained fraction</w:t>
      </w:r>
    </w:p>
    <w:p>
      <w:pPr>
        <w:pStyle w:val="BodyText"/>
      </w:pPr>
      <w:r>
        <w:drawing>
          <wp:inline>
            <wp:extent cx="5334000" cy="2815844"/>
            <wp:effectExtent b="0" l="0" r="0" t="0"/>
            <wp:docPr descr="" title="" id="1" name="Picture"/>
            <a:graphic>
              <a:graphicData uri="http://schemas.openxmlformats.org/drawingml/2006/picture">
                <pic:pic>
                  <pic:nvPicPr>
                    <pic:cNvPr descr="img/SpecialTopic3_AnomaliesinInternationalFinancialMarkets.en_20221028164917.png" id="0" name="Picture"/>
                    <pic:cNvPicPr>
                      <a:picLocks noChangeArrowheads="1" noChangeAspect="1"/>
                    </pic:cNvPicPr>
                  </pic:nvPicPr>
                  <pic:blipFill>
                    <a:blip r:embed="rId58"/>
                    <a:stretch>
                      <a:fillRect/>
                    </a:stretch>
                  </pic:blipFill>
                  <pic:spPr bwMode="auto">
                    <a:xfrm>
                      <a:off x="0" y="0"/>
                      <a:ext cx="5334000" cy="2815844"/>
                    </a:xfrm>
                    <a:prstGeom prst="rect">
                      <a:avLst/>
                    </a:prstGeom>
                    <a:noFill/>
                    <a:ln w="9525">
                      <a:noFill/>
                      <a:headEnd/>
                      <a:tailEnd/>
                    </a:ln>
                  </pic:spPr>
                </pic:pic>
              </a:graphicData>
            </a:graphic>
          </wp:inline>
        </w:drawing>
      </w:r>
    </w:p>
    <w:p>
      <w:pPr>
        <w:numPr>
          <w:ilvl w:val="0"/>
          <w:numId w:val="1041"/>
        </w:numPr>
        <w:pStyle w:val="Compact"/>
      </w:pPr>
      <w:r>
        <w:t xml:space="preserve">All existing explanations explain 30-55%</w:t>
      </w:r>
    </w:p>
    <w:p>
      <w:pPr>
        <w:numPr>
          <w:ilvl w:val="0"/>
          <w:numId w:val="1041"/>
        </w:numPr>
        <w:pStyle w:val="Compact"/>
      </w:pPr>
      <w:r>
        <w:t xml:space="preserve">Lottery-preference and market friction-based stories are the most successful.</w:t>
      </w:r>
    </w:p>
    <w:p>
      <w:pPr>
        <w:numPr>
          <w:ilvl w:val="0"/>
          <w:numId w:val="1041"/>
        </w:numPr>
        <w:pStyle w:val="Compact"/>
      </w:pPr>
      <w:r>
        <w:t xml:space="preserve">We can plot such pie charts because the contributions add up to 100%.</w:t>
      </w:r>
    </w:p>
    <w:p>
      <w:pPr>
        <w:numPr>
          <w:ilvl w:val="0"/>
          <w:numId w:val="1041"/>
        </w:numPr>
        <w:pStyle w:val="Compact"/>
      </w:pPr>
      <w:r>
        <w:t xml:space="preserve">Cannot be done with conventional approach.</w:t>
      </w:r>
    </w:p>
    <w:p>
      <w:pPr>
        <w:pStyle w:val="Heading3"/>
      </w:pPr>
      <w:bookmarkStart w:id="59" w:name="flexibility-of-decomposition"/>
      <w:r>
        <w:t xml:space="preserve">Flexibility of decomposition</w:t>
      </w:r>
      <w:bookmarkEnd w:id="59"/>
    </w:p>
    <w:p>
      <w:pPr>
        <w:numPr>
          <w:ilvl w:val="0"/>
          <w:numId w:val="1042"/>
        </w:numPr>
        <w:pStyle w:val="Compact"/>
      </w:pPr>
      <w:r>
        <w:rPr>
          <w:b/>
        </w:rPr>
        <w:t xml:space="preserve">Portfolios</w:t>
      </w:r>
      <w:r>
        <w:t xml:space="preserve">: Can be applied to cross-sectional regressions on portfolios sorted by IVOL (portfolios help reduce measurement error which causes downward bias in fraction explained).</w:t>
      </w:r>
    </w:p>
    <w:p>
      <w:pPr>
        <w:numPr>
          <w:ilvl w:val="0"/>
          <w:numId w:val="1042"/>
        </w:numPr>
        <w:pStyle w:val="Compact"/>
      </w:pPr>
      <w:r>
        <w:rPr>
          <w:b/>
        </w:rPr>
        <w:t xml:space="preserve">Non-linear specifications</w:t>
      </w:r>
      <w:r>
        <w:t xml:space="preserve">: Replace continuous IVOL with a dummy variable indicating high IVOL, and/or replace candidate with dummy variable. We show non-linear specifications produce similar set of best</w:t>
      </w:r>
      <w:r>
        <w:t xml:space="preserve"> </w:t>
      </w:r>
      <w:r>
        <w:t xml:space="preserve">candidates.</w:t>
      </w:r>
    </w:p>
    <w:p>
      <w:pPr>
        <w:numPr>
          <w:ilvl w:val="0"/>
          <w:numId w:val="1042"/>
        </w:numPr>
        <w:pStyle w:val="Compact"/>
      </w:pPr>
      <w:r>
        <w:rPr>
          <w:b/>
        </w:rPr>
        <w:t xml:space="preserve">Decompose other anomalies</w:t>
      </w:r>
      <w:r>
        <w:t xml:space="preserve">: We can flip the analysis to see how much of other anomalies (e.g. Maxret, SUE) are explained by IVOL. Our method can be easily applied to other anomalies.</w:t>
      </w:r>
    </w:p>
    <w:p>
      <w:pPr>
        <w:pStyle w:val="Heading3"/>
      </w:pPr>
      <w:bookmarkStart w:id="60" w:name="conclusion-1"/>
      <w:r>
        <w:t xml:space="preserve">Conclusion</w:t>
      </w:r>
      <w:bookmarkEnd w:id="60"/>
    </w:p>
    <w:p>
      <w:pPr>
        <w:pStyle w:val="FirstParagraph"/>
      </w:pPr>
      <w:r>
        <w:rPr>
          <w:b/>
        </w:rPr>
        <w:t xml:space="preserve">About the methodology</w:t>
      </w:r>
      <w:r>
        <w:t xml:space="preserve">:</w:t>
      </w:r>
    </w:p>
    <w:p>
      <w:pPr>
        <w:numPr>
          <w:ilvl w:val="0"/>
          <w:numId w:val="1043"/>
        </w:numPr>
        <w:pStyle w:val="Compact"/>
      </w:pPr>
      <w:r>
        <w:t xml:space="preserve">Hou and Loh (2016) survey explanations for the IVOL puzzle and propose a simple methodology to quantify the success of each explanation.</w:t>
      </w:r>
    </w:p>
    <w:p>
      <w:pPr>
        <w:numPr>
          <w:ilvl w:val="0"/>
          <w:numId w:val="1043"/>
        </w:numPr>
        <w:pStyle w:val="Compact"/>
      </w:pPr>
      <w:r>
        <w:t xml:space="preserve">Main advantage of their approach: quantify the incremental contribution of each explanation</w:t>
      </w:r>
    </w:p>
    <w:p>
      <w:pPr>
        <w:numPr>
          <w:ilvl w:val="0"/>
          <w:numId w:val="1043"/>
        </w:numPr>
        <w:pStyle w:val="Compact"/>
      </w:pPr>
      <w:r>
        <w:t xml:space="preserve">Hou and Loh’s (2016) simple methodology can be used to compare competing explanations for other anomalies.</w:t>
      </w:r>
    </w:p>
    <w:p>
      <w:pPr>
        <w:pStyle w:val="FirstParagraph"/>
      </w:pPr>
      <w:r>
        <w:rPr>
          <w:b/>
        </w:rPr>
        <w:t xml:space="preserve">Key findings</w:t>
      </w:r>
      <w:r>
        <w:t xml:space="preserve">:</w:t>
      </w:r>
    </w:p>
    <w:p>
      <w:pPr>
        <w:numPr>
          <w:ilvl w:val="0"/>
          <w:numId w:val="1044"/>
        </w:numPr>
        <w:pStyle w:val="Compact"/>
      </w:pPr>
      <w:r>
        <w:t xml:space="preserve">The most promising explanations are lottery preference and market friction explanations.</w:t>
      </w:r>
    </w:p>
    <w:p>
      <w:pPr>
        <w:numPr>
          <w:ilvl w:val="0"/>
          <w:numId w:val="1044"/>
        </w:numPr>
        <w:pStyle w:val="Compact"/>
      </w:pPr>
      <w:r>
        <w:t xml:space="preserve">Most explanations explain &lt;10% of the puzzle.</w:t>
      </w:r>
    </w:p>
    <w:p>
      <w:pPr>
        <w:numPr>
          <w:ilvl w:val="0"/>
          <w:numId w:val="1044"/>
        </w:numPr>
        <w:pStyle w:val="Compact"/>
      </w:pPr>
      <w:r>
        <w:t xml:space="preserve">Across various specifications, the residual part of the IVOL puzzle that remains unexplained by the best candidates is statistically significant.</w:t>
      </w:r>
    </w:p>
    <w:p>
      <w:pPr>
        <w:pStyle w:val="Heading2"/>
      </w:pPr>
      <w:bookmarkStart w:id="61" w:name="X4a19fd1b4d9c2c073f1856687d95162b98f5928"/>
      <w:r>
        <w:t xml:space="preserve">Public news arrivals and the idiosyncratic volatility puzzle</w:t>
      </w:r>
      <w:bookmarkEnd w:id="61"/>
    </w:p>
    <w:p>
      <w:pPr>
        <w:pStyle w:val="FirstParagraph"/>
      </w:pPr>
      <w:r>
        <w:t xml:space="preserve">Journal of Empirical Finance 37 (2016) 159-172</w:t>
      </w:r>
    </w:p>
    <w:p>
      <w:pPr>
        <w:pStyle w:val="BodyText"/>
      </w:pPr>
      <w:r>
        <w:t xml:space="preserve">Yanlin Shi, Wai Liu, and Kin-Yip Ho</w:t>
      </w:r>
    </w:p>
    <w:p>
      <w:pPr>
        <w:pStyle w:val="Heading3"/>
      </w:pPr>
      <w:bookmarkStart w:id="62" w:name="introduction-2"/>
      <w:r>
        <w:t xml:space="preserve">Introduction</w:t>
      </w:r>
      <w:bookmarkEnd w:id="62"/>
    </w:p>
    <w:p>
      <w:pPr>
        <w:pStyle w:val="FirstParagraph"/>
      </w:pPr>
      <w:r>
        <w:rPr>
          <w:b/>
        </w:rPr>
        <w:t xml:space="preserve">Idiosyncratic volatility puzzle</w:t>
      </w:r>
    </w:p>
    <w:p>
      <w:pPr>
        <w:numPr>
          <w:ilvl w:val="0"/>
          <w:numId w:val="1045"/>
        </w:numPr>
        <w:pStyle w:val="Compact"/>
      </w:pPr>
      <w:r>
        <w:t xml:space="preserve">Modern portfolio theory asserts that, in the absence of market imperfections, rational investors should hold diversified portfolios, and therefore</w:t>
      </w:r>
      <w:r>
        <w:t xml:space="preserve"> </w:t>
      </w:r>
      <w:r>
        <w:rPr>
          <w:b/>
        </w:rPr>
        <w:t xml:space="preserve">idiosyncratic volatility (IVOL) or risk should not be priced</w:t>
      </w:r>
      <w:r>
        <w:t xml:space="preserve">.</w:t>
      </w:r>
    </w:p>
    <w:p>
      <w:pPr>
        <w:numPr>
          <w:ilvl w:val="0"/>
          <w:numId w:val="1045"/>
        </w:numPr>
        <w:pStyle w:val="Compact"/>
      </w:pPr>
      <w:r>
        <w:t xml:space="preserve">In the presence of market imperfections, investors under-diversify, and such</w:t>
      </w:r>
      <w:r>
        <w:t xml:space="preserve"> </w:t>
      </w:r>
      <w:r>
        <w:rPr>
          <w:b/>
        </w:rPr>
        <w:t xml:space="preserve">under-diversification could lead to a positive relation between IVOL and expected stock returns</w:t>
      </w:r>
      <w:r>
        <w:t xml:space="preserve"> </w:t>
      </w:r>
      <w:r>
        <w:t xml:space="preserve">in the cross-section (Levy, 1978; Malkiel and Xu, 2002; Merton, 1987).</w:t>
      </w:r>
    </w:p>
    <w:p>
      <w:pPr>
        <w:numPr>
          <w:ilvl w:val="0"/>
          <w:numId w:val="1045"/>
        </w:numPr>
        <w:pStyle w:val="Compact"/>
      </w:pPr>
      <w:r>
        <w:t xml:space="preserve">recent work by</w:t>
      </w:r>
      <w:r>
        <w:t xml:space="preserve"> </w:t>
      </w:r>
      <w:r>
        <w:rPr>
          <w:b/>
        </w:rPr>
        <w:t xml:space="preserve">Ang et al. (2006)</w:t>
      </w:r>
      <w:r>
        <w:t xml:space="preserve"> </w:t>
      </w:r>
      <w:r>
        <w:t xml:space="preserve">documents an opposite and puzzling result; they find that</w:t>
      </w:r>
      <w:r>
        <w:t xml:space="preserve"> </w:t>
      </w:r>
      <w:r>
        <w:rPr>
          <w:b/>
        </w:rPr>
        <w:t xml:space="preserve">portfolios with high IVOL have abnormally low returns</w:t>
      </w:r>
      <w:r>
        <w:t xml:space="preserve">.</w:t>
      </w:r>
    </w:p>
    <w:p>
      <w:pPr>
        <w:pStyle w:val="FirstParagraph"/>
      </w:pPr>
      <w:r>
        <w:t xml:space="preserve">Many studies have emerged in the past decade to address the puzzling results of Ang et al. (2006). This paper offers an</w:t>
      </w:r>
      <w:r>
        <w:t xml:space="preserve"> </w:t>
      </w:r>
      <w:r>
        <w:rPr>
          <w:b/>
        </w:rPr>
        <w:t xml:space="preserve">alternative explanation</w:t>
      </w:r>
      <w:r>
        <w:t xml:space="preserve">.</w:t>
      </w:r>
    </w:p>
    <w:p>
      <w:pPr>
        <w:numPr>
          <w:ilvl w:val="0"/>
          <w:numId w:val="1046"/>
        </w:numPr>
        <w:pStyle w:val="Compact"/>
      </w:pPr>
      <w:r>
        <w:t xml:space="preserve">Studies such as Saryal (2009) and Fu (2009) point out that the puzzle is in part</w:t>
      </w:r>
      <w:r>
        <w:t xml:space="preserve"> </w:t>
      </w:r>
      <w:r>
        <w:rPr>
          <w:b/>
        </w:rPr>
        <w:t xml:space="preserve">caused by the method of IVOL measurement</w:t>
      </w:r>
      <w:r>
        <w:t xml:space="preserve">.</w:t>
      </w:r>
    </w:p>
    <w:p>
      <w:pPr>
        <w:pStyle w:val="Heading3"/>
      </w:pPr>
      <w:bookmarkStart w:id="63" w:name="Xc67a250276d74aa1b0a60d29d36f0b0b3820439"/>
      <w:r>
        <w:t xml:space="preserve">Estimation of idiosyncratic volatility (IVOL)</w:t>
      </w:r>
      <w:bookmarkEnd w:id="63"/>
    </w:p>
    <w:p>
      <w:pPr>
        <w:pStyle w:val="FirstParagraph"/>
      </w:pPr>
      <w:r>
        <w:t xml:space="preserve">In his critique of Ang et al. (2006) methodology, Fu (2009) contends that</w:t>
      </w:r>
      <w:r>
        <w:t xml:space="preserve"> </w:t>
      </w:r>
      <w:r>
        <w:rPr>
          <w:b/>
        </w:rPr>
        <w:t xml:space="preserve">lagged IVOL</w:t>
      </w:r>
      <w:r>
        <w:t xml:space="preserve"> </w:t>
      </w:r>
      <w:r>
        <w:t xml:space="preserve">may not be appropriate to serve as proxy for</w:t>
      </w:r>
      <w:r>
        <w:t xml:space="preserve"> </w:t>
      </w:r>
      <w:r>
        <w:rPr>
          <w:b/>
        </w:rPr>
        <w:t xml:space="preserve">expected IVOL</w:t>
      </w:r>
      <w:r>
        <w:t xml:space="preserve"> </w:t>
      </w:r>
      <w:r>
        <w:t xml:space="preserve">because of the return reversal and the time-varying property of IVOL.</w:t>
      </w:r>
    </w:p>
    <w:p>
      <w:pPr>
        <w:pStyle w:val="BodyText"/>
      </w:pPr>
      <w:r>
        <w:t xml:space="preserve">Estimate the monthly IVOL using EGARCH:</w:t>
      </w:r>
    </w:p>
    <w:p>
      <w:pPr>
        <w:pStyle w:val="BodyText"/>
      </w:pPr>
      <m:oMathPara>
        <m:oMathParaPr>
          <m:jc m:val="center"/>
        </m:oMathParaPr>
        <m:oMath>
          <m:m>
            <m:mPr>
              <m:baseJc m:val="center"/>
              <m:plcHide m:val="1"/>
              <m:mcs>
                <m:mc>
                  <m:mcPr>
                    <m:mcJc m:val="left"/>
                    <m:count m:val="1"/>
                  </m:mcPr>
                </m:mc>
              </m:mcs>
            </m:mPr>
            <m:mr>
              <m:e>
                <m:sSub>
                  <m:e>
                    <m:r>
                      <m:t>r</m:t>
                    </m:r>
                  </m:e>
                  <m:sub>
                    <m:r>
                      <m:t>i</m:t>
                    </m:r>
                    <m:r>
                      <m:t>,</m:t>
                    </m:r>
                    <m:r>
                      <m:t>t</m:t>
                    </m:r>
                  </m:sub>
                </m:sSub>
                <m:r>
                  <m:t>=</m:t>
                </m:r>
                <m:sSub>
                  <m:e>
                    <m:r>
                      <m:t>α</m:t>
                    </m:r>
                  </m:e>
                  <m:sub>
                    <m:r>
                      <m:t>i</m:t>
                    </m:r>
                  </m:sub>
                </m:sSub>
                <m:r>
                  <m:t>+</m:t>
                </m:r>
                <m:sSub>
                  <m:e>
                    <m:r>
                      <m:t>β</m:t>
                    </m:r>
                  </m:e>
                  <m:sub>
                    <m:r>
                      <m:t>i</m:t>
                    </m:r>
                  </m:sub>
                </m:sSub>
                <m:r>
                  <m:t>M</m:t>
                </m:r>
                <m:r>
                  <m:t>K</m:t>
                </m:r>
                <m:sSub>
                  <m:e>
                    <m:r>
                      <m:t>T</m:t>
                    </m:r>
                  </m:e>
                  <m:sub>
                    <m:r>
                      <m:t>t</m:t>
                    </m:r>
                  </m:sub>
                </m:sSub>
                <m:r>
                  <m:t>+</m:t>
                </m:r>
                <m:sSub>
                  <m:e>
                    <m:r>
                      <m:t>s</m:t>
                    </m:r>
                  </m:e>
                  <m:sub>
                    <m:r>
                      <m:t>i</m:t>
                    </m:r>
                  </m:sub>
                </m:sSub>
                <m:r>
                  <m:t>S</m:t>
                </m:r>
                <m:r>
                  <m:t>M</m:t>
                </m:r>
                <m:sSub>
                  <m:e>
                    <m:r>
                      <m:t>B</m:t>
                    </m:r>
                  </m:e>
                  <m:sub>
                    <m:r>
                      <m:t>t</m:t>
                    </m:r>
                  </m:sub>
                </m:sSub>
                <m:r>
                  <m:t>+</m:t>
                </m:r>
                <m:sSub>
                  <m:e>
                    <m:r>
                      <m:t>h</m:t>
                    </m:r>
                  </m:e>
                  <m:sub>
                    <m:r>
                      <m:t>i</m:t>
                    </m:r>
                  </m:sub>
                </m:sSub>
                <m:r>
                  <m:t>H</m:t>
                </m:r>
                <m:r>
                  <m:t>M</m:t>
                </m:r>
                <m:sSub>
                  <m:e>
                    <m:r>
                      <m:t>L</m:t>
                    </m:r>
                  </m:e>
                  <m:sub>
                    <m:r>
                      <m:t>t</m:t>
                    </m:r>
                  </m:sub>
                </m:sSub>
                <m:r>
                  <m:t>+</m:t>
                </m:r>
                <m:sSub>
                  <m:e>
                    <m:r>
                      <m:t>ε</m:t>
                    </m:r>
                  </m:e>
                  <m:sub>
                    <m:r>
                      <m:t>i</m:t>
                    </m:r>
                    <m:r>
                      <m:t>,</m:t>
                    </m:r>
                    <m:r>
                      <m:t>t</m:t>
                    </m:r>
                  </m:sub>
                </m:sSub>
                <m:r>
                  <m:rPr>
                    <m:nor/>
                    <m:sty m:val="p"/>
                  </m:rPr>
                  <m:t> and </m:t>
                </m:r>
                <m:sSub>
                  <m:e>
                    <m:r>
                      <m:t>ε</m:t>
                    </m:r>
                  </m:e>
                  <m:sub>
                    <m:r>
                      <m:t>i</m:t>
                    </m:r>
                    <m:r>
                      <m:t>,</m:t>
                    </m:r>
                    <m:r>
                      <m:t>t</m:t>
                    </m:r>
                  </m:sub>
                </m:sSub>
                <m:r>
                  <m:t>∼</m:t>
                </m:r>
                <m:r>
                  <m:t>N</m:t>
                </m:r>
                <m:d>
                  <m:dPr>
                    <m:begChr m:val="("/>
                    <m:endChr m:val=")"/>
                    <m:grow/>
                  </m:dPr>
                  <m:e>
                    <m:r>
                      <m:t>0</m:t>
                    </m:r>
                    <m:r>
                      <m:t>,</m:t>
                    </m:r>
                    <m:sSubSup>
                      <m:e>
                        <m:r>
                          <m:t>σ</m:t>
                        </m:r>
                      </m:e>
                      <m:sub>
                        <m:r>
                          <m:t>i</m:t>
                        </m:r>
                        <m:r>
                          <m:t>,</m:t>
                        </m:r>
                        <m:r>
                          <m:t>t</m:t>
                        </m:r>
                      </m:sub>
                      <m:sup>
                        <m:r>
                          <m:t>2</m:t>
                        </m:r>
                      </m:sup>
                    </m:sSubSup>
                  </m:e>
                </m:d>
              </m:e>
            </m:mr>
            <m:mr>
              <m:e>
                <m:r>
                  <m:rPr>
                    <m:nor/>
                    <m:sty m:val="p"/>
                  </m:rPr>
                  <m:t>ln</m:t>
                </m:r>
                <m:d>
                  <m:dPr>
                    <m:begChr m:val="("/>
                    <m:endChr m:val=")"/>
                    <m:grow/>
                  </m:dPr>
                  <m:e>
                    <m:sSubSup>
                      <m:e>
                        <m:r>
                          <m:t>σ</m:t>
                        </m:r>
                      </m:e>
                      <m:sub>
                        <m:r>
                          <m:t>i</m:t>
                        </m:r>
                        <m:r>
                          <m:t>,</m:t>
                        </m:r>
                        <m:r>
                          <m:t>t</m:t>
                        </m:r>
                      </m:sub>
                      <m:sup>
                        <m:r>
                          <m:t>2</m:t>
                        </m:r>
                      </m:sup>
                    </m:sSubSup>
                  </m:e>
                </m:d>
                <m:r>
                  <m:t>=</m:t>
                </m:r>
                <m:sSub>
                  <m:e>
                    <m:r>
                      <m:t>a</m:t>
                    </m:r>
                  </m:e>
                  <m:sub>
                    <m:r>
                      <m:t>i</m:t>
                    </m:r>
                  </m:sub>
                </m:sSub>
                <m:r>
                  <m:t>+</m:t>
                </m:r>
                <m:nary>
                  <m:naryPr>
                    <m:chr m:val="∑"/>
                    <m:limLoc m:val="undOvr"/>
                    <m:subHide m:val="0"/>
                    <m:supHide m:val="0"/>
                  </m:naryPr>
                  <m:sub>
                    <m:r>
                      <m:t>l</m:t>
                    </m:r>
                    <m:r>
                      <m:t>=</m:t>
                    </m:r>
                    <m:r>
                      <m:t>1</m:t>
                    </m:r>
                  </m:sub>
                  <m:sup>
                    <m:r>
                      <m:t>p</m:t>
                    </m:r>
                  </m:sup>
                  <m:e>
                    <m:sSub>
                      <m:e>
                        <m:r>
                          <m:t>b</m:t>
                        </m:r>
                      </m:e>
                      <m:sub>
                        <m:r>
                          <m:t>i</m:t>
                        </m:r>
                        <m:r>
                          <m:t>,</m:t>
                        </m:r>
                        <m:r>
                          <m:t>l</m:t>
                        </m:r>
                      </m:sub>
                    </m:sSub>
                  </m:e>
                </m:nary>
                <m:r>
                  <m:rPr>
                    <m:nor/>
                    <m:sty m:val="p"/>
                  </m:rPr>
                  <m:t>ln</m:t>
                </m:r>
                <m:d>
                  <m:dPr>
                    <m:begChr m:val="("/>
                    <m:endChr m:val=")"/>
                    <m:grow/>
                  </m:dPr>
                  <m:e>
                    <m:sSubSup>
                      <m:e>
                        <m:r>
                          <m:t>σ</m:t>
                        </m:r>
                      </m:e>
                      <m:sub>
                        <m:r>
                          <m:t>i</m:t>
                        </m:r>
                        <m:r>
                          <m:t>,</m:t>
                        </m:r>
                        <m:r>
                          <m:t>t</m:t>
                        </m:r>
                        <m:r>
                          <m:t>−</m:t>
                        </m:r>
                        <m:r>
                          <m:t>1</m:t>
                        </m:r>
                      </m:sub>
                      <m:sup>
                        <m:r>
                          <m:t>2</m:t>
                        </m:r>
                      </m:sup>
                    </m:sSubSup>
                  </m:e>
                </m:d>
                <m:r>
                  <m:t>+</m:t>
                </m:r>
                <m:nary>
                  <m:naryPr>
                    <m:chr m:val="∑"/>
                    <m:limLoc m:val="undOvr"/>
                    <m:subHide m:val="0"/>
                    <m:supHide m:val="0"/>
                  </m:naryPr>
                  <m:sub>
                    <m:r>
                      <m:t>k</m:t>
                    </m:r>
                    <m:r>
                      <m:t>=</m:t>
                    </m:r>
                    <m:r>
                      <m:t>1</m:t>
                    </m:r>
                  </m:sub>
                  <m:sup>
                    <m:r>
                      <m:t>q</m:t>
                    </m:r>
                  </m:sup>
                  <m:e>
                    <m:sSub>
                      <m:e>
                        <m:r>
                          <m:t>c</m:t>
                        </m:r>
                      </m:e>
                      <m:sub>
                        <m:r>
                          <m:t>i</m:t>
                        </m:r>
                        <m:r>
                          <m:t>,</m:t>
                        </m:r>
                        <m:r>
                          <m:t>k</m:t>
                        </m:r>
                      </m:sub>
                    </m:sSub>
                  </m:e>
                </m:nary>
                <m:d>
                  <m:dPr>
                    <m:begChr m:val="{"/>
                    <m:endChr m:val="}"/>
                    <m:grow/>
                  </m:dPr>
                  <m:e>
                    <m:r>
                      <m:t>θ</m:t>
                    </m:r>
                    <m:d>
                      <m:dPr>
                        <m:begChr m:val="("/>
                        <m:endChr m:val=")"/>
                        <m:grow/>
                      </m:dPr>
                      <m:e>
                        <m:f>
                          <m:fPr>
                            <m:type m:val="bar"/>
                          </m:fPr>
                          <m:num>
                            <m:sSub>
                              <m:e>
                                <m:r>
                                  <m:t>ε</m:t>
                                </m:r>
                              </m:e>
                              <m:sub>
                                <m:r>
                                  <m:t>i</m:t>
                                </m:r>
                                <m:r>
                                  <m:t>,</m:t>
                                </m:r>
                                <m:r>
                                  <m:t>t</m:t>
                                </m:r>
                                <m:r>
                                  <m:t>−</m:t>
                                </m:r>
                                <m:r>
                                  <m:t>k</m:t>
                                </m:r>
                              </m:sub>
                            </m:sSub>
                          </m:num>
                          <m:den>
                            <m:sSub>
                              <m:e>
                                <m:r>
                                  <m:t>σ</m:t>
                                </m:r>
                              </m:e>
                              <m:sub>
                                <m:r>
                                  <m:t>i</m:t>
                                </m:r>
                                <m:r>
                                  <m:t>,</m:t>
                                </m:r>
                                <m:r>
                                  <m:t>t</m:t>
                                </m:r>
                                <m:r>
                                  <m:t>−</m:t>
                                </m:r>
                                <m:r>
                                  <m:t>k</m:t>
                                </m:r>
                              </m:sub>
                            </m:sSub>
                          </m:den>
                        </m:f>
                      </m:e>
                    </m:d>
                    <m:r>
                      <m:t>+</m:t>
                    </m:r>
                    <m:r>
                      <m:t>γ</m:t>
                    </m:r>
                    <m:d>
                      <m:dPr>
                        <m:begChr m:val="["/>
                        <m:endChr m:val="]"/>
                        <m:grow/>
                      </m:dPr>
                      <m:e>
                        <m:d>
                          <m:dPr>
                            <m:begChr m:val="|"/>
                            <m:endChr m:val="|"/>
                            <m:grow/>
                          </m:dPr>
                          <m:e>
                            <m:f>
                              <m:fPr>
                                <m:type m:val="bar"/>
                              </m:fPr>
                              <m:num>
                                <m:sSub>
                                  <m:e>
                                    <m:r>
                                      <m:t>ε</m:t>
                                    </m:r>
                                  </m:e>
                                  <m:sub>
                                    <m:r>
                                      <m:t>i</m:t>
                                    </m:r>
                                    <m:r>
                                      <m:t>,</m:t>
                                    </m:r>
                                    <m:r>
                                      <m:t>t</m:t>
                                    </m:r>
                                    <m:r>
                                      <m:t>−</m:t>
                                    </m:r>
                                    <m:r>
                                      <m:t>k</m:t>
                                    </m:r>
                                  </m:sub>
                                </m:sSub>
                              </m:num>
                              <m:den>
                                <m:sSub>
                                  <m:e>
                                    <m:r>
                                      <m:t>σ</m:t>
                                    </m:r>
                                  </m:e>
                                  <m:sub>
                                    <m:r>
                                      <m:t>i</m:t>
                                    </m:r>
                                    <m:r>
                                      <m:t>,</m:t>
                                    </m:r>
                                    <m:r>
                                      <m:t>t</m:t>
                                    </m:r>
                                    <m:r>
                                      <m:t>−</m:t>
                                    </m:r>
                                    <m:r>
                                      <m:t>k</m:t>
                                    </m:r>
                                  </m:sub>
                                </m:sSub>
                              </m:den>
                            </m:f>
                          </m:e>
                        </m:d>
                        <m:r>
                          <m:t>−</m:t>
                        </m:r>
                        <m:r>
                          <m:t>(</m:t>
                        </m:r>
                        <m:r>
                          <m:t>2</m:t>
                        </m:r>
                        <m:r>
                          <m:t>/</m:t>
                        </m:r>
                        <m:r>
                          <m:t>π</m:t>
                        </m:r>
                        <m:sSup>
                          <m:e>
                            <m:r>
                              <m:t>)</m:t>
                            </m:r>
                          </m:e>
                          <m:sup>
                            <m:r>
                              <m:t>1</m:t>
                            </m:r>
                            <m:r>
                              <m:t>/</m:t>
                            </m:r>
                            <m:r>
                              <m:t>2</m:t>
                            </m:r>
                          </m:sup>
                        </m:sSup>
                      </m:e>
                    </m:d>
                  </m:e>
                </m:d>
              </m:e>
            </m:mr>
          </m:m>
        </m:oMath>
      </m:oMathPara>
    </w:p>
    <w:p>
      <w:pPr>
        <w:pStyle w:val="Heading3"/>
      </w:pPr>
      <w:bookmarkStart w:id="64" w:name="sample-and-data"/>
      <w:r>
        <w:t xml:space="preserve">Sample and Data</w:t>
      </w:r>
      <w:bookmarkEnd w:id="64"/>
    </w:p>
    <w:p>
      <w:pPr>
        <w:pStyle w:val="FirstParagraph"/>
      </w:pPr>
      <w:r>
        <w:t xml:space="preserve">Original News Data (ranging from 1/1/2000 to 31/12/2011)</w:t>
      </w:r>
    </w:p>
    <w:p>
      <w:pPr>
        <w:numPr>
          <w:ilvl w:val="0"/>
          <w:numId w:val="1047"/>
        </w:numPr>
        <w:pStyle w:val="Compact"/>
      </w:pPr>
      <w:r>
        <w:t xml:space="preserve">REL: relevance score (0-100)</w:t>
      </w:r>
    </w:p>
    <w:p>
      <w:pPr>
        <w:numPr>
          <w:ilvl w:val="0"/>
          <w:numId w:val="1047"/>
        </w:numPr>
        <w:pStyle w:val="Compact"/>
      </w:pPr>
      <w:r>
        <w:t xml:space="preserve">ESS: essential score (&gt;50 positive, &lt;50 negative)</w:t>
      </w:r>
    </w:p>
    <w:p>
      <w:pPr>
        <w:numPr>
          <w:ilvl w:val="0"/>
          <w:numId w:val="1047"/>
        </w:numPr>
        <w:pStyle w:val="Compact"/>
      </w:pPr>
      <w:r>
        <w:t xml:space="preserve">ENS: novelty score (0-100)</w:t>
      </w:r>
    </w:p>
    <w:p>
      <w:pPr>
        <w:numPr>
          <w:ilvl w:val="0"/>
          <w:numId w:val="1047"/>
        </w:numPr>
        <w:pStyle w:val="Compact"/>
      </w:pPr>
      <w:r>
        <w:t xml:space="preserve">CSS: sentiment score (&gt;50 positive, &lt;50 negative)</w:t>
      </w:r>
    </w:p>
    <w:p>
      <w:pPr>
        <w:pStyle w:val="FirstParagraph"/>
      </w:pPr>
      <w:r>
        <w:t xml:space="preserve">Regenerate number of news articles weighted by REL:</w:t>
      </w:r>
    </w:p>
    <w:p>
      <w:pPr>
        <w:pStyle w:val="BodyText"/>
      </w:pPr>
      <m:oMathPara>
        <m:oMathParaPr>
          <m:jc m:val="center"/>
        </m:oMathParaPr>
        <m:oMath>
          <m:r>
            <m:t>R</m:t>
          </m:r>
          <m:sSub>
            <m:e>
              <m:r>
                <m:t>N</m:t>
              </m:r>
            </m:e>
            <m:sub>
              <m:r>
                <m:t>i</m:t>
              </m:r>
              <m:r>
                <m:t>,</m:t>
              </m:r>
              <m:r>
                <m:t>t</m:t>
              </m:r>
            </m:sub>
          </m:sSub>
          <m:r>
            <m:t>=</m:t>
          </m:r>
          <m:nary>
            <m:naryPr>
              <m:chr m:val="∑"/>
              <m:limLoc m:val="undOvr"/>
              <m:subHide m:val="0"/>
              <m:supHide m:val="1"/>
            </m:naryPr>
            <m:sub>
              <m:r>
                <m:rPr>
                  <m:nor/>
                  <m:sty m:val="p"/>
                </m:rPr>
                <m:t>all </m:t>
              </m:r>
              <m:r>
                <m:t>τ</m:t>
              </m:r>
            </m:sub>
            <m:sup>
              <m:r>
                <m:t>​</m:t>
              </m:r>
            </m:sup>
            <m:e>
              <m:f>
                <m:fPr>
                  <m:type m:val="bar"/>
                </m:fPr>
                <m:num>
                  <m:r>
                    <m:t>R</m:t>
                  </m:r>
                  <m:r>
                    <m:t>E</m:t>
                  </m:r>
                  <m:sSub>
                    <m:e>
                      <m:r>
                        <m:t>L</m:t>
                      </m:r>
                    </m:e>
                    <m:sub>
                      <m:r>
                        <m:t>i</m:t>
                      </m:r>
                      <m:r>
                        <m:t>,</m:t>
                      </m:r>
                      <m:r>
                        <m:t>τ</m:t>
                      </m:r>
                    </m:sub>
                  </m:sSub>
                </m:num>
                <m:den>
                  <m:r>
                    <m:t>100</m:t>
                  </m:r>
                </m:den>
              </m:f>
            </m:e>
          </m:nary>
        </m:oMath>
      </m:oMathPara>
    </w:p>
    <w:p>
      <w:pPr>
        <w:pStyle w:val="FirstParagraph"/>
      </w:pPr>
      <w:r>
        <w:t xml:space="preserve">News variables (ranging from 1/1/2000 to 31/12/2011)</w:t>
      </w:r>
    </w:p>
    <w:p>
      <w:pPr>
        <w:numPr>
          <w:ilvl w:val="0"/>
          <w:numId w:val="1048"/>
        </w:numPr>
        <w:pStyle w:val="Compact"/>
      </w:pPr>
      <w:r>
        <w:t xml:space="preserve">Weighted ESS</w:t>
      </w:r>
    </w:p>
    <w:p>
      <w:pPr>
        <w:pStyle w:val="FirstParagraph"/>
      </w:pPr>
      <m:oMathPara>
        <m:oMathParaPr>
          <m:jc m:val="center"/>
        </m:oMathParaPr>
        <m:oMath>
          <m:r>
            <m:t>W</m:t>
          </m:r>
          <m:r>
            <m:t>E</m:t>
          </m:r>
          <m:r>
            <m:t>S</m:t>
          </m:r>
          <m:sSub>
            <m:e>
              <m:r>
                <m:t>S</m:t>
              </m:r>
            </m:e>
            <m:sub>
              <m:r>
                <m:t>i</m:t>
              </m:r>
              <m:r>
                <m:t>,</m:t>
              </m:r>
              <m:r>
                <m:t>t</m:t>
              </m:r>
            </m:sub>
          </m:sSub>
          <m:r>
            <m:t>=</m:t>
          </m:r>
          <m:f>
            <m:fPr>
              <m:type m:val="bar"/>
            </m:fPr>
            <m:num>
              <m:r>
                <m:t>1</m:t>
              </m:r>
            </m:num>
            <m:den>
              <m:r>
                <m:t>T</m:t>
              </m:r>
            </m:den>
          </m:f>
          <m:nary>
            <m:naryPr>
              <m:chr m:val="∑"/>
              <m:limLoc m:val="undOvr"/>
              <m:subHide m:val="0"/>
              <m:supHide m:val="1"/>
            </m:naryPr>
            <m:sub>
              <m:r>
                <m:rPr>
                  <m:nor/>
                  <m:sty m:val="p"/>
                </m:rPr>
                <m:t>all </m:t>
              </m:r>
              <m:r>
                <m:t>τ</m:t>
              </m:r>
            </m:sub>
            <m:sup>
              <m:r>
                <m:t>​</m:t>
              </m:r>
            </m:sup>
            <m:e>
              <m:f>
                <m:fPr>
                  <m:type m:val="bar"/>
                </m:fPr>
                <m:num>
                  <m:d>
                    <m:dPr>
                      <m:begChr m:val="("/>
                      <m:endChr m:val=")"/>
                      <m:grow/>
                    </m:dPr>
                    <m:e>
                      <m:r>
                        <m:t>E</m:t>
                      </m:r>
                      <m:r>
                        <m:t>S</m:t>
                      </m:r>
                      <m:sSub>
                        <m:e>
                          <m:r>
                            <m:t>S</m:t>
                          </m:r>
                        </m:e>
                        <m:sub>
                          <m:r>
                            <m:t>i</m:t>
                          </m:r>
                          <m:r>
                            <m:t>,</m:t>
                          </m:r>
                          <m:r>
                            <m:t>τ</m:t>
                          </m:r>
                        </m:sub>
                      </m:sSub>
                      <m:r>
                        <m:t>−</m:t>
                      </m:r>
                      <m:r>
                        <m:t>50</m:t>
                      </m:r>
                    </m:e>
                  </m:d>
                  <m:r>
                    <m:t>E</m:t>
                  </m:r>
                  <m:r>
                    <m:t>N</m:t>
                  </m:r>
                  <m:sSub>
                    <m:e>
                      <m:r>
                        <m:t>S</m:t>
                      </m:r>
                    </m:e>
                    <m:sub>
                      <m:r>
                        <m:t>i</m:t>
                      </m:r>
                      <m:r>
                        <m:t>,</m:t>
                      </m:r>
                      <m:r>
                        <m:t>τ</m:t>
                      </m:r>
                    </m:sub>
                  </m:sSub>
                </m:num>
                <m:den>
                  <m:r>
                    <m:t>100</m:t>
                  </m:r>
                </m:den>
              </m:f>
            </m:e>
          </m:nary>
        </m:oMath>
      </m:oMathPara>
    </w:p>
    <w:p>
      <w:pPr>
        <w:pStyle w:val="FirstParagraph"/>
      </w:pPr>
      <w:r>
        <w:t xml:space="preserve">- Weighted Numbers of Negative or Positive News</w:t>
      </w:r>
    </w:p>
    <w:p>
      <w:pPr>
        <w:pStyle w:val="BodyText"/>
      </w:pPr>
      <m:oMathPara>
        <m:oMathParaPr>
          <m:jc m:val="center"/>
        </m:oMathParaPr>
        <m:oMath>
          <m:m>
            <m:mPr>
              <m:baseJc m:val="center"/>
              <m:plcHide m:val="1"/>
              <m:mcs>
                <m:mc>
                  <m:mcPr>
                    <m:mcJc m:val="left"/>
                    <m:count m:val="1"/>
                  </m:mcPr>
                </m:mc>
              </m:mcs>
            </m:mPr>
            <m:mr>
              <m:e>
                <m:r>
                  <m:t>W</m:t>
                </m:r>
                <m:r>
                  <m:t>N</m:t>
                </m:r>
                <m:sSub>
                  <m:e>
                    <m:r>
                      <m:t>N</m:t>
                    </m:r>
                  </m:e>
                  <m:sub>
                    <m:r>
                      <m:t>i</m:t>
                    </m:r>
                    <m:r>
                      <m:t>,</m:t>
                    </m:r>
                    <m:r>
                      <m:t>t</m:t>
                    </m:r>
                  </m:sub>
                </m:sSub>
                <m:r>
                  <m:t>=</m:t>
                </m:r>
                <m:nary>
                  <m:naryPr>
                    <m:chr m:val="∑"/>
                    <m:limLoc m:val="undOvr"/>
                    <m:subHide m:val="0"/>
                    <m:supHide m:val="1"/>
                  </m:naryPr>
                  <m:sub>
                    <m:r>
                      <m:rPr>
                        <m:nor/>
                        <m:sty m:val="p"/>
                      </m:rPr>
                      <m:t>all </m:t>
                    </m:r>
                    <m:r>
                      <m:t>τ</m:t>
                    </m:r>
                  </m:sub>
                  <m:sup>
                    <m:r>
                      <m:t>​</m:t>
                    </m:r>
                  </m:sup>
                  <m:e>
                    <m:f>
                      <m:fPr>
                        <m:type m:val="bar"/>
                      </m:fPr>
                      <m:num>
                        <m:r>
                          <m:t>I</m:t>
                        </m:r>
                        <m:d>
                          <m:dPr>
                            <m:begChr m:val="("/>
                            <m:endChr m:val=")"/>
                            <m:grow/>
                          </m:dPr>
                          <m:e>
                            <m:r>
                              <m:t>C</m:t>
                            </m:r>
                            <m:r>
                              <m:t>S</m:t>
                            </m:r>
                            <m:sSub>
                              <m:e>
                                <m:r>
                                  <m:t>S</m:t>
                                </m:r>
                              </m:e>
                              <m:sub>
                                <m:r>
                                  <m:t>i</m:t>
                                </m:r>
                                <m:r>
                                  <m:t>,</m:t>
                                </m:r>
                                <m:r>
                                  <m:t>τ</m:t>
                                </m:r>
                              </m:sub>
                            </m:sSub>
                            <m:r>
                              <m:t>&lt;</m:t>
                            </m:r>
                            <m:r>
                              <m:t>50</m:t>
                            </m:r>
                          </m:e>
                        </m:d>
                        <m:d>
                          <m:dPr>
                            <m:begChr m:val="|"/>
                            <m:endChr m:val="|"/>
                            <m:grow/>
                          </m:dPr>
                          <m:e>
                            <m:r>
                              <m:t>C</m:t>
                            </m:r>
                            <m:r>
                              <m:t>S</m:t>
                            </m:r>
                            <m:sSub>
                              <m:e>
                                <m:r>
                                  <m:t>S</m:t>
                                </m:r>
                              </m:e>
                              <m:sub>
                                <m:r>
                                  <m:t>i</m:t>
                                </m:r>
                                <m:r>
                                  <m:t>,</m:t>
                                </m:r>
                                <m:r>
                                  <m:t>τ</m:t>
                                </m:r>
                              </m:sub>
                            </m:sSub>
                            <m:r>
                              <m:t>−</m:t>
                            </m:r>
                            <m:r>
                              <m:t>50</m:t>
                            </m:r>
                          </m:e>
                        </m:d>
                        <m:r>
                          <m:t>R</m:t>
                        </m:r>
                        <m:r>
                          <m:t>E</m:t>
                        </m:r>
                        <m:sSub>
                          <m:e>
                            <m:r>
                              <m:t>L</m:t>
                            </m:r>
                          </m:e>
                          <m:sub>
                            <m:r>
                              <m:t>i</m:t>
                            </m:r>
                            <m:r>
                              <m:t>,</m:t>
                            </m:r>
                            <m:r>
                              <m:t>τ</m:t>
                            </m:r>
                          </m:sub>
                        </m:sSub>
                      </m:num>
                      <m:den>
                        <m:r>
                          <m:t>100</m:t>
                        </m:r>
                      </m:den>
                    </m:f>
                  </m:e>
                </m:nary>
              </m:e>
            </m:mr>
            <m:mr>
              <m:e>
                <m:r>
                  <m:t>W</m:t>
                </m:r>
                <m:r>
                  <m:t>N</m:t>
                </m:r>
                <m:sSub>
                  <m:e>
                    <m:r>
                      <m:t>P</m:t>
                    </m:r>
                  </m:e>
                  <m:sub>
                    <m:r>
                      <m:t>i</m:t>
                    </m:r>
                    <m:r>
                      <m:t>,</m:t>
                    </m:r>
                    <m:r>
                      <m:t>t</m:t>
                    </m:r>
                  </m:sub>
                </m:sSub>
                <m:r>
                  <m:t>=</m:t>
                </m:r>
                <m:nary>
                  <m:naryPr>
                    <m:chr m:val="∑"/>
                    <m:limLoc m:val="undOvr"/>
                    <m:subHide m:val="0"/>
                    <m:supHide m:val="1"/>
                  </m:naryPr>
                  <m:sub>
                    <m:r>
                      <m:rPr>
                        <m:nor/>
                        <m:sty m:val="p"/>
                      </m:rPr>
                      <m:t>all </m:t>
                    </m:r>
                    <m:r>
                      <m:t>τ</m:t>
                    </m:r>
                  </m:sub>
                  <m:sup>
                    <m:r>
                      <m:t>​</m:t>
                    </m:r>
                  </m:sup>
                  <m:e>
                    <m:f>
                      <m:fPr>
                        <m:type m:val="bar"/>
                      </m:fPr>
                      <m:num>
                        <m:r>
                          <m:t>I</m:t>
                        </m:r>
                        <m:d>
                          <m:dPr>
                            <m:begChr m:val="("/>
                            <m:endChr m:val=")"/>
                            <m:grow/>
                          </m:dPr>
                          <m:e>
                            <m:r>
                              <m:t>C</m:t>
                            </m:r>
                            <m:r>
                              <m:t>S</m:t>
                            </m:r>
                            <m:sSub>
                              <m:e>
                                <m:r>
                                  <m:t>S</m:t>
                                </m:r>
                              </m:e>
                              <m:sub>
                                <m:r>
                                  <m:t>i</m:t>
                                </m:r>
                                <m:r>
                                  <m:t>,</m:t>
                                </m:r>
                                <m:r>
                                  <m:t>τ</m:t>
                                </m:r>
                              </m:sub>
                            </m:sSub>
                            <m:r>
                              <m:t>&gt;</m:t>
                            </m:r>
                            <m:r>
                              <m:t>50</m:t>
                            </m:r>
                          </m:e>
                        </m:d>
                        <m:d>
                          <m:dPr>
                            <m:begChr m:val="|"/>
                            <m:endChr m:val="|"/>
                            <m:grow/>
                          </m:dPr>
                          <m:e>
                            <m:r>
                              <m:t>C</m:t>
                            </m:r>
                            <m:r>
                              <m:t>S</m:t>
                            </m:r>
                            <m:sSub>
                              <m:e>
                                <m:r>
                                  <m:t>S</m:t>
                                </m:r>
                              </m:e>
                              <m:sub>
                                <m:r>
                                  <m:t>i</m:t>
                                </m:r>
                                <m:r>
                                  <m:t>,</m:t>
                                </m:r>
                                <m:r>
                                  <m:t>τ</m:t>
                                </m:r>
                              </m:sub>
                            </m:sSub>
                            <m:r>
                              <m:t>−</m:t>
                            </m:r>
                            <m:r>
                              <m:t>50</m:t>
                            </m:r>
                          </m:e>
                        </m:d>
                        <m:r>
                          <m:t>R</m:t>
                        </m:r>
                        <m:r>
                          <m:t>E</m:t>
                        </m:r>
                        <m:sSub>
                          <m:e>
                            <m:r>
                              <m:t>L</m:t>
                            </m:r>
                          </m:e>
                          <m:sub>
                            <m:r>
                              <m:t>i</m:t>
                            </m:r>
                            <m:r>
                              <m:t>,</m:t>
                            </m:r>
                            <m:r>
                              <m:t>τ</m:t>
                            </m:r>
                          </m:sub>
                        </m:sSub>
                      </m:num>
                      <m:den>
                        <m:r>
                          <m:t>100</m:t>
                        </m:r>
                      </m:den>
                    </m:f>
                  </m:e>
                </m:nary>
              </m:e>
            </m:mr>
          </m:m>
        </m:oMath>
      </m:oMathPara>
    </w:p>
    <w:p>
      <w:pPr>
        <w:pStyle w:val="Heading3"/>
      </w:pPr>
      <w:bookmarkStart w:id="65" w:name="empirical-results"/>
      <w:r>
        <w:t xml:space="preserve">Empirical Results</w:t>
      </w:r>
      <w:bookmarkEnd w:id="65"/>
    </w:p>
    <w:p>
      <w:pPr>
        <w:pStyle w:val="FirstParagraph"/>
      </w:pPr>
      <w:r>
        <w:drawing>
          <wp:inline>
            <wp:extent cx="5334000" cy="1950301"/>
            <wp:effectExtent b="0" l="0" r="0" t="0"/>
            <wp:docPr descr="" title="" id="1" name="Picture"/>
            <a:graphic>
              <a:graphicData uri="http://schemas.openxmlformats.org/drawingml/2006/picture">
                <pic:pic>
                  <pic:nvPicPr>
                    <pic:cNvPr descr="img/SpecialTopic3_AnomaliesinInternationalFinancialMarkets.en_20221028191126.png" id="0" name="Picture"/>
                    <pic:cNvPicPr>
                      <a:picLocks noChangeArrowheads="1" noChangeAspect="1"/>
                    </pic:cNvPicPr>
                  </pic:nvPicPr>
                  <pic:blipFill>
                    <a:blip r:embed="rId66"/>
                    <a:stretch>
                      <a:fillRect/>
                    </a:stretch>
                  </pic:blipFill>
                  <pic:spPr bwMode="auto">
                    <a:xfrm>
                      <a:off x="0" y="0"/>
                      <a:ext cx="5334000" cy="1950301"/>
                    </a:xfrm>
                    <a:prstGeom prst="rect">
                      <a:avLst/>
                    </a:prstGeom>
                    <a:noFill/>
                    <a:ln w="9525">
                      <a:noFill/>
                      <a:headEnd/>
                      <a:tailEnd/>
                    </a:ln>
                  </pic:spPr>
                </pic:pic>
              </a:graphicData>
            </a:graphic>
          </wp:inline>
        </w:drawing>
      </w:r>
    </w:p>
    <w:p>
      <w:pPr>
        <w:pStyle w:val="BodyText"/>
      </w:pPr>
      <w:r>
        <w:drawing>
          <wp:inline>
            <wp:extent cx="5334000" cy="1372125"/>
            <wp:effectExtent b="0" l="0" r="0" t="0"/>
            <wp:docPr descr="" title="" id="1" name="Picture"/>
            <a:graphic>
              <a:graphicData uri="http://schemas.openxmlformats.org/drawingml/2006/picture">
                <pic:pic>
                  <pic:nvPicPr>
                    <pic:cNvPr descr="img/SpecialTopic3_AnomaliesinInternationalFinancialMarkets.en_20221028191210.png" id="0" name="Picture"/>
                    <pic:cNvPicPr>
                      <a:picLocks noChangeArrowheads="1" noChangeAspect="1"/>
                    </pic:cNvPicPr>
                  </pic:nvPicPr>
                  <pic:blipFill>
                    <a:blip r:embed="rId67"/>
                    <a:stretch>
                      <a:fillRect/>
                    </a:stretch>
                  </pic:blipFill>
                  <pic:spPr bwMode="auto">
                    <a:xfrm>
                      <a:off x="0" y="0"/>
                      <a:ext cx="5334000" cy="1372125"/>
                    </a:xfrm>
                    <a:prstGeom prst="rect">
                      <a:avLst/>
                    </a:prstGeom>
                    <a:noFill/>
                    <a:ln w="9525">
                      <a:noFill/>
                      <a:headEnd/>
                      <a:tailEnd/>
                    </a:ln>
                  </pic:spPr>
                </pic:pic>
              </a:graphicData>
            </a:graphic>
          </wp:inline>
        </w:drawing>
      </w:r>
    </w:p>
    <w:p>
      <w:pPr>
        <w:pStyle w:val="BodyText"/>
      </w:pPr>
      <w:r>
        <w:t xml:space="preserve">As the lagged IVOL rises, the average excess return falls.</w:t>
      </w:r>
    </w:p>
    <w:p>
      <w:pPr>
        <w:pStyle w:val="BodyText"/>
      </w:pPr>
      <w:r>
        <w:t xml:space="preserve">The average excess return falls with the number of weighted negative news, while it rises with the number of weighted positive news.</w:t>
      </w:r>
    </w:p>
    <w:p>
      <w:pPr>
        <w:pStyle w:val="BodyText"/>
      </w:pPr>
      <w:r>
        <w:t xml:space="preserve">Overall, Table 3’s result highlights that</w:t>
      </w:r>
      <w:r>
        <w:t xml:space="preserve"> </w:t>
      </w:r>
      <w:r>
        <w:rPr>
          <w:b/>
        </w:rPr>
        <w:t xml:space="preserve">the IVOL puzzle may be caused by the potential confounding effect of news</w:t>
      </w:r>
      <w:r>
        <w:t xml:space="preserve">.</w:t>
      </w:r>
    </w:p>
    <w:p>
      <w:pPr>
        <w:numPr>
          <w:ilvl w:val="0"/>
          <w:numId w:val="1049"/>
        </w:numPr>
        <w:pStyle w:val="Compact"/>
      </w:pPr>
      <w:r>
        <w:t xml:space="preserve">A high weighted number of bad news tends to be associated with high IVOL.</w:t>
      </w:r>
    </w:p>
    <w:p>
      <w:pPr>
        <w:numPr>
          <w:ilvl w:val="0"/>
          <w:numId w:val="1049"/>
        </w:numPr>
        <w:pStyle w:val="Compact"/>
      </w:pPr>
      <w:r>
        <w:t xml:space="preserve">A high weighted number of good news tends to be associated with low IVOL.</w:t>
      </w:r>
    </w:p>
    <w:p>
      <w:pPr>
        <w:pStyle w:val="FirstParagraph"/>
      </w:pPr>
      <w:r>
        <w:t xml:space="preserve">High intensity of news arrival may exacerbate the negative relation documented by Ang et al. (2006), which implies that the presence of news arrival may reduce the positive relation documented by Fu (2009).</w:t>
      </w:r>
    </w:p>
    <w:p>
      <w:pPr>
        <w:pStyle w:val="BodyText"/>
      </w:pPr>
      <w:r>
        <w:drawing>
          <wp:inline>
            <wp:extent cx="5334000" cy="4107913"/>
            <wp:effectExtent b="0" l="0" r="0" t="0"/>
            <wp:docPr descr="" title="" id="1" name="Picture"/>
            <a:graphic>
              <a:graphicData uri="http://schemas.openxmlformats.org/drawingml/2006/picture">
                <pic:pic>
                  <pic:nvPicPr>
                    <pic:cNvPr descr="img/SpecialTopic3_AnomaliesinInternationalFinancialMarkets.en_20221028192731.png" id="0" name="Picture"/>
                    <pic:cNvPicPr>
                      <a:picLocks noChangeArrowheads="1" noChangeAspect="1"/>
                    </pic:cNvPicPr>
                  </pic:nvPicPr>
                  <pic:blipFill>
                    <a:blip r:embed="rId68"/>
                    <a:stretch>
                      <a:fillRect/>
                    </a:stretch>
                  </pic:blipFill>
                  <pic:spPr bwMode="auto">
                    <a:xfrm>
                      <a:off x="0" y="0"/>
                      <a:ext cx="5334000" cy="4107913"/>
                    </a:xfrm>
                    <a:prstGeom prst="rect">
                      <a:avLst/>
                    </a:prstGeom>
                    <a:noFill/>
                    <a:ln w="9525">
                      <a:noFill/>
                      <a:headEnd/>
                      <a:tailEnd/>
                    </a:ln>
                  </pic:spPr>
                </pic:pic>
              </a:graphicData>
            </a:graphic>
          </wp:inline>
        </w:drawing>
      </w:r>
    </w:p>
    <w:p>
      <w:pPr>
        <w:pStyle w:val="Heading4"/>
      </w:pPr>
      <w:bookmarkStart w:id="69" w:name="Xff83d0b8d00bb7533bda32ea0599ea47b0fd808"/>
      <w:r>
        <w:t xml:space="preserve">Effect of idiosyncratic volatility on excess return</w:t>
      </w:r>
      <w:bookmarkEnd w:id="69"/>
    </w:p>
    <w:p>
      <w:pPr>
        <w:pStyle w:val="FirstParagraph"/>
      </w:pPr>
      <w:r>
        <w:t xml:space="preserve">In the</w:t>
      </w:r>
      <w:r>
        <w:t xml:space="preserve"> </w:t>
      </w:r>
      <w:r>
        <w:rPr>
          <w:b/>
        </w:rPr>
        <w:t xml:space="preserve">panel regression</w:t>
      </w:r>
      <w:r>
        <w:t xml:space="preserve">, we include the FF3F and WESS with the standard error clustered by firm and month–year (Petersen, 2009):</w:t>
      </w:r>
    </w:p>
    <w:p>
      <w:pPr>
        <w:pStyle w:val="BodyText"/>
      </w:pPr>
      <m:oMathPara>
        <m:oMathParaPr>
          <m:jc m:val="center"/>
        </m:oMathParaPr>
        <m:oMath>
          <m:sSub>
            <m:e>
              <m:r>
                <m:t>r</m:t>
              </m:r>
            </m:e>
            <m:sub>
              <m:r>
                <m:t>t</m:t>
              </m:r>
            </m:sub>
          </m:sSub>
          <m:r>
            <m:t>=</m:t>
          </m:r>
          <m:sSub>
            <m:e>
              <m:r>
                <m:t>β</m:t>
              </m:r>
            </m:e>
            <m:sub>
              <m:r>
                <m:t>0</m:t>
              </m:r>
            </m:sub>
          </m:sSub>
          <m:r>
            <m:t>+</m:t>
          </m:r>
          <m:sSub>
            <m:e>
              <m:r>
                <m:t>β</m:t>
              </m:r>
            </m:e>
            <m:sub>
              <m:r>
                <m:t>1</m:t>
              </m:r>
            </m:sub>
          </m:sSub>
          <m:r>
            <m:t>E</m:t>
          </m:r>
          <m:r>
            <m:t>(</m:t>
          </m:r>
          <m:r>
            <m:t>I</m:t>
          </m:r>
          <m:r>
            <m:t>V</m:t>
          </m:r>
          <m:r>
            <m:t>O</m:t>
          </m:r>
          <m:r>
            <m:t>L</m:t>
          </m:r>
          <m:sSub>
            <m:e>
              <m:r>
                <m:t>)</m:t>
              </m:r>
            </m:e>
            <m:sub>
              <m:r>
                <m:t>t</m:t>
              </m:r>
            </m:sub>
          </m:sSub>
          <m:r>
            <m:t>+</m:t>
          </m:r>
          <m:sSub>
            <m:e>
              <m:r>
                <m:t>β</m:t>
              </m:r>
            </m:e>
            <m:sub>
              <m:r>
                <m:t>2</m:t>
              </m:r>
            </m:sub>
          </m:sSub>
          <m:r>
            <m:t>W</m:t>
          </m:r>
          <m:r>
            <m:t>E</m:t>
          </m:r>
          <m:r>
            <m:t>S</m:t>
          </m:r>
          <m:sSub>
            <m:e>
              <m:r>
                <m:t>S</m:t>
              </m:r>
            </m:e>
            <m:sub>
              <m:r>
                <m:t>t</m:t>
              </m:r>
            </m:sub>
          </m:sSub>
          <m:r>
            <m:t>+</m:t>
          </m:r>
          <m:sSub>
            <m:e>
              <m:r>
                <m:t>β</m:t>
              </m:r>
            </m:e>
            <m:sub>
              <m:r>
                <m:t>3</m:t>
              </m:r>
            </m:sub>
          </m:sSub>
          <m:r>
            <m:t>M</m:t>
          </m:r>
          <m:r>
            <m:t>K</m:t>
          </m:r>
          <m:sSub>
            <m:e>
              <m:r>
                <m:t>T</m:t>
              </m:r>
            </m:e>
            <m:sub>
              <m:r>
                <m:t>t</m:t>
              </m:r>
            </m:sub>
          </m:sSub>
          <m:r>
            <m:t>+</m:t>
          </m:r>
          <m:sSub>
            <m:e>
              <m:r>
                <m:t>β</m:t>
              </m:r>
            </m:e>
            <m:sub>
              <m:r>
                <m:t>4</m:t>
              </m:r>
            </m:sub>
          </m:sSub>
          <m:r>
            <m:t>S</m:t>
          </m:r>
          <m:r>
            <m:t>M</m:t>
          </m:r>
          <m:sSub>
            <m:e>
              <m:r>
                <m:t>B</m:t>
              </m:r>
            </m:e>
            <m:sub>
              <m:r>
                <m:t>t</m:t>
              </m:r>
            </m:sub>
          </m:sSub>
          <m:r>
            <m:t>+</m:t>
          </m:r>
          <m:sSub>
            <m:e>
              <m:r>
                <m:t>β</m:t>
              </m:r>
            </m:e>
            <m:sub>
              <m:r>
                <m:t>5</m:t>
              </m:r>
            </m:sub>
          </m:sSub>
          <m:r>
            <m:t>H</m:t>
          </m:r>
          <m:r>
            <m:t>M</m:t>
          </m:r>
          <m:sSub>
            <m:e>
              <m:r>
                <m:t>L</m:t>
              </m:r>
            </m:e>
            <m:sub>
              <m:r>
                <m:t>t</m:t>
              </m:r>
            </m:sub>
          </m:sSub>
          <m:r>
            <m:t>+</m:t>
          </m:r>
          <m:sSub>
            <m:e>
              <m:r>
                <m:t>ε</m:t>
              </m:r>
            </m:e>
            <m:sub>
              <m:r>
                <m:t>t</m:t>
              </m:r>
            </m:sub>
          </m:sSub>
        </m:oMath>
      </m:oMathPara>
    </w:p>
    <w:p>
      <w:pPr>
        <w:pStyle w:val="FirstParagraph"/>
      </w:pPr>
      <w:r>
        <w:drawing>
          <wp:inline>
            <wp:extent cx="5334000" cy="1756605"/>
            <wp:effectExtent b="0" l="0" r="0" t="0"/>
            <wp:docPr descr="" title="" id="1" name="Picture"/>
            <a:graphic>
              <a:graphicData uri="http://schemas.openxmlformats.org/drawingml/2006/picture">
                <pic:pic>
                  <pic:nvPicPr>
                    <pic:cNvPr descr="img/SpecialTopic3_AnomaliesinInternationalFinancialMarkets.en_20221028193506.png" id="0" name="Picture"/>
                    <pic:cNvPicPr>
                      <a:picLocks noChangeArrowheads="1" noChangeAspect="1"/>
                    </pic:cNvPicPr>
                  </pic:nvPicPr>
                  <pic:blipFill>
                    <a:blip r:embed="rId70"/>
                    <a:stretch>
                      <a:fillRect/>
                    </a:stretch>
                  </pic:blipFill>
                  <pic:spPr bwMode="auto">
                    <a:xfrm>
                      <a:off x="0" y="0"/>
                      <a:ext cx="5334000" cy="1756605"/>
                    </a:xfrm>
                    <a:prstGeom prst="rect">
                      <a:avLst/>
                    </a:prstGeom>
                    <a:noFill/>
                    <a:ln w="9525">
                      <a:noFill/>
                      <a:headEnd/>
                      <a:tailEnd/>
                    </a:ln>
                  </pic:spPr>
                </pic:pic>
              </a:graphicData>
            </a:graphic>
          </wp:inline>
        </w:drawing>
      </w:r>
    </w:p>
    <w:p>
      <w:pPr>
        <w:pStyle w:val="BodyText"/>
      </w:pPr>
      <w:r>
        <w:t xml:space="preserve">Examine the returns of portfolios based on sorting stocks into quintiles of expected IVOL, both with and without the news variables in the EGARCH estimation.</w:t>
      </w:r>
    </w:p>
    <w:p>
      <w:pPr>
        <w:pStyle w:val="BodyText"/>
      </w:pPr>
      <w:r>
        <w:drawing>
          <wp:inline>
            <wp:extent cx="5334000" cy="2111375"/>
            <wp:effectExtent b="0" l="0" r="0" t="0"/>
            <wp:docPr descr="" title="" id="1" name="Picture"/>
            <a:graphic>
              <a:graphicData uri="http://schemas.openxmlformats.org/drawingml/2006/picture">
                <pic:pic>
                  <pic:nvPicPr>
                    <pic:cNvPr descr="img/SpecialTopic3_AnomaliesinInternationalFinancialMarkets.en_20221028195439.png" id="0" name="Picture"/>
                    <pic:cNvPicPr>
                      <a:picLocks noChangeArrowheads="1" noChangeAspect="1"/>
                    </pic:cNvPicPr>
                  </pic:nvPicPr>
                  <pic:blipFill>
                    <a:blip r:embed="rId71"/>
                    <a:stretch>
                      <a:fillRect/>
                    </a:stretch>
                  </pic:blipFill>
                  <pic:spPr bwMode="auto">
                    <a:xfrm>
                      <a:off x="0" y="0"/>
                      <a:ext cx="5334000" cy="2111375"/>
                    </a:xfrm>
                    <a:prstGeom prst="rect">
                      <a:avLst/>
                    </a:prstGeom>
                    <a:noFill/>
                    <a:ln w="9525">
                      <a:noFill/>
                      <a:headEnd/>
                      <a:tailEnd/>
                    </a:ln>
                  </pic:spPr>
                </pic:pic>
              </a:graphicData>
            </a:graphic>
          </wp:inline>
        </w:drawing>
      </w:r>
    </w:p>
    <w:p>
      <w:pPr>
        <w:pStyle w:val="Heading5"/>
      </w:pPr>
      <w:bookmarkStart w:id="72" w:name="robustness-checks"/>
      <w:r>
        <w:t xml:space="preserve">Robustness checks</w:t>
      </w:r>
      <w:bookmarkEnd w:id="72"/>
    </w:p>
    <w:p>
      <w:pPr>
        <w:pStyle w:val="FirstParagraph"/>
      </w:pPr>
      <w:r>
        <w:t xml:space="preserve">First, we consider taking the time-series average of the slopes in cross-sectional regressions based on</w:t>
      </w:r>
      <w:r>
        <w:t xml:space="preserve"> </w:t>
      </w:r>
      <w:r>
        <w:rPr>
          <w:b/>
        </w:rPr>
        <w:t xml:space="preserve">the standard Fama-Macbeth methodology</w:t>
      </w:r>
      <w:r>
        <w:t xml:space="preserve">.</w:t>
      </w:r>
    </w:p>
    <w:p>
      <w:pPr>
        <w:pStyle w:val="BodyText"/>
      </w:pPr>
      <m:oMathPara>
        <m:oMathParaPr>
          <m:jc m:val="center"/>
        </m:oMathParaPr>
        <m:oMath>
          <m:sSub>
            <m:e>
              <m:r>
                <m:t>R</m:t>
              </m:r>
            </m:e>
            <m:sub>
              <m:r>
                <m:t>t</m:t>
              </m:r>
            </m:sub>
          </m:sSub>
          <m:r>
            <m:t>=</m:t>
          </m:r>
          <m:sSub>
            <m:e>
              <m:r>
                <m:t>β</m:t>
              </m:r>
            </m:e>
            <m:sub>
              <m:r>
                <m:t>0</m:t>
              </m:r>
            </m:sub>
          </m:sSub>
          <m:r>
            <m:t>+</m:t>
          </m:r>
          <m:sSub>
            <m:e>
              <m:r>
                <m:t>β</m:t>
              </m:r>
            </m:e>
            <m:sub>
              <m:r>
                <m:t>1</m:t>
              </m:r>
            </m:sub>
          </m:sSub>
          <m:r>
            <m:t>E</m:t>
          </m:r>
          <m:r>
            <m:t>(</m:t>
          </m:r>
          <m:r>
            <m:t>I</m:t>
          </m:r>
          <m:r>
            <m:t>V</m:t>
          </m:r>
          <m:r>
            <m:t>O</m:t>
          </m:r>
          <m:r>
            <m:t>L</m:t>
          </m:r>
          <m:r>
            <m:t>)</m:t>
          </m:r>
          <m:r>
            <m:t>t</m:t>
          </m:r>
          <m:r>
            <m:t>+</m:t>
          </m:r>
          <m:sSub>
            <m:e>
              <m:r>
                <m:t>β</m:t>
              </m:r>
            </m:e>
            <m:sub>
              <m:r>
                <m:t>2</m:t>
              </m:r>
            </m:sub>
          </m:sSub>
          <m:r>
            <m:rPr>
              <m:nor/>
              <m:sty m:val="p"/>
            </m:rPr>
            <m:t>ln</m:t>
          </m:r>
          <m:r>
            <m:t>(</m:t>
          </m:r>
          <m:r>
            <m:t>B</m:t>
          </m:r>
          <m:r>
            <m:t>E</m:t>
          </m:r>
          <m:r>
            <m:t>/</m:t>
          </m:r>
          <m:r>
            <m:t>M</m:t>
          </m:r>
          <m:r>
            <m:t>E</m:t>
          </m:r>
          <m:r>
            <m:t>)</m:t>
          </m:r>
          <m:r>
            <m:t>+</m:t>
          </m:r>
          <m:sSub>
            <m:e>
              <m:r>
                <m:t>β</m:t>
              </m:r>
            </m:e>
            <m:sub>
              <m:r>
                <m:t>3</m:t>
              </m:r>
            </m:sub>
          </m:sSub>
          <m:r>
            <m:rPr>
              <m:nor/>
              <m:sty m:val="p"/>
            </m:rPr>
            <m:t>ln</m:t>
          </m:r>
          <m:r>
            <m:t>(</m:t>
          </m:r>
          <m:r>
            <m:t>M</m:t>
          </m:r>
          <m:r>
            <m:t>E</m:t>
          </m:r>
          <m:r>
            <m:t>)</m:t>
          </m:r>
          <m:r>
            <m:t>+</m:t>
          </m:r>
          <m:sSub>
            <m:e>
              <m:r>
                <m:t>β</m:t>
              </m:r>
            </m:e>
            <m:sub>
              <m:r>
                <m:t>4</m:t>
              </m:r>
            </m:sub>
          </m:sSub>
          <m:r>
            <m:rPr>
              <m:nor/>
              <m:sty m:val="p"/>
            </m:rPr>
            <m:t>ln</m:t>
          </m:r>
          <m:r>
            <m:t>(</m:t>
          </m:r>
          <m:r>
            <m:t>T</m:t>
          </m:r>
          <m:r>
            <m:t>U</m:t>
          </m:r>
          <m:r>
            <m:t>R</m:t>
          </m:r>
          <m:r>
            <m:t>N</m:t>
          </m:r>
          <m:r>
            <m:t>)</m:t>
          </m:r>
          <m:r>
            <m:t>+</m:t>
          </m:r>
          <m:sSub>
            <m:e>
              <m:r>
                <m:t>β</m:t>
              </m:r>
            </m:e>
            <m:sub>
              <m:r>
                <m:t>5</m:t>
              </m:r>
            </m:sub>
          </m:sSub>
          <m:r>
            <m:rPr>
              <m:nor/>
              <m:sty m:val="p"/>
            </m:rPr>
            <m:t>ln</m:t>
          </m:r>
          <m:r>
            <m:t>(</m:t>
          </m:r>
          <m:r>
            <m:rPr>
              <m:nor/>
              <m:sty m:val="p"/>
            </m:rPr>
            <m:t> CVTURN </m:t>
          </m:r>
          <m:r>
            <m:t>)</m:t>
          </m:r>
          <m:r>
            <m:t>+</m:t>
          </m:r>
          <m:sSub>
            <m:e>
              <m:r>
                <m:t>β</m:t>
              </m:r>
            </m:e>
            <m:sub>
              <m:r>
                <m:t>6</m:t>
              </m:r>
            </m:sub>
          </m:sSub>
          <m:r>
            <m:t>R</m:t>
          </m:r>
          <m:r>
            <m:t>E</m:t>
          </m:r>
          <m:r>
            <m:t>T</m:t>
          </m:r>
          <m:r>
            <m:t>(</m:t>
          </m:r>
          <m:r>
            <m:t>−</m:t>
          </m:r>
          <m:r>
            <m:t>2</m:t>
          </m:r>
          <m:r>
            <m:t>,</m:t>
          </m:r>
          <m:r>
            <m:t>−</m:t>
          </m:r>
          <m:r>
            <m:t>7</m:t>
          </m:r>
          <m:r>
            <m:t>)</m:t>
          </m:r>
          <m:r>
            <m:t>+</m:t>
          </m:r>
          <m:sSub>
            <m:e>
              <m:r>
                <m:t>ε</m:t>
              </m:r>
            </m:e>
            <m:sub>
              <m:r>
                <m:t>t</m:t>
              </m:r>
            </m:sub>
          </m:sSub>
          <m:r>
            <m:t>.</m:t>
          </m:r>
        </m:oMath>
      </m:oMathPara>
    </w:p>
    <w:p>
      <w:pPr>
        <w:pStyle w:val="FirstParagraph"/>
      </w:pPr>
      <w:r>
        <w:drawing>
          <wp:inline>
            <wp:extent cx="5334000" cy="3688980"/>
            <wp:effectExtent b="0" l="0" r="0" t="0"/>
            <wp:docPr descr="" title="" id="1" name="Picture"/>
            <a:graphic>
              <a:graphicData uri="http://schemas.openxmlformats.org/drawingml/2006/picture">
                <pic:pic>
                  <pic:nvPicPr>
                    <pic:cNvPr descr="img/SpecialTopic3_AnomaliesinInternationalFinancialMarkets.en_20221028201257.png" id="0" name="Picture"/>
                    <pic:cNvPicPr>
                      <a:picLocks noChangeArrowheads="1" noChangeAspect="1"/>
                    </pic:cNvPicPr>
                  </pic:nvPicPr>
                  <pic:blipFill>
                    <a:blip r:embed="rId73"/>
                    <a:stretch>
                      <a:fillRect/>
                    </a:stretch>
                  </pic:blipFill>
                  <pic:spPr bwMode="auto">
                    <a:xfrm>
                      <a:off x="0" y="0"/>
                      <a:ext cx="5334000" cy="3688980"/>
                    </a:xfrm>
                    <a:prstGeom prst="rect">
                      <a:avLst/>
                    </a:prstGeom>
                    <a:noFill/>
                    <a:ln w="9525">
                      <a:noFill/>
                      <a:headEnd/>
                      <a:tailEnd/>
                    </a:ln>
                  </pic:spPr>
                </pic:pic>
              </a:graphicData>
            </a:graphic>
          </wp:inline>
        </w:drawing>
      </w:r>
    </w:p>
    <w:p>
      <w:pPr>
        <w:pStyle w:val="BodyText"/>
      </w:pPr>
      <w:r>
        <w:t xml:space="preserve">Divide these news items into two broad groups:</w:t>
      </w:r>
    </w:p>
    <w:p>
      <w:pPr>
        <w:numPr>
          <w:ilvl w:val="0"/>
          <w:numId w:val="1050"/>
        </w:numPr>
        <w:pStyle w:val="Compact"/>
      </w:pPr>
      <w:r>
        <w:rPr>
          <w:b/>
        </w:rPr>
        <w:t xml:space="preserve">earnings news</w:t>
      </w:r>
      <w:r>
        <w:t xml:space="preserve">, which covers the announcement of earnings figures, dividend payout or change of dividend payment; and</w:t>
      </w:r>
    </w:p>
    <w:p>
      <w:pPr>
        <w:numPr>
          <w:ilvl w:val="0"/>
          <w:numId w:val="1050"/>
        </w:numPr>
        <w:pStyle w:val="Compact"/>
      </w:pPr>
      <w:r>
        <w:rPr>
          <w:b/>
        </w:rPr>
        <w:t xml:space="preserve">non-earnings news</w:t>
      </w:r>
      <w:r>
        <w:t xml:space="preserve">, which covers nine categories which we believe are significant enough to affect share values, but which we restrict to those that are considered to be</w:t>
      </w:r>
      <w:r>
        <w:t xml:space="preserve"> </w:t>
      </w:r>
      <w:r>
        <w:rPr>
          <w:b/>
        </w:rPr>
        <w:t xml:space="preserve">value-relevant</w:t>
      </w:r>
      <w:r>
        <w:t xml:space="preserve">.</w:t>
      </w:r>
    </w:p>
    <w:p>
      <w:pPr>
        <w:pStyle w:val="FirstParagraph"/>
      </w:pPr>
      <w:r>
        <w:t xml:space="preserve">Our results are even stronger after we include only value-relevant news.</w:t>
      </w:r>
    </w:p>
    <w:p>
      <w:pPr>
        <w:pStyle w:val="BodyText"/>
      </w:pPr>
      <w:r>
        <w:drawing>
          <wp:inline>
            <wp:extent cx="5334000" cy="2044454"/>
            <wp:effectExtent b="0" l="0" r="0" t="0"/>
            <wp:docPr descr="" title="" id="1" name="Picture"/>
            <a:graphic>
              <a:graphicData uri="http://schemas.openxmlformats.org/drawingml/2006/picture">
                <pic:pic>
                  <pic:nvPicPr>
                    <pic:cNvPr descr="img/SpecialTopic3_AnomaliesinInternationalFinancialMarkets.en_20221028200931.png" id="0" name="Picture"/>
                    <pic:cNvPicPr>
                      <a:picLocks noChangeArrowheads="1" noChangeAspect="1"/>
                    </pic:cNvPicPr>
                  </pic:nvPicPr>
                  <pic:blipFill>
                    <a:blip r:embed="rId74"/>
                    <a:stretch>
                      <a:fillRect/>
                    </a:stretch>
                  </pic:blipFill>
                  <pic:spPr bwMode="auto">
                    <a:xfrm>
                      <a:off x="0" y="0"/>
                      <a:ext cx="5334000" cy="2044454"/>
                    </a:xfrm>
                    <a:prstGeom prst="rect">
                      <a:avLst/>
                    </a:prstGeom>
                    <a:noFill/>
                    <a:ln w="9525">
                      <a:noFill/>
                      <a:headEnd/>
                      <a:tailEnd/>
                    </a:ln>
                  </pic:spPr>
                </pic:pic>
              </a:graphicData>
            </a:graphic>
          </wp:inline>
        </w:drawing>
      </w:r>
    </w:p>
    <w:p>
      <w:pPr>
        <w:pStyle w:val="Heading3"/>
      </w:pPr>
      <w:bookmarkStart w:id="75" w:name="key-findings"/>
      <w:r>
        <w:t xml:space="preserve">Key Findings</w:t>
      </w:r>
      <w:bookmarkEnd w:id="75"/>
    </w:p>
    <w:p>
      <w:pPr>
        <w:pStyle w:val="FirstParagraph"/>
      </w:pPr>
      <w:r>
        <w:t xml:space="preserve">While the average positive effect of expected IVOL on the expected return is substantial, the average effect is reduced by roughly 50% after the confounding effect of news is taken into consideration.</w:t>
      </w:r>
    </w:p>
    <w:p>
      <w:pPr>
        <w:pStyle w:val="BodyText"/>
      </w:pPr>
      <w:r>
        <w:t xml:space="preserve">This result is robust to the inclusion of other risk factors such as information risk and liquidity risk, and different model specifications including the Fama–MacBeth model with firm-level controls and the robust panel fixed effects model.</w:t>
      </w:r>
    </w:p>
    <w:p>
      <w:pPr>
        <w:pStyle w:val="BodyText"/>
      </w:pPr>
      <w:r>
        <w:t xml:space="preserve">Since not all firm-specific news releases are equally important, we focus exclusively on the value-relevant ones and find that the positive IVOL-return relation disappears as a result.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2006">
    <w:nsid w:val="71315dca"/>
    <w:multiLevelType w:val="multilevel"/>
    <w:lvl w:ilvl="0">
      <w:start w:val="2006"/>
      <w:numFmt w:val="decimal"/>
      <w:lvlText w:val="%1)"/>
      <w:lvlJc w:val="left"/>
      <w:pPr>
        <w:tabs>
          <w:tab w:val="num" w:pos="0"/>
        </w:tabs>
        <w:ind w:left="480" w:hanging="480"/>
      </w:pPr>
    </w:lvl>
    <w:lvl w:ilvl="1">
      <w:start w:val="2006"/>
      <w:numFmt w:val="decimal"/>
      <w:lvlText w:val="%2)"/>
      <w:lvlJc w:val="left"/>
      <w:pPr>
        <w:tabs>
          <w:tab w:val="num" w:pos="720"/>
        </w:tabs>
        <w:ind w:left="1200" w:hanging="480"/>
      </w:pPr>
    </w:lvl>
    <w:lvl w:ilvl="2">
      <w:start w:val="2006"/>
      <w:numFmt w:val="decimal"/>
      <w:lvlText w:val="%3)"/>
      <w:lvlJc w:val="left"/>
      <w:pPr>
        <w:tabs>
          <w:tab w:val="num" w:pos="1440"/>
        </w:tabs>
        <w:ind w:left="1920" w:hanging="480"/>
      </w:pPr>
    </w:lvl>
    <w:lvl w:ilvl="3">
      <w:start w:val="2006"/>
      <w:numFmt w:val="decimal"/>
      <w:lvlText w:val="%4)"/>
      <w:lvlJc w:val="left"/>
      <w:pPr>
        <w:tabs>
          <w:tab w:val="num" w:pos="2160"/>
        </w:tabs>
        <w:ind w:left="2640" w:hanging="480"/>
      </w:pPr>
    </w:lvl>
    <w:lvl w:ilvl="4">
      <w:start w:val="2006"/>
      <w:numFmt w:val="decimal"/>
      <w:lvlText w:val="%5)"/>
      <w:lvlJc w:val="left"/>
      <w:pPr>
        <w:tabs>
          <w:tab w:val="num" w:pos="2880"/>
        </w:tabs>
        <w:ind w:left="3360" w:hanging="480"/>
      </w:pPr>
    </w:lvl>
    <w:lvl w:ilvl="5">
      <w:start w:val="2006"/>
      <w:numFmt w:val="decimal"/>
      <w:lvlText w:val="%6)"/>
      <w:lvlJc w:val="left"/>
      <w:pPr>
        <w:tabs>
          <w:tab w:val="num" w:pos="3600"/>
        </w:tabs>
        <w:ind w:left="4080" w:hanging="480"/>
      </w:pPr>
    </w:lvl>
    <w:lvl w:ilvl="6">
      <w:start w:val="2006"/>
      <w:numFmt w:val="decimal"/>
      <w:lvlText w:val="%7)"/>
      <w:lvlJc w:val="left"/>
      <w:pPr>
        <w:tabs>
          <w:tab w:val="num" w:pos="4320"/>
        </w:tabs>
        <w:ind w:left="4800" w:hanging="480"/>
      </w:pPr>
    </w:lvl>
    <w:lvl w:ilvl="7">
      <w:start w:val="2006"/>
      <w:numFmt w:val="decimal"/>
      <w:lvlText w:val="%8)"/>
      <w:lvlJc w:val="left"/>
      <w:pPr>
        <w:tabs>
          <w:tab w:val="num" w:pos="5040"/>
        </w:tabs>
        <w:ind w:left="5520" w:hanging="480"/>
      </w:pPr>
    </w:lvl>
    <w:lvl w:ilvl="8">
      <w:start w:val="2006"/>
      <w:numFmt w:val="decimal"/>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22006"/>
    <w:lvlOverride w:ilvl="0">
      <w:startOverride w:val="2006"/>
    </w:lvlOverride>
    <w:lvlOverride w:ilvl="1">
      <w:startOverride w:val="2006"/>
    </w:lvlOverride>
    <w:lvlOverride w:ilvl="2">
      <w:startOverride w:val="2006"/>
    </w:lvlOverride>
    <w:lvlOverride w:ilvl="3">
      <w:startOverride w:val="2006"/>
    </w:lvlOverride>
    <w:lvlOverride w:ilvl="4">
      <w:startOverride w:val="2006"/>
    </w:lvlOverride>
    <w:lvlOverride w:ilvl="5">
      <w:startOverride w:val="2006"/>
    </w:lvlOverride>
    <w:lvlOverride w:ilvl="6">
      <w:startOverride w:val="2006"/>
    </w:lvlOverride>
    <w:lvlOverride w:ilvl="7">
      <w:startOverride w:val="2006"/>
    </w:lvlOverride>
    <w:lvlOverride w:ilvl="8">
      <w:startOverride w:val="2006"/>
    </w:lvlOverride>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3" Target="media/rId7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SpecialTopic3_AnomaliesinInternationalFinancialMarkets</dc:title>
  <dc:creator/>
  <dc:description/>
  <cp:keywords/>
  <dcterms:created xsi:type="dcterms:W3CDTF">2022-10-28T12:28:02Z</dcterms:created>
  <dcterms:modified xsi:type="dcterms:W3CDTF">2022-10-28T12:28:02Z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2022-10-25T07:37:46.000Z</vt:lpwstr>
  </property>
  <property fmtid="{D5CDD505-2E9C-101B-9397-08002B2CF9AE}" pid="4" name="draft">
    <vt:lpwstr>True</vt:lpwstr>
  </property>
  <property fmtid="{D5CDD505-2E9C-101B-9397-08002B2CF9AE}" pid="5" name="output">
    <vt:lpwstr>word_document</vt:lpwstr>
  </property>
  <property fmtid="{D5CDD505-2E9C-101B-9397-08002B2CF9AE}" pid="6" name="tags">
    <vt:lpwstr/>
  </property>
  <property fmtid="{D5CDD505-2E9C-101B-9397-08002B2CF9AE}" pid="7" name="upd">
    <vt:lpwstr/>
  </property>
</Properties>
</file>