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A0AF" w14:textId="77777777" w:rsidR="00720D13" w:rsidRDefault="00000000">
      <w:pPr>
        <w:pStyle w:val="CVName"/>
        <w:spacing w:after="20"/>
        <w:jc w:val="center"/>
      </w:pPr>
      <w:r>
        <w:t>Hao Wu</w:t>
      </w:r>
    </w:p>
    <w:p w14:paraId="353D30F1" w14:textId="77777777" w:rsidR="00720D13" w:rsidRDefault="00000000">
      <w:pPr>
        <w:pStyle w:val="CVSub"/>
        <w:spacing w:after="160"/>
        <w:jc w:val="center"/>
      </w:pPr>
      <w:r>
        <w:rPr>
          <w:i w:val="0"/>
          <w:sz w:val="20"/>
        </w:rPr>
        <w:t>School of Economics and Finance, Queen Mary University of London  |  hao.wu@qmul.ac.uk  |  +44 7818246190</w:t>
      </w:r>
    </w:p>
    <w:p w14:paraId="15174349" w14:textId="77777777" w:rsidR="007334BF" w:rsidRDefault="007334BF">
      <w:pPr>
        <w:pStyle w:val="SmallCapsSection"/>
        <w:pBdr>
          <w:bottom w:val="single" w:sz="8" w:space="1" w:color="1F4E79"/>
        </w:pBdr>
        <w:spacing w:before="200" w:after="100"/>
      </w:pPr>
    </w:p>
    <w:p w14:paraId="078B5F74" w14:textId="2EA1ED3F" w:rsidR="00720D13" w:rsidRDefault="00000000">
      <w:pPr>
        <w:pStyle w:val="SmallCapsSection"/>
        <w:pBdr>
          <w:bottom w:val="single" w:sz="8" w:space="1" w:color="1F4E79"/>
        </w:pBdr>
        <w:spacing w:before="200" w:after="100"/>
      </w:pPr>
      <w:r>
        <w:t>Education</w:t>
      </w:r>
    </w:p>
    <w:tbl>
      <w:tblPr>
        <w:tblW w:w="0" w:type="auto"/>
        <w:tblLayout w:type="fixed"/>
        <w:tblLook w:val="04A0" w:firstRow="1" w:lastRow="0" w:firstColumn="1" w:lastColumn="0" w:noHBand="0" w:noVBand="1"/>
      </w:tblPr>
      <w:tblGrid>
        <w:gridCol w:w="4658"/>
        <w:gridCol w:w="4658"/>
      </w:tblGrid>
      <w:tr w:rsidR="00720D13" w14:paraId="6E7F2B0F" w14:textId="77777777">
        <w:tc>
          <w:tcPr>
            <w:tcW w:w="4658" w:type="dxa"/>
            <w:tcBorders>
              <w:top w:val="nil"/>
              <w:left w:val="nil"/>
              <w:bottom w:val="nil"/>
              <w:right w:val="nil"/>
            </w:tcBorders>
          </w:tcPr>
          <w:p w14:paraId="08D986B6" w14:textId="77777777" w:rsidR="00720D13" w:rsidRDefault="00000000">
            <w:pPr>
              <w:spacing w:after="0" w:line="240" w:lineRule="auto"/>
            </w:pPr>
            <w:r>
              <w:rPr>
                <w:b/>
                <w:sz w:val="21"/>
              </w:rPr>
              <w:t>Queen Mary University of London, London, UK</w:t>
            </w:r>
            <w:r>
              <w:br/>
            </w:r>
            <w:r>
              <w:rPr>
                <w:sz w:val="21"/>
              </w:rPr>
              <w:t>PhD in Finance (Fully Funded PhD Scholarship)</w:t>
            </w:r>
          </w:p>
        </w:tc>
        <w:tc>
          <w:tcPr>
            <w:tcW w:w="4658" w:type="dxa"/>
            <w:tcBorders>
              <w:top w:val="nil"/>
              <w:left w:val="nil"/>
              <w:bottom w:val="nil"/>
              <w:right w:val="nil"/>
            </w:tcBorders>
          </w:tcPr>
          <w:p w14:paraId="1C11B5FB" w14:textId="77777777" w:rsidR="00720D13" w:rsidRDefault="00000000">
            <w:pPr>
              <w:spacing w:after="0" w:line="240" w:lineRule="auto"/>
              <w:jc w:val="right"/>
            </w:pPr>
            <w:r>
              <w:rPr>
                <w:rFonts w:ascii="Arial" w:hAnsi="Arial"/>
                <w:b/>
                <w:color w:val="555555"/>
                <w:sz w:val="20"/>
              </w:rPr>
              <w:t>2021–present</w:t>
            </w:r>
          </w:p>
        </w:tc>
      </w:tr>
    </w:tbl>
    <w:p w14:paraId="1FA3C63A" w14:textId="77777777" w:rsidR="00720D13" w:rsidRDefault="00720D13">
      <w:pPr>
        <w:spacing w:after="20"/>
      </w:pPr>
    </w:p>
    <w:tbl>
      <w:tblPr>
        <w:tblW w:w="0" w:type="auto"/>
        <w:tblLayout w:type="fixed"/>
        <w:tblLook w:val="04A0" w:firstRow="1" w:lastRow="0" w:firstColumn="1" w:lastColumn="0" w:noHBand="0" w:noVBand="1"/>
      </w:tblPr>
      <w:tblGrid>
        <w:gridCol w:w="4658"/>
        <w:gridCol w:w="4658"/>
      </w:tblGrid>
      <w:tr w:rsidR="00720D13" w14:paraId="0D1054A7" w14:textId="77777777">
        <w:tc>
          <w:tcPr>
            <w:tcW w:w="4658" w:type="dxa"/>
            <w:tcBorders>
              <w:top w:val="nil"/>
              <w:left w:val="nil"/>
              <w:bottom w:val="nil"/>
              <w:right w:val="nil"/>
            </w:tcBorders>
          </w:tcPr>
          <w:p w14:paraId="68F86893" w14:textId="77777777" w:rsidR="00720D13" w:rsidRDefault="00000000">
            <w:pPr>
              <w:spacing w:after="0" w:line="240" w:lineRule="auto"/>
            </w:pPr>
            <w:r>
              <w:rPr>
                <w:b/>
                <w:sz w:val="21"/>
              </w:rPr>
              <w:t>Queen Mary University of London, London, UK</w:t>
            </w:r>
            <w:r>
              <w:br/>
            </w:r>
            <w:r>
              <w:rPr>
                <w:sz w:val="21"/>
              </w:rPr>
              <w:t>MRes in Economics and Finance</w:t>
            </w:r>
          </w:p>
        </w:tc>
        <w:tc>
          <w:tcPr>
            <w:tcW w:w="4658" w:type="dxa"/>
            <w:tcBorders>
              <w:top w:val="nil"/>
              <w:left w:val="nil"/>
              <w:bottom w:val="nil"/>
              <w:right w:val="nil"/>
            </w:tcBorders>
          </w:tcPr>
          <w:p w14:paraId="1CD0B083" w14:textId="77777777" w:rsidR="00720D13" w:rsidRDefault="00000000">
            <w:pPr>
              <w:spacing w:after="0" w:line="240" w:lineRule="auto"/>
              <w:jc w:val="right"/>
            </w:pPr>
            <w:r>
              <w:rPr>
                <w:rFonts w:ascii="Arial" w:hAnsi="Arial"/>
                <w:b/>
                <w:color w:val="555555"/>
                <w:sz w:val="20"/>
              </w:rPr>
              <w:t>2020–2021</w:t>
            </w:r>
          </w:p>
        </w:tc>
      </w:tr>
    </w:tbl>
    <w:p w14:paraId="468C53F3" w14:textId="77777777" w:rsidR="00720D13" w:rsidRDefault="00720D13">
      <w:pPr>
        <w:spacing w:after="20"/>
      </w:pPr>
    </w:p>
    <w:tbl>
      <w:tblPr>
        <w:tblW w:w="0" w:type="auto"/>
        <w:tblLayout w:type="fixed"/>
        <w:tblLook w:val="04A0" w:firstRow="1" w:lastRow="0" w:firstColumn="1" w:lastColumn="0" w:noHBand="0" w:noVBand="1"/>
      </w:tblPr>
      <w:tblGrid>
        <w:gridCol w:w="4658"/>
        <w:gridCol w:w="4658"/>
      </w:tblGrid>
      <w:tr w:rsidR="00720D13" w14:paraId="7BB58553" w14:textId="77777777">
        <w:tc>
          <w:tcPr>
            <w:tcW w:w="4658" w:type="dxa"/>
            <w:tcBorders>
              <w:top w:val="nil"/>
              <w:left w:val="nil"/>
              <w:bottom w:val="nil"/>
              <w:right w:val="nil"/>
            </w:tcBorders>
          </w:tcPr>
          <w:p w14:paraId="107D5D7C" w14:textId="77777777" w:rsidR="00720D13" w:rsidRDefault="00000000">
            <w:pPr>
              <w:spacing w:after="0" w:line="240" w:lineRule="auto"/>
            </w:pPr>
            <w:r>
              <w:rPr>
                <w:b/>
                <w:sz w:val="21"/>
              </w:rPr>
              <w:t>University of Arizona, Tucson, US</w:t>
            </w:r>
            <w:r>
              <w:br/>
            </w:r>
            <w:r>
              <w:rPr>
                <w:sz w:val="21"/>
              </w:rPr>
              <w:t>MSc in Finance (with Honours)</w:t>
            </w:r>
          </w:p>
        </w:tc>
        <w:tc>
          <w:tcPr>
            <w:tcW w:w="4658" w:type="dxa"/>
            <w:tcBorders>
              <w:top w:val="nil"/>
              <w:left w:val="nil"/>
              <w:bottom w:val="nil"/>
              <w:right w:val="nil"/>
            </w:tcBorders>
          </w:tcPr>
          <w:p w14:paraId="3478071C" w14:textId="77777777" w:rsidR="00720D13" w:rsidRDefault="00000000">
            <w:pPr>
              <w:spacing w:after="0" w:line="240" w:lineRule="auto"/>
              <w:jc w:val="right"/>
            </w:pPr>
            <w:r>
              <w:rPr>
                <w:rFonts w:ascii="Arial" w:hAnsi="Arial"/>
                <w:b/>
                <w:color w:val="555555"/>
                <w:sz w:val="20"/>
              </w:rPr>
              <w:t>2014–2015</w:t>
            </w:r>
          </w:p>
        </w:tc>
      </w:tr>
    </w:tbl>
    <w:p w14:paraId="7DC8BE47" w14:textId="77777777" w:rsidR="00720D13" w:rsidRDefault="00720D13">
      <w:pPr>
        <w:spacing w:after="20"/>
      </w:pPr>
    </w:p>
    <w:tbl>
      <w:tblPr>
        <w:tblW w:w="0" w:type="auto"/>
        <w:tblLayout w:type="fixed"/>
        <w:tblLook w:val="04A0" w:firstRow="1" w:lastRow="0" w:firstColumn="1" w:lastColumn="0" w:noHBand="0" w:noVBand="1"/>
      </w:tblPr>
      <w:tblGrid>
        <w:gridCol w:w="4658"/>
        <w:gridCol w:w="4658"/>
      </w:tblGrid>
      <w:tr w:rsidR="00720D13" w14:paraId="3CF321EF" w14:textId="77777777">
        <w:tc>
          <w:tcPr>
            <w:tcW w:w="4658" w:type="dxa"/>
            <w:tcBorders>
              <w:top w:val="nil"/>
              <w:left w:val="nil"/>
              <w:bottom w:val="nil"/>
              <w:right w:val="nil"/>
            </w:tcBorders>
          </w:tcPr>
          <w:p w14:paraId="1938B709" w14:textId="57A3EA56" w:rsidR="00720D13" w:rsidRDefault="00000000">
            <w:pPr>
              <w:spacing w:after="0" w:line="240" w:lineRule="auto"/>
            </w:pPr>
            <w:r>
              <w:rPr>
                <w:b/>
                <w:sz w:val="21"/>
              </w:rPr>
              <w:t>University of Nebraska–Lincoln, Lincoln, US</w:t>
            </w:r>
            <w:r>
              <w:br/>
            </w:r>
            <w:r w:rsidRPr="001034E9">
              <w:rPr>
                <w:sz w:val="20"/>
                <w:szCs w:val="20"/>
              </w:rPr>
              <w:t>B.S.B.A. in Finance (Dean's List; Beta Gamma</w:t>
            </w:r>
            <w:r w:rsidR="001034E9" w:rsidRPr="001034E9">
              <w:rPr>
                <w:rFonts w:hint="eastAsia"/>
                <w:sz w:val="20"/>
                <w:szCs w:val="20"/>
                <w:lang w:eastAsia="zh-CN"/>
              </w:rPr>
              <w:t xml:space="preserve"> </w:t>
            </w:r>
            <w:r w:rsidRPr="001034E9">
              <w:rPr>
                <w:sz w:val="20"/>
                <w:szCs w:val="20"/>
              </w:rPr>
              <w:t>Sigma)</w:t>
            </w:r>
          </w:p>
        </w:tc>
        <w:tc>
          <w:tcPr>
            <w:tcW w:w="4658" w:type="dxa"/>
            <w:tcBorders>
              <w:top w:val="nil"/>
              <w:left w:val="nil"/>
              <w:bottom w:val="nil"/>
              <w:right w:val="nil"/>
            </w:tcBorders>
          </w:tcPr>
          <w:p w14:paraId="2FD296E2" w14:textId="77777777" w:rsidR="00720D13" w:rsidRDefault="00000000">
            <w:pPr>
              <w:spacing w:after="0" w:line="240" w:lineRule="auto"/>
              <w:jc w:val="right"/>
            </w:pPr>
            <w:r>
              <w:rPr>
                <w:rFonts w:ascii="Arial" w:hAnsi="Arial"/>
                <w:b/>
                <w:color w:val="555555"/>
                <w:sz w:val="20"/>
              </w:rPr>
              <w:t>2011–2014</w:t>
            </w:r>
          </w:p>
        </w:tc>
      </w:tr>
    </w:tbl>
    <w:p w14:paraId="580B32AC" w14:textId="77777777" w:rsidR="00720D13" w:rsidRDefault="00000000">
      <w:pPr>
        <w:pStyle w:val="SmallCapsSection"/>
        <w:pBdr>
          <w:bottom w:val="single" w:sz="8" w:space="1" w:color="1F4E79"/>
        </w:pBdr>
        <w:spacing w:before="200" w:after="100"/>
      </w:pPr>
      <w:r>
        <w:t>Research Papers</w:t>
      </w:r>
    </w:p>
    <w:p w14:paraId="40A3E73F" w14:textId="77777777" w:rsidR="00720D13" w:rsidRDefault="00000000">
      <w:pPr>
        <w:pStyle w:val="Heading2"/>
        <w:spacing w:after="40"/>
      </w:pPr>
      <w:r>
        <w:rPr>
          <w:rFonts w:ascii="Arial" w:hAnsi="Arial"/>
        </w:rPr>
        <w:t>Job Market Paper</w:t>
      </w:r>
    </w:p>
    <w:p w14:paraId="6AEB31E7" w14:textId="5918DA49" w:rsidR="00720D13" w:rsidRDefault="00A004A7">
      <w:pPr>
        <w:pStyle w:val="Tight"/>
        <w:spacing w:after="40"/>
      </w:pPr>
      <w:r>
        <w:rPr>
          <w:sz w:val="20"/>
        </w:rPr>
        <w:t xml:space="preserve">• </w:t>
      </w:r>
      <w:r>
        <w:rPr>
          <w:b/>
          <w:i/>
        </w:rPr>
        <w:t>Digital Innovation Amplifies Sustainability: Intangible Asset Synergies and Firm Performance</w:t>
      </w:r>
    </w:p>
    <w:p w14:paraId="67544B70" w14:textId="6F4D8FB2" w:rsidR="00AC0495" w:rsidRDefault="00AC0495">
      <w:pPr>
        <w:pStyle w:val="Heading2"/>
        <w:spacing w:after="40"/>
        <w:rPr>
          <w:rFonts w:ascii="Times New Roman" w:eastAsiaTheme="minorEastAsia" w:hAnsi="Times New Roman" w:cstheme="minorBidi"/>
          <w:b w:val="0"/>
          <w:bCs w:val="0"/>
          <w:color w:val="auto"/>
          <w:sz w:val="20"/>
          <w:szCs w:val="22"/>
        </w:rPr>
      </w:pPr>
      <w:r w:rsidRPr="00AC0495">
        <w:rPr>
          <w:rFonts w:ascii="Times New Roman" w:eastAsiaTheme="minorEastAsia" w:hAnsi="Times New Roman" w:cstheme="minorBidi"/>
          <w:b w:val="0"/>
          <w:bCs w:val="0"/>
          <w:color w:val="auto"/>
          <w:sz w:val="20"/>
          <w:szCs w:val="22"/>
        </w:rPr>
        <w:t>The study ex</w:t>
      </w:r>
      <w:r w:rsidR="00CA075D">
        <w:rPr>
          <w:rFonts w:ascii="Times New Roman" w:eastAsiaTheme="minorEastAsia" w:hAnsi="Times New Roman" w:cstheme="minorBidi"/>
          <w:b w:val="0"/>
          <w:bCs w:val="0"/>
          <w:color w:val="auto"/>
          <w:sz w:val="20"/>
          <w:szCs w:val="22"/>
        </w:rPr>
        <w:t>amin</w:t>
      </w:r>
      <w:r w:rsidRPr="00AC0495">
        <w:rPr>
          <w:rFonts w:ascii="Times New Roman" w:eastAsiaTheme="minorEastAsia" w:hAnsi="Times New Roman" w:cstheme="minorBidi"/>
          <w:b w:val="0"/>
          <w:bCs w:val="0"/>
          <w:color w:val="auto"/>
          <w:sz w:val="20"/>
          <w:szCs w:val="22"/>
        </w:rPr>
        <w:t xml:space="preserve">es how digital innovation and sustainability affect </w:t>
      </w:r>
      <w:r w:rsidR="00CA075D">
        <w:rPr>
          <w:rFonts w:ascii="Times New Roman" w:eastAsiaTheme="minorEastAsia" w:hAnsi="Times New Roman" w:cstheme="minorBidi"/>
          <w:b w:val="0"/>
          <w:bCs w:val="0"/>
          <w:color w:val="auto"/>
          <w:sz w:val="20"/>
          <w:szCs w:val="22"/>
        </w:rPr>
        <w:t xml:space="preserve">the performance of </w:t>
      </w:r>
      <w:r w:rsidRPr="00AC0495">
        <w:rPr>
          <w:rFonts w:ascii="Times New Roman" w:eastAsiaTheme="minorEastAsia" w:hAnsi="Times New Roman" w:cstheme="minorBidi"/>
          <w:b w:val="0"/>
          <w:bCs w:val="0"/>
          <w:color w:val="auto"/>
          <w:sz w:val="20"/>
          <w:szCs w:val="22"/>
        </w:rPr>
        <w:t xml:space="preserve">U.S.-listed firms. It finds that sustainability investments boost profitability and valuation more when paired with digital innovation, supported by causal evidence from regulatory variation. It also </w:t>
      </w:r>
      <w:r w:rsidR="00CA075D">
        <w:rPr>
          <w:rFonts w:ascii="Times New Roman" w:eastAsiaTheme="minorEastAsia" w:hAnsi="Times New Roman" w:cstheme="minorBidi"/>
          <w:b w:val="0"/>
          <w:bCs w:val="0"/>
          <w:color w:val="auto"/>
          <w:sz w:val="20"/>
          <w:szCs w:val="22"/>
        </w:rPr>
        <w:t>examines</w:t>
      </w:r>
      <w:r w:rsidRPr="00AC0495">
        <w:rPr>
          <w:rFonts w:ascii="Times New Roman" w:eastAsiaTheme="minorEastAsia" w:hAnsi="Times New Roman" w:cstheme="minorBidi"/>
          <w:b w:val="0"/>
          <w:bCs w:val="0"/>
          <w:color w:val="auto"/>
          <w:sz w:val="20"/>
          <w:szCs w:val="22"/>
        </w:rPr>
        <w:t xml:space="preserve"> how governance and resource strategies </w:t>
      </w:r>
      <w:r w:rsidR="00CA075D">
        <w:rPr>
          <w:rFonts w:ascii="Times New Roman" w:eastAsiaTheme="minorEastAsia" w:hAnsi="Times New Roman" w:cstheme="minorBidi"/>
          <w:b w:val="0"/>
          <w:bCs w:val="0"/>
          <w:color w:val="auto"/>
          <w:sz w:val="20"/>
          <w:szCs w:val="22"/>
        </w:rPr>
        <w:t>reduce</w:t>
      </w:r>
      <w:r w:rsidRPr="00AC0495">
        <w:rPr>
          <w:rFonts w:ascii="Times New Roman" w:eastAsiaTheme="minorEastAsia" w:hAnsi="Times New Roman" w:cstheme="minorBidi"/>
          <w:b w:val="0"/>
          <w:bCs w:val="0"/>
          <w:color w:val="auto"/>
          <w:sz w:val="20"/>
          <w:szCs w:val="22"/>
        </w:rPr>
        <w:t xml:space="preserve"> agency costs during digital </w:t>
      </w:r>
      <w:r w:rsidR="00CA075D">
        <w:rPr>
          <w:rFonts w:ascii="Times New Roman" w:eastAsiaTheme="minorEastAsia" w:hAnsi="Times New Roman" w:cstheme="minorBidi"/>
          <w:b w:val="0"/>
          <w:bCs w:val="0"/>
          <w:color w:val="auto"/>
          <w:sz w:val="20"/>
          <w:szCs w:val="22"/>
        </w:rPr>
        <w:t>transformation</w:t>
      </w:r>
      <w:r w:rsidRPr="00AC0495">
        <w:rPr>
          <w:rFonts w:ascii="Times New Roman" w:eastAsiaTheme="minorEastAsia" w:hAnsi="Times New Roman" w:cstheme="minorBidi"/>
          <w:b w:val="0"/>
          <w:bCs w:val="0"/>
          <w:color w:val="auto"/>
          <w:sz w:val="20"/>
          <w:szCs w:val="22"/>
        </w:rPr>
        <w:t>s.</w:t>
      </w:r>
    </w:p>
    <w:p w14:paraId="2EEAF591" w14:textId="5EA47CCA" w:rsidR="00720D13" w:rsidRDefault="00000000">
      <w:pPr>
        <w:pStyle w:val="Heading2"/>
        <w:spacing w:after="40"/>
      </w:pPr>
      <w:r>
        <w:rPr>
          <w:rFonts w:ascii="Arial" w:hAnsi="Arial"/>
        </w:rPr>
        <w:t>Working Papers</w:t>
      </w:r>
    </w:p>
    <w:p w14:paraId="06DB7DC4" w14:textId="77777777" w:rsidR="00720D13" w:rsidRDefault="00000000">
      <w:pPr>
        <w:pStyle w:val="Tight"/>
        <w:spacing w:after="20"/>
        <w:ind w:left="259" w:hanging="259"/>
      </w:pPr>
      <w:r>
        <w:rPr>
          <w:sz w:val="20"/>
        </w:rPr>
        <w:t xml:space="preserve">• </w:t>
      </w:r>
      <w:r>
        <w:rPr>
          <w:b/>
          <w:i/>
          <w:sz w:val="20"/>
        </w:rPr>
        <w:t>The Price of Green: Policy-Induced Climate Salience and Corporate Trade-Offs</w:t>
      </w:r>
    </w:p>
    <w:p w14:paraId="7F049AB1" w14:textId="032AD5F2" w:rsidR="006C4CC1" w:rsidRPr="006C4CC1" w:rsidRDefault="009C004A" w:rsidP="006C4CC1">
      <w:pPr>
        <w:pStyle w:val="Tight"/>
        <w:spacing w:after="60"/>
        <w:ind w:left="360"/>
        <w:rPr>
          <w:sz w:val="20"/>
        </w:rPr>
      </w:pPr>
      <w:r>
        <w:rPr>
          <w:sz w:val="20"/>
        </w:rPr>
        <w:t>This study explores how investor pressure and board oversight shape research and development strategies. It also examines how awareness of climate policy affects firms' environmental performance, innovation strategies, and valuation, emphasising the trade-offs between targeted green innovation and broader research and development efforts.</w:t>
      </w:r>
    </w:p>
    <w:p w14:paraId="69EA462C" w14:textId="77777777" w:rsidR="00720D13" w:rsidRDefault="00000000">
      <w:pPr>
        <w:pStyle w:val="Tight"/>
        <w:spacing w:after="20"/>
        <w:ind w:left="259" w:hanging="259"/>
      </w:pPr>
      <w:bookmarkStart w:id="0" w:name="OLE_LINK5"/>
      <w:r>
        <w:rPr>
          <w:sz w:val="20"/>
        </w:rPr>
        <w:t xml:space="preserve">• </w:t>
      </w:r>
      <w:bookmarkEnd w:id="0"/>
      <w:r>
        <w:rPr>
          <w:b/>
          <w:i/>
          <w:sz w:val="20"/>
        </w:rPr>
        <w:t>The Cost of Climate Exposure: Disentangling Climate Risk Horizons (Work in Progress)</w:t>
      </w:r>
    </w:p>
    <w:p w14:paraId="5ADED31D" w14:textId="4F9723D9" w:rsidR="00AE6B5A" w:rsidRPr="004F60B2" w:rsidRDefault="00AE6B5A" w:rsidP="004F60B2">
      <w:pPr>
        <w:pStyle w:val="Tight"/>
        <w:spacing w:after="60"/>
        <w:ind w:left="360"/>
        <w:rPr>
          <w:sz w:val="20"/>
        </w:rPr>
      </w:pPr>
      <w:r w:rsidRPr="00AE6B5A">
        <w:rPr>
          <w:sz w:val="20"/>
        </w:rPr>
        <w:t xml:space="preserve">Examines how climate-risk pricing </w:t>
      </w:r>
      <w:r w:rsidR="00B97F65">
        <w:rPr>
          <w:sz w:val="20"/>
        </w:rPr>
        <w:t>across</w:t>
      </w:r>
      <w:r w:rsidRPr="00AE6B5A">
        <w:rPr>
          <w:sz w:val="20"/>
        </w:rPr>
        <w:t xml:space="preserve"> </w:t>
      </w:r>
      <w:r w:rsidR="00B97F65">
        <w:rPr>
          <w:sz w:val="20"/>
        </w:rPr>
        <w:t>various</w:t>
      </w:r>
      <w:r w:rsidRPr="00AE6B5A">
        <w:rPr>
          <w:sz w:val="20"/>
        </w:rPr>
        <w:t xml:space="preserve"> time horizons reveals how disclosure and executive compensation structure</w:t>
      </w:r>
      <w:r w:rsidR="00B97F65">
        <w:rPr>
          <w:sz w:val="20"/>
        </w:rPr>
        <w:t>s</w:t>
      </w:r>
      <w:r w:rsidRPr="00AE6B5A">
        <w:rPr>
          <w:sz w:val="20"/>
        </w:rPr>
        <w:t xml:space="preserve"> influence firms’ ability to manage transition versus physical risks using conference-call transcripts and </w:t>
      </w:r>
      <w:r w:rsidRPr="004F60B2">
        <w:rPr>
          <w:sz w:val="20"/>
        </w:rPr>
        <w:t>macro</w:t>
      </w:r>
      <w:r w:rsidRPr="00AE6B5A">
        <w:rPr>
          <w:sz w:val="20"/>
        </w:rPr>
        <w:t>-level climate exposure measures.</w:t>
      </w:r>
    </w:p>
    <w:p w14:paraId="3016CB7E" w14:textId="71EE37C7" w:rsidR="00720D13" w:rsidRDefault="00000000">
      <w:pPr>
        <w:pStyle w:val="SmallCapsSection"/>
        <w:pBdr>
          <w:bottom w:val="single" w:sz="8" w:space="1" w:color="1F4E79"/>
        </w:pBdr>
        <w:spacing w:before="200" w:after="100"/>
      </w:pPr>
      <w:r>
        <w:t>Presentations</w:t>
      </w:r>
    </w:p>
    <w:p w14:paraId="758976DD" w14:textId="77777777" w:rsidR="00720D13" w:rsidRDefault="00000000" w:rsidP="007D1FE5">
      <w:pPr>
        <w:pStyle w:val="Tight"/>
        <w:spacing w:after="20"/>
        <w:ind w:left="288" w:hanging="288"/>
      </w:pPr>
      <w:r>
        <w:t xml:space="preserve">• </w:t>
      </w:r>
      <w:bookmarkStart w:id="1" w:name="OLE_LINK6"/>
      <w:r>
        <w:t xml:space="preserve">International Conference in Banking and Financial Studies </w:t>
      </w:r>
      <w:bookmarkEnd w:id="1"/>
      <w:r>
        <w:t>(ICBFS)</w:t>
      </w:r>
    </w:p>
    <w:p w14:paraId="469BE9D6" w14:textId="40CEC5F9" w:rsidR="00A76ED7" w:rsidRDefault="00000000" w:rsidP="007D1FE5">
      <w:pPr>
        <w:pStyle w:val="Tight"/>
        <w:spacing w:after="20"/>
        <w:ind w:left="288" w:hanging="288"/>
      </w:pPr>
      <w:r>
        <w:t xml:space="preserve">• </w:t>
      </w:r>
      <w:r w:rsidR="00A97B6F" w:rsidRPr="00A97B6F">
        <w:t>Academy of Sustainable Finance, Accounting, Accountability &amp; Governance (ASFAAG)</w:t>
      </w:r>
      <w:r>
        <w:t xml:space="preserve"> Conference</w:t>
      </w:r>
    </w:p>
    <w:p w14:paraId="72AC4F6A" w14:textId="23DA064B" w:rsidR="00436356" w:rsidRPr="00EB4324" w:rsidRDefault="00A76ED7" w:rsidP="007D1FE5">
      <w:pPr>
        <w:pStyle w:val="Tight"/>
        <w:spacing w:after="20"/>
        <w:ind w:left="288" w:hanging="288"/>
      </w:pPr>
      <w:r>
        <w:t xml:space="preserve">• </w:t>
      </w:r>
      <w:r w:rsidRPr="00A76ED7">
        <w:t>6th Finance and Accounting Annual Symposium</w:t>
      </w:r>
    </w:p>
    <w:p w14:paraId="02DBDD8C" w14:textId="77777777" w:rsidR="00EB4324" w:rsidRDefault="00000000" w:rsidP="007D1FE5">
      <w:pPr>
        <w:pStyle w:val="Tight"/>
        <w:spacing w:after="20"/>
        <w:ind w:left="288" w:hanging="288"/>
      </w:pPr>
      <w:r>
        <w:t xml:space="preserve">• </w:t>
      </w:r>
      <w:r w:rsidR="00EB4324" w:rsidRPr="00EB4324">
        <w:t>Alliance for Research on Corporate Sustainability (ARCS) 18th Annual Research Conference</w:t>
      </w:r>
    </w:p>
    <w:p w14:paraId="19817514" w14:textId="79DE64FE" w:rsidR="00EB4324" w:rsidRDefault="00EB4324" w:rsidP="007D1FE5">
      <w:pPr>
        <w:pStyle w:val="Tight"/>
        <w:spacing w:after="20"/>
        <w:ind w:left="288" w:hanging="288"/>
      </w:pPr>
      <w:r>
        <w:t xml:space="preserve">• </w:t>
      </w:r>
      <w:r w:rsidRPr="00EB4324">
        <w:t>3rd Workshop on Recent Trends and New Developments in Sustainable, Green and International Finance</w:t>
      </w:r>
    </w:p>
    <w:p w14:paraId="29AEB1D0" w14:textId="77777777" w:rsidR="007D1FE5" w:rsidRDefault="00EB4324" w:rsidP="00CE7E1A">
      <w:pPr>
        <w:pStyle w:val="Tight"/>
        <w:spacing w:after="20"/>
        <w:ind w:left="288" w:hanging="288"/>
      </w:pPr>
      <w:r>
        <w:t xml:space="preserve">• </w:t>
      </w:r>
      <w:bookmarkStart w:id="2" w:name="OLE_LINK3"/>
      <w:r w:rsidR="007D1FE5" w:rsidRPr="007D1FE5">
        <w:t>Finance and Accounting 2026 Annual Research Symposium</w:t>
      </w:r>
      <w:bookmarkEnd w:id="2"/>
      <w:r w:rsidR="007D1FE5">
        <w:t xml:space="preserve"> </w:t>
      </w:r>
    </w:p>
    <w:p w14:paraId="0A84CEFA" w14:textId="79B372E0" w:rsidR="00CE7E1A" w:rsidRDefault="00CE7E1A" w:rsidP="00CE7E1A">
      <w:pPr>
        <w:pStyle w:val="Tight"/>
        <w:spacing w:after="20"/>
        <w:ind w:left="288" w:hanging="288"/>
      </w:pPr>
      <w:r>
        <w:t xml:space="preserve">• </w:t>
      </w:r>
      <w:r w:rsidRPr="00CE7E1A">
        <w:t>16th Biennial APF International Conference on Macroeconomics and Finance</w:t>
      </w:r>
    </w:p>
    <w:p w14:paraId="0BAC3674" w14:textId="74C7D5E6" w:rsidR="00CE7E1A" w:rsidRDefault="00CE7E1A" w:rsidP="00CE7E1A">
      <w:pPr>
        <w:pStyle w:val="Tight"/>
        <w:spacing w:after="20"/>
        <w:ind w:left="288" w:hanging="288"/>
      </w:pPr>
      <w:r>
        <w:t>•</w:t>
      </w:r>
      <w:r>
        <w:rPr>
          <w:rFonts w:hint="eastAsia"/>
        </w:rPr>
        <w:t xml:space="preserve"> </w:t>
      </w:r>
      <w:r w:rsidRPr="00CE7E1A">
        <w:t>W</w:t>
      </w:r>
      <w:r>
        <w:rPr>
          <w:rFonts w:hint="eastAsia"/>
        </w:rPr>
        <w:t>orld</w:t>
      </w:r>
      <w:r w:rsidRPr="00CE7E1A">
        <w:t xml:space="preserve"> F</w:t>
      </w:r>
      <w:r>
        <w:t>inance</w:t>
      </w:r>
      <w:r w:rsidRPr="00CE7E1A">
        <w:t xml:space="preserve"> C</w:t>
      </w:r>
      <w:r>
        <w:t>onference</w:t>
      </w:r>
    </w:p>
    <w:p w14:paraId="20AE0C9D" w14:textId="0E3DA656" w:rsidR="00720D13" w:rsidRPr="007D1FE5" w:rsidRDefault="00CE7E1A" w:rsidP="00CE7E1A">
      <w:pPr>
        <w:pStyle w:val="Tight"/>
        <w:spacing w:after="20"/>
      </w:pPr>
      <w:r>
        <w:t>•</w:t>
      </w:r>
      <w:r>
        <w:rPr>
          <w:rFonts w:hint="eastAsia"/>
        </w:rPr>
        <w:t xml:space="preserve"> </w:t>
      </w:r>
      <w:r>
        <w:t>QMUL Internal Seminar</w:t>
      </w:r>
    </w:p>
    <w:p w14:paraId="50269E87" w14:textId="77777777" w:rsidR="00720D13" w:rsidRDefault="00000000">
      <w:pPr>
        <w:pStyle w:val="SmallCapsSection"/>
        <w:pBdr>
          <w:bottom w:val="single" w:sz="8" w:space="1" w:color="1F4E79"/>
        </w:pBdr>
        <w:spacing w:before="200" w:after="100"/>
      </w:pPr>
      <w:r>
        <w:lastRenderedPageBreak/>
        <w:t>Teaching Experience</w:t>
      </w:r>
    </w:p>
    <w:p w14:paraId="6AB9D860" w14:textId="30168FE2" w:rsidR="001034E9" w:rsidRPr="001034E9" w:rsidRDefault="00000000">
      <w:pPr>
        <w:pStyle w:val="Tight"/>
        <w:spacing w:after="20"/>
        <w:rPr>
          <w:rFonts w:hint="eastAsia"/>
          <w:b/>
          <w:lang w:eastAsia="zh-CN"/>
        </w:rPr>
      </w:pPr>
      <w:r>
        <w:rPr>
          <w:b/>
        </w:rPr>
        <w:t>Queen Mary University of London</w:t>
      </w:r>
    </w:p>
    <w:p w14:paraId="336AB308" w14:textId="77777777" w:rsidR="00720D13" w:rsidRDefault="00000000">
      <w:pPr>
        <w:pStyle w:val="Tight"/>
        <w:spacing w:after="20"/>
        <w:ind w:left="288" w:hanging="288"/>
      </w:pPr>
      <w:r>
        <w:rPr>
          <w:b/>
          <w:sz w:val="20"/>
        </w:rPr>
        <w:t xml:space="preserve">• Principal Teaching Assistant: </w:t>
      </w:r>
      <w:r>
        <w:rPr>
          <w:sz w:val="20"/>
        </w:rPr>
        <w:t>Principles of Trading; Finance of Emerging Markets; International Financial Strategy</w:t>
      </w:r>
    </w:p>
    <w:p w14:paraId="1F6309DB" w14:textId="77777777" w:rsidR="00720D13" w:rsidRDefault="00000000">
      <w:pPr>
        <w:pStyle w:val="Tight"/>
        <w:spacing w:after="20"/>
        <w:ind w:left="288" w:hanging="288"/>
      </w:pPr>
      <w:r>
        <w:rPr>
          <w:b/>
          <w:sz w:val="20"/>
        </w:rPr>
        <w:t xml:space="preserve">• Teaching Assistant: </w:t>
      </w:r>
      <w:r>
        <w:rPr>
          <w:sz w:val="20"/>
        </w:rPr>
        <w:t>Principles of Finance; Economics and Finance in Action; Statistical Methods in Economics; Foundations of Finance</w:t>
      </w:r>
    </w:p>
    <w:p w14:paraId="357DE921" w14:textId="77777777" w:rsidR="00720D13" w:rsidRDefault="00000000">
      <w:pPr>
        <w:pStyle w:val="SmallCapsSection"/>
        <w:pBdr>
          <w:bottom w:val="single" w:sz="8" w:space="1" w:color="1F4E79"/>
        </w:pBdr>
        <w:spacing w:before="200" w:after="100"/>
      </w:pPr>
      <w:r>
        <w:t>Service</w:t>
      </w:r>
    </w:p>
    <w:p w14:paraId="3A657746" w14:textId="77777777" w:rsidR="00720D13" w:rsidRPr="001034E9" w:rsidRDefault="00000000">
      <w:pPr>
        <w:pStyle w:val="Tight"/>
        <w:spacing w:after="40"/>
        <w:ind w:left="288" w:hanging="288"/>
        <w:rPr>
          <w:sz w:val="19"/>
          <w:szCs w:val="19"/>
        </w:rPr>
      </w:pPr>
      <w:r>
        <w:t xml:space="preserve">• </w:t>
      </w:r>
      <w:r w:rsidRPr="001034E9">
        <w:rPr>
          <w:sz w:val="19"/>
          <w:szCs w:val="19"/>
        </w:rPr>
        <w:t>Organiser, 6th Annual PhD Workshop, School of Economics and Finance, Queen Mary University of London (2024)</w:t>
      </w:r>
    </w:p>
    <w:p w14:paraId="619D7B90" w14:textId="77777777" w:rsidR="00720D13" w:rsidRDefault="00000000">
      <w:pPr>
        <w:pStyle w:val="SmallCapsSection"/>
        <w:pBdr>
          <w:bottom w:val="single" w:sz="8" w:space="1" w:color="1F4E79"/>
        </w:pBdr>
        <w:spacing w:before="200" w:after="100"/>
      </w:pPr>
      <w:r>
        <w:t>Awards and Scholarships</w:t>
      </w:r>
    </w:p>
    <w:p w14:paraId="719A39EC" w14:textId="77777777" w:rsidR="00720D13" w:rsidRDefault="00000000">
      <w:pPr>
        <w:pStyle w:val="Tight"/>
        <w:spacing w:after="20"/>
        <w:ind w:left="288" w:hanging="288"/>
      </w:pPr>
      <w:bookmarkStart w:id="3" w:name="OLE_LINK4"/>
      <w:r>
        <w:t>•</w:t>
      </w:r>
      <w:bookmarkEnd w:id="3"/>
      <w:r>
        <w:t xml:space="preserve"> Fully Funded PhD Scholarship, Queen Mary University of London</w:t>
      </w:r>
    </w:p>
    <w:p w14:paraId="44AD012E" w14:textId="77777777" w:rsidR="00720D13" w:rsidRDefault="00000000">
      <w:pPr>
        <w:pStyle w:val="Tight"/>
        <w:spacing w:after="20"/>
        <w:ind w:left="288" w:hanging="288"/>
      </w:pPr>
      <w:r>
        <w:t>• Honour Society membership</w:t>
      </w:r>
    </w:p>
    <w:p w14:paraId="3C131183" w14:textId="77777777" w:rsidR="00720D13" w:rsidRDefault="00000000">
      <w:pPr>
        <w:pStyle w:val="Tight"/>
        <w:spacing w:after="20"/>
        <w:ind w:left="288" w:hanging="288"/>
      </w:pPr>
      <w:r>
        <w:t>• University of Arizona Scholarship</w:t>
      </w:r>
    </w:p>
    <w:p w14:paraId="42939339" w14:textId="77777777" w:rsidR="00720D13" w:rsidRDefault="00000000">
      <w:pPr>
        <w:pStyle w:val="Tight"/>
        <w:spacing w:after="20"/>
        <w:ind w:left="288" w:hanging="288"/>
      </w:pPr>
      <w:r>
        <w:t>• Benjamin F. Marshall Memorial Scholarship</w:t>
      </w:r>
    </w:p>
    <w:p w14:paraId="3283DA3C" w14:textId="77777777" w:rsidR="00720D13" w:rsidRDefault="00000000">
      <w:pPr>
        <w:pStyle w:val="Tight"/>
        <w:spacing w:after="20"/>
        <w:ind w:left="288" w:hanging="288"/>
      </w:pPr>
      <w:r>
        <w:t>• Dean's List</w:t>
      </w:r>
    </w:p>
    <w:p w14:paraId="0757F230" w14:textId="77777777" w:rsidR="00720D13" w:rsidRDefault="00000000">
      <w:pPr>
        <w:pStyle w:val="Tight"/>
        <w:spacing w:after="20"/>
        <w:ind w:left="288" w:hanging="288"/>
      </w:pPr>
      <w:r>
        <w:t>• Beta Gamma Sigma member</w:t>
      </w:r>
    </w:p>
    <w:p w14:paraId="53F2CC5D" w14:textId="77777777" w:rsidR="00720D13" w:rsidRDefault="00000000">
      <w:pPr>
        <w:pStyle w:val="SmallCapsSection"/>
        <w:pBdr>
          <w:bottom w:val="single" w:sz="8" w:space="1" w:color="1F4E79"/>
        </w:pBdr>
        <w:spacing w:before="200" w:after="100"/>
      </w:pPr>
      <w:r>
        <w:t>Additional Information</w:t>
      </w:r>
    </w:p>
    <w:p w14:paraId="2496FD14" w14:textId="77777777" w:rsidR="00720D13" w:rsidRDefault="00000000">
      <w:pPr>
        <w:pStyle w:val="Tight"/>
        <w:spacing w:after="20"/>
      </w:pPr>
      <w:r>
        <w:rPr>
          <w:b/>
        </w:rPr>
        <w:t xml:space="preserve">Computer Skills: </w:t>
      </w:r>
      <w:r>
        <w:t>Stata, R, Python, LaTeX</w:t>
      </w:r>
    </w:p>
    <w:p w14:paraId="4F77B451" w14:textId="77777777" w:rsidR="00720D13" w:rsidRDefault="00000000">
      <w:pPr>
        <w:pStyle w:val="Tight"/>
        <w:spacing w:after="20"/>
      </w:pPr>
      <w:r>
        <w:rPr>
          <w:b/>
        </w:rPr>
        <w:t xml:space="preserve">Professional: </w:t>
      </w:r>
      <w:r>
        <w:t>CFA Level II Candidate</w:t>
      </w:r>
    </w:p>
    <w:p w14:paraId="3E4D6F47" w14:textId="77777777" w:rsidR="00720D13" w:rsidRDefault="00000000">
      <w:pPr>
        <w:pStyle w:val="Tight"/>
        <w:spacing w:after="20"/>
      </w:pPr>
      <w:r>
        <w:rPr>
          <w:b/>
        </w:rPr>
        <w:t xml:space="preserve">Languages: </w:t>
      </w:r>
      <w:r>
        <w:t>English (Fluent), Chinese (Native)</w:t>
      </w:r>
    </w:p>
    <w:p w14:paraId="3BB2C731" w14:textId="77777777" w:rsidR="00720D13" w:rsidRDefault="00000000">
      <w:pPr>
        <w:pStyle w:val="SmallCapsSection"/>
        <w:pBdr>
          <w:bottom w:val="single" w:sz="8" w:space="1" w:color="1F4E79"/>
        </w:pBdr>
        <w:spacing w:before="200" w:after="100"/>
      </w:pPr>
      <w:r>
        <w:t>Professional Experience</w:t>
      </w:r>
    </w:p>
    <w:tbl>
      <w:tblPr>
        <w:tblW w:w="0" w:type="auto"/>
        <w:tblLayout w:type="fixed"/>
        <w:tblLook w:val="04A0" w:firstRow="1" w:lastRow="0" w:firstColumn="1" w:lastColumn="0" w:noHBand="0" w:noVBand="1"/>
      </w:tblPr>
      <w:tblGrid>
        <w:gridCol w:w="4658"/>
        <w:gridCol w:w="4658"/>
      </w:tblGrid>
      <w:tr w:rsidR="00720D13" w14:paraId="21A06538" w14:textId="77777777">
        <w:tc>
          <w:tcPr>
            <w:tcW w:w="4658" w:type="dxa"/>
            <w:tcBorders>
              <w:top w:val="nil"/>
              <w:left w:val="nil"/>
              <w:bottom w:val="nil"/>
              <w:right w:val="nil"/>
            </w:tcBorders>
          </w:tcPr>
          <w:p w14:paraId="549078D1" w14:textId="77777777" w:rsidR="00720D13" w:rsidRDefault="00000000">
            <w:pPr>
              <w:spacing w:after="0" w:line="240" w:lineRule="auto"/>
            </w:pPr>
            <w:r>
              <w:rPr>
                <w:b/>
                <w:sz w:val="21"/>
              </w:rPr>
              <w:t>Industrial Bank Co., Ltd., Xi'an, China</w:t>
            </w:r>
            <w:r>
              <w:br/>
            </w:r>
            <w:r>
              <w:rPr>
                <w:sz w:val="21"/>
              </w:rPr>
              <w:t>Wealth Manager / Customer Manager</w:t>
            </w:r>
          </w:p>
        </w:tc>
        <w:tc>
          <w:tcPr>
            <w:tcW w:w="4658" w:type="dxa"/>
            <w:tcBorders>
              <w:top w:val="nil"/>
              <w:left w:val="nil"/>
              <w:bottom w:val="nil"/>
              <w:right w:val="nil"/>
            </w:tcBorders>
          </w:tcPr>
          <w:p w14:paraId="4577D7D8" w14:textId="77777777" w:rsidR="00720D13" w:rsidRDefault="00000000">
            <w:pPr>
              <w:spacing w:after="0" w:line="240" w:lineRule="auto"/>
              <w:jc w:val="right"/>
            </w:pPr>
            <w:r>
              <w:rPr>
                <w:rFonts w:ascii="Arial" w:hAnsi="Arial"/>
                <w:b/>
                <w:color w:val="555555"/>
                <w:sz w:val="20"/>
              </w:rPr>
              <w:t>2016–2019</w:t>
            </w:r>
          </w:p>
        </w:tc>
      </w:tr>
    </w:tbl>
    <w:p w14:paraId="40E524C5" w14:textId="03E1D74D" w:rsidR="00720D13" w:rsidRDefault="00000000">
      <w:pPr>
        <w:pStyle w:val="SmallCapsSection"/>
        <w:pBdr>
          <w:bottom w:val="single" w:sz="8" w:space="1" w:color="1F4E79"/>
        </w:pBdr>
        <w:spacing w:before="200" w:after="100"/>
      </w:pPr>
      <w:r>
        <w:t>References</w:t>
      </w:r>
    </w:p>
    <w:p w14:paraId="31C0749B" w14:textId="77777777" w:rsidR="00720D13" w:rsidRDefault="00000000">
      <w:pPr>
        <w:pStyle w:val="Tight"/>
        <w:spacing w:after="20"/>
      </w:pPr>
      <w:bookmarkStart w:id="4" w:name="OLE_LINK2"/>
      <w:r>
        <w:rPr>
          <w:b/>
        </w:rPr>
        <w:t>Ilaria Piatti</w:t>
      </w:r>
    </w:p>
    <w:bookmarkEnd w:id="4"/>
    <w:p w14:paraId="3F462C62" w14:textId="77777777" w:rsidR="00720D13" w:rsidRDefault="00000000">
      <w:pPr>
        <w:pStyle w:val="Tight"/>
        <w:spacing w:after="20"/>
        <w:ind w:left="288"/>
      </w:pPr>
      <w:r>
        <w:rPr>
          <w:sz w:val="20"/>
        </w:rPr>
        <w:t>Senior Lecturer in Finance, School of Economics and Finance, Queen Mary University of London</w:t>
      </w:r>
    </w:p>
    <w:p w14:paraId="02218FC9" w14:textId="77777777" w:rsidR="00720D13" w:rsidRDefault="00000000">
      <w:pPr>
        <w:pStyle w:val="Tight"/>
        <w:spacing w:after="40"/>
        <w:ind w:left="288"/>
      </w:pPr>
      <w:r>
        <w:rPr>
          <w:sz w:val="20"/>
        </w:rPr>
        <w:t>i.piatti@qmul.ac.uk</w:t>
      </w:r>
    </w:p>
    <w:p w14:paraId="5C95BFE0" w14:textId="77777777" w:rsidR="00720D13" w:rsidRDefault="00000000">
      <w:pPr>
        <w:pStyle w:val="Tight"/>
        <w:spacing w:after="20"/>
      </w:pPr>
      <w:r>
        <w:rPr>
          <w:b/>
        </w:rPr>
        <w:t>Daniele Bianchi</w:t>
      </w:r>
    </w:p>
    <w:p w14:paraId="77EED482" w14:textId="77777777" w:rsidR="00720D13" w:rsidRDefault="00000000">
      <w:pPr>
        <w:pStyle w:val="Tight"/>
        <w:spacing w:after="20"/>
        <w:ind w:left="288"/>
      </w:pPr>
      <w:r>
        <w:rPr>
          <w:sz w:val="20"/>
        </w:rPr>
        <w:t>Associate Professor of Finance, School of Economics and Finance, Queen Mary University of London</w:t>
      </w:r>
    </w:p>
    <w:p w14:paraId="205B71CB" w14:textId="77777777" w:rsidR="00720D13" w:rsidRDefault="00000000">
      <w:pPr>
        <w:pStyle w:val="Tight"/>
        <w:spacing w:after="40"/>
        <w:ind w:left="288"/>
      </w:pPr>
      <w:r>
        <w:rPr>
          <w:sz w:val="20"/>
        </w:rPr>
        <w:t>d.bianchi@qmul.ac.uk</w:t>
      </w:r>
    </w:p>
    <w:p w14:paraId="6F29483E" w14:textId="77777777" w:rsidR="00720D13" w:rsidRDefault="00000000">
      <w:pPr>
        <w:pStyle w:val="Tight"/>
        <w:spacing w:after="20"/>
      </w:pPr>
      <w:r>
        <w:rPr>
          <w:b/>
        </w:rPr>
        <w:t>Thomas Mosk</w:t>
      </w:r>
    </w:p>
    <w:p w14:paraId="4F5C9183" w14:textId="45F53481" w:rsidR="00720D13" w:rsidRPr="00EB4324" w:rsidRDefault="00000000" w:rsidP="00EB4324">
      <w:pPr>
        <w:pStyle w:val="Tight"/>
        <w:spacing w:after="20"/>
        <w:ind w:left="288"/>
        <w:rPr>
          <w:lang w:val="en-GB" w:eastAsia="zh-CN"/>
        </w:rPr>
      </w:pPr>
      <w:r>
        <w:rPr>
          <w:sz w:val="20"/>
        </w:rPr>
        <w:t xml:space="preserve">Lecturer in Finance, School of Economics and Finance, Queen Mary University of </w:t>
      </w:r>
      <w:proofErr w:type="gramStart"/>
      <w:r>
        <w:rPr>
          <w:sz w:val="20"/>
        </w:rPr>
        <w:t>London</w:t>
      </w:r>
      <w:r w:rsidR="00EB4324">
        <w:rPr>
          <w:sz w:val="20"/>
          <w:lang w:val="en-GB" w:eastAsia="zh-CN"/>
        </w:rPr>
        <w:t>,</w:t>
      </w:r>
      <w:r>
        <w:rPr>
          <w:sz w:val="20"/>
        </w:rPr>
        <w:t>t.mosk@qmul.ac.uk</w:t>
      </w:r>
      <w:proofErr w:type="gramEnd"/>
    </w:p>
    <w:sectPr w:rsidR="00720D13" w:rsidRPr="00EB4324" w:rsidSect="00034616">
      <w:pgSz w:w="11909" w:h="16834"/>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A80998"/>
    <w:multiLevelType w:val="hybridMultilevel"/>
    <w:tmpl w:val="76809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4768F"/>
    <w:multiLevelType w:val="hybridMultilevel"/>
    <w:tmpl w:val="2EB4F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633041">
    <w:abstractNumId w:val="8"/>
  </w:num>
  <w:num w:numId="2" w16cid:durableId="99684409">
    <w:abstractNumId w:val="6"/>
  </w:num>
  <w:num w:numId="3" w16cid:durableId="173156032">
    <w:abstractNumId w:val="5"/>
  </w:num>
  <w:num w:numId="4" w16cid:durableId="190189489">
    <w:abstractNumId w:val="4"/>
  </w:num>
  <w:num w:numId="5" w16cid:durableId="440343507">
    <w:abstractNumId w:val="7"/>
  </w:num>
  <w:num w:numId="6" w16cid:durableId="1063991122">
    <w:abstractNumId w:val="3"/>
  </w:num>
  <w:num w:numId="7" w16cid:durableId="573588483">
    <w:abstractNumId w:val="2"/>
  </w:num>
  <w:num w:numId="8" w16cid:durableId="1993485287">
    <w:abstractNumId w:val="1"/>
  </w:num>
  <w:num w:numId="9" w16cid:durableId="322508343">
    <w:abstractNumId w:val="0"/>
  </w:num>
  <w:num w:numId="10" w16cid:durableId="1386300058">
    <w:abstractNumId w:val="10"/>
  </w:num>
  <w:num w:numId="11" w16cid:durableId="288247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EC"/>
    <w:rsid w:val="0006063C"/>
    <w:rsid w:val="000C1736"/>
    <w:rsid w:val="001034E9"/>
    <w:rsid w:val="001044E1"/>
    <w:rsid w:val="0015074B"/>
    <w:rsid w:val="00180929"/>
    <w:rsid w:val="001D1420"/>
    <w:rsid w:val="00215081"/>
    <w:rsid w:val="0023687C"/>
    <w:rsid w:val="002732CE"/>
    <w:rsid w:val="00281CA5"/>
    <w:rsid w:val="0029639D"/>
    <w:rsid w:val="002C02E5"/>
    <w:rsid w:val="002C6FCF"/>
    <w:rsid w:val="002D3C6A"/>
    <w:rsid w:val="002D4C45"/>
    <w:rsid w:val="00310CDF"/>
    <w:rsid w:val="00326F90"/>
    <w:rsid w:val="003336DF"/>
    <w:rsid w:val="00344B33"/>
    <w:rsid w:val="00392D68"/>
    <w:rsid w:val="00436356"/>
    <w:rsid w:val="00466772"/>
    <w:rsid w:val="00471C47"/>
    <w:rsid w:val="00472A38"/>
    <w:rsid w:val="004F60B2"/>
    <w:rsid w:val="00585E0B"/>
    <w:rsid w:val="005C50E3"/>
    <w:rsid w:val="005F3F2D"/>
    <w:rsid w:val="00671FB9"/>
    <w:rsid w:val="006816E2"/>
    <w:rsid w:val="00687641"/>
    <w:rsid w:val="006971F0"/>
    <w:rsid w:val="006C4CC1"/>
    <w:rsid w:val="00720D13"/>
    <w:rsid w:val="007334BF"/>
    <w:rsid w:val="0077518B"/>
    <w:rsid w:val="007D1FE5"/>
    <w:rsid w:val="0083117D"/>
    <w:rsid w:val="009C004A"/>
    <w:rsid w:val="00A004A7"/>
    <w:rsid w:val="00A46B33"/>
    <w:rsid w:val="00A73591"/>
    <w:rsid w:val="00A76ED7"/>
    <w:rsid w:val="00A825AC"/>
    <w:rsid w:val="00A97B6F"/>
    <w:rsid w:val="00AA1D8D"/>
    <w:rsid w:val="00AC0495"/>
    <w:rsid w:val="00AD59F2"/>
    <w:rsid w:val="00AE6B5A"/>
    <w:rsid w:val="00B00447"/>
    <w:rsid w:val="00B20EE8"/>
    <w:rsid w:val="00B24264"/>
    <w:rsid w:val="00B47730"/>
    <w:rsid w:val="00B95EA2"/>
    <w:rsid w:val="00B97F65"/>
    <w:rsid w:val="00C44E41"/>
    <w:rsid w:val="00C90A88"/>
    <w:rsid w:val="00CA075D"/>
    <w:rsid w:val="00CB0664"/>
    <w:rsid w:val="00CE7E1A"/>
    <w:rsid w:val="00D647C4"/>
    <w:rsid w:val="00E6234B"/>
    <w:rsid w:val="00E70D7F"/>
    <w:rsid w:val="00EA0F99"/>
    <w:rsid w:val="00EB39A6"/>
    <w:rsid w:val="00EB4025"/>
    <w:rsid w:val="00EB4324"/>
    <w:rsid w:val="00ED71CC"/>
    <w:rsid w:val="00F26AEA"/>
    <w:rsid w:val="00FC693F"/>
    <w:rsid w:val="00FD25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17833"/>
  <w14:defaultImageDpi w14:val="300"/>
  <w15:docId w15:val="{392FF4D3-021F-EE4F-89C8-CF94D479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65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Section">
    <w:name w:val="SmallCapsSection"/>
    <w:basedOn w:val="Heading1"/>
    <w:rPr>
      <w:rFonts w:ascii="Arial" w:hAnsi="Arial"/>
      <w:sz w:val="23"/>
    </w:rPr>
  </w:style>
  <w:style w:type="paragraph" w:customStyle="1" w:styleId="CVName">
    <w:name w:val="CVName"/>
    <w:basedOn w:val="Title"/>
    <w:rPr>
      <w:rFonts w:ascii="Arial" w:hAnsi="Arial"/>
      <w:sz w:val="38"/>
    </w:rPr>
  </w:style>
  <w:style w:type="paragraph" w:customStyle="1" w:styleId="CVSub">
    <w:name w:val="CVSub"/>
    <w:basedOn w:val="Subtitle"/>
    <w:rPr>
      <w:rFonts w:ascii="Arial" w:hAnsi="Arial"/>
      <w:sz w:val="21"/>
    </w:rPr>
  </w:style>
  <w:style w:type="paragraph" w:customStyle="1" w:styleId="Tight">
    <w:name w:val="Tight"/>
    <w:basedOn w:val="Normal"/>
    <w:rPr>
      <w:sz w:val="21"/>
    </w:rPr>
  </w:style>
  <w:style w:type="character" w:customStyle="1" w:styleId="citation-67">
    <w:name w:val="citation-67"/>
    <w:basedOn w:val="DefaultParagraphFont"/>
    <w:rsid w:val="00A73591"/>
  </w:style>
  <w:style w:type="character" w:customStyle="1" w:styleId="citation-66">
    <w:name w:val="citation-66"/>
    <w:basedOn w:val="DefaultParagraphFont"/>
    <w:rsid w:val="00A73591"/>
  </w:style>
  <w:style w:type="character" w:customStyle="1" w:styleId="citation-64">
    <w:name w:val="citation-64"/>
    <w:basedOn w:val="DefaultParagraphFont"/>
    <w:rsid w:val="00A73591"/>
  </w:style>
  <w:style w:type="character" w:customStyle="1" w:styleId="citation-63">
    <w:name w:val="citation-63"/>
    <w:basedOn w:val="DefaultParagraphFont"/>
    <w:rsid w:val="00A73591"/>
  </w:style>
  <w:style w:type="character" w:customStyle="1" w:styleId="citation-62">
    <w:name w:val="citation-62"/>
    <w:basedOn w:val="DefaultParagraphFont"/>
    <w:rsid w:val="00A73591"/>
  </w:style>
  <w:style w:type="character" w:customStyle="1" w:styleId="citation-61">
    <w:name w:val="citation-61"/>
    <w:basedOn w:val="DefaultParagraphFont"/>
    <w:rsid w:val="0077518B"/>
  </w:style>
  <w:style w:type="character" w:customStyle="1" w:styleId="citation-60">
    <w:name w:val="citation-60"/>
    <w:basedOn w:val="DefaultParagraphFont"/>
    <w:rsid w:val="0077518B"/>
  </w:style>
  <w:style w:type="paragraph" w:styleId="NormalWeb">
    <w:name w:val="Normal (Web)"/>
    <w:basedOn w:val="Normal"/>
    <w:uiPriority w:val="99"/>
    <w:unhideWhenUsed/>
    <w:rsid w:val="0077518B"/>
    <w:pPr>
      <w:spacing w:before="100" w:beforeAutospacing="1" w:after="100" w:afterAutospacing="1" w:line="240" w:lineRule="auto"/>
    </w:pPr>
    <w:rPr>
      <w:rFonts w:eastAsia="Times New Roman" w:cs="Times New Roman"/>
      <w:sz w:val="24"/>
      <w:szCs w:val="24"/>
      <w:lang w:val="en-GB" w:eastAsia="zh-CN"/>
    </w:rPr>
  </w:style>
  <w:style w:type="character" w:customStyle="1" w:styleId="citation-59">
    <w:name w:val="citation-59"/>
    <w:basedOn w:val="DefaultParagraphFont"/>
    <w:rsid w:val="0077518B"/>
  </w:style>
  <w:style w:type="character" w:customStyle="1" w:styleId="citation-58">
    <w:name w:val="citation-58"/>
    <w:basedOn w:val="DefaultParagraphFont"/>
    <w:rsid w:val="0077518B"/>
  </w:style>
  <w:style w:type="character" w:customStyle="1" w:styleId="citation-57">
    <w:name w:val="citation-57"/>
    <w:basedOn w:val="DefaultParagraphFont"/>
    <w:rsid w:val="005C50E3"/>
  </w:style>
  <w:style w:type="character" w:customStyle="1" w:styleId="citation-56">
    <w:name w:val="citation-56"/>
    <w:basedOn w:val="DefaultParagraphFont"/>
    <w:rsid w:val="005C50E3"/>
  </w:style>
  <w:style w:type="character" w:customStyle="1" w:styleId="citation-55">
    <w:name w:val="citation-55"/>
    <w:basedOn w:val="DefaultParagraphFont"/>
    <w:rsid w:val="00392D68"/>
  </w:style>
  <w:style w:type="character" w:customStyle="1" w:styleId="citation-54">
    <w:name w:val="citation-54"/>
    <w:basedOn w:val="DefaultParagraphFont"/>
    <w:rsid w:val="00392D68"/>
  </w:style>
  <w:style w:type="character" w:customStyle="1" w:styleId="citation-53">
    <w:name w:val="citation-53"/>
    <w:basedOn w:val="DefaultParagraphFont"/>
    <w:rsid w:val="00392D68"/>
  </w:style>
  <w:style w:type="character" w:customStyle="1" w:styleId="citation-172">
    <w:name w:val="citation-172"/>
    <w:basedOn w:val="DefaultParagraphFont"/>
    <w:rsid w:val="005F3F2D"/>
  </w:style>
  <w:style w:type="character" w:customStyle="1" w:styleId="citation-171">
    <w:name w:val="citation-171"/>
    <w:basedOn w:val="DefaultParagraphFont"/>
    <w:rsid w:val="005F3F2D"/>
  </w:style>
  <w:style w:type="character" w:customStyle="1" w:styleId="citation-169">
    <w:name w:val="citation-169"/>
    <w:basedOn w:val="DefaultParagraphFont"/>
    <w:rsid w:val="00F26AEA"/>
  </w:style>
  <w:style w:type="character" w:customStyle="1" w:styleId="citation-166">
    <w:name w:val="citation-166"/>
    <w:basedOn w:val="DefaultParagraphFont"/>
    <w:rsid w:val="006971F0"/>
  </w:style>
  <w:style w:type="character" w:customStyle="1" w:styleId="citation-165">
    <w:name w:val="citation-165"/>
    <w:basedOn w:val="DefaultParagraphFont"/>
    <w:rsid w:val="006971F0"/>
  </w:style>
  <w:style w:type="character" w:customStyle="1" w:styleId="citation-164">
    <w:name w:val="citation-164"/>
    <w:basedOn w:val="DefaultParagraphFont"/>
    <w:rsid w:val="006971F0"/>
  </w:style>
  <w:style w:type="character" w:customStyle="1" w:styleId="citation-163">
    <w:name w:val="citation-163"/>
    <w:basedOn w:val="DefaultParagraphFont"/>
    <w:rsid w:val="006971F0"/>
  </w:style>
  <w:style w:type="character" w:customStyle="1" w:styleId="citation-158">
    <w:name w:val="citation-158"/>
    <w:basedOn w:val="DefaultParagraphFont"/>
    <w:rsid w:val="00466772"/>
  </w:style>
  <w:style w:type="character" w:customStyle="1" w:styleId="citation-157">
    <w:name w:val="citation-157"/>
    <w:basedOn w:val="DefaultParagraphFont"/>
    <w:rsid w:val="002C6FCF"/>
  </w:style>
  <w:style w:type="character" w:customStyle="1" w:styleId="citation-156">
    <w:name w:val="citation-156"/>
    <w:basedOn w:val="DefaultParagraphFont"/>
    <w:rsid w:val="00671FB9"/>
  </w:style>
  <w:style w:type="character" w:customStyle="1" w:styleId="citation-154">
    <w:name w:val="citation-154"/>
    <w:basedOn w:val="DefaultParagraphFont"/>
    <w:rsid w:val="00C44E41"/>
  </w:style>
  <w:style w:type="character" w:customStyle="1" w:styleId="citation-153">
    <w:name w:val="citation-153"/>
    <w:basedOn w:val="DefaultParagraphFont"/>
    <w:rsid w:val="006C4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Wu</cp:lastModifiedBy>
  <cp:revision>7</cp:revision>
  <dcterms:created xsi:type="dcterms:W3CDTF">2026-04-27T10:50:00Z</dcterms:created>
  <dcterms:modified xsi:type="dcterms:W3CDTF">2026-04-27T11:00:00Z</dcterms:modified>
  <cp:category/>
</cp:coreProperties>
</file>