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240"/>
        <w:jc w:val="center"/>
      </w:pPr>
      <w:r>
        <w:rPr>
          <w:rFonts w:ascii="黑体" w:hAnsi="黑体"/>
          <w:b/>
          <w:color w:val="1B3A5C"/>
          <w:sz w:val="52"/>
        </w:rPr>
        <w:t>冀北风光储数智化生产支撑</w:t>
      </w:r>
      <w:r>
        <w:br w:type="page"/>
      </w:r>
    </w:p>
    <w:p>
      <w:pPr>
        <w:spacing w:after="720"/>
        <w:jc w:val="center"/>
      </w:pPr>
      <w:r>
        <w:rPr>
          <w:rFonts w:ascii="黑体" w:hAnsi="黑体"/>
          <w:b/>
          <w:color w:val="1B3A5C"/>
          <w:sz w:val="52"/>
        </w:rPr>
        <w:t>与数字孪生解决方案</w:t>
      </w:r>
    </w:p>
    <w:p>
      <w:pPr>
        <w:spacing w:after="960"/>
        <w:jc w:val="center"/>
      </w:pPr>
      <w:r>
        <w:rPr>
          <w:rFonts w:ascii="宋体" w:hAnsi="宋体"/>
          <w:b w:val="0"/>
          <w:color w:val="2B5C8A"/>
          <w:sz w:val="28"/>
        </w:rPr>
        <w:t>USDF统一空间数据底座驱动的新能源场站空间对象操作系统</w:t>
      </w:r>
    </w:p>
    <w:p>
      <w:pPr>
        <w:spacing w:after="120"/>
        <w:jc w:val="center"/>
      </w:pPr>
      <w:r>
        <w:rPr>
          <w:rFonts w:ascii="宋体" w:hAnsi="宋体"/>
          <w:b w:val="0"/>
          <w:color w:val="666666"/>
          <w:sz w:val="22"/>
        </w:rPr>
        <w:t>版本：V3.0（双模版）</w:t>
      </w:r>
    </w:p>
    <w:p>
      <w:pPr>
        <w:spacing w:after="120"/>
        <w:jc w:val="center"/>
      </w:pPr>
      <w:r>
        <w:rPr>
          <w:rFonts w:ascii="宋体" w:hAnsi="宋体"/>
          <w:b w:val="0"/>
          <w:color w:val="666666"/>
          <w:sz w:val="22"/>
        </w:rPr>
        <w:t>日期：2026-06-21</w:t>
      </w:r>
    </w:p>
    <w:p>
      <w:pPr>
        <w:spacing w:after="480"/>
        <w:jc w:val="center"/>
      </w:pPr>
      <w:r>
        <w:rPr>
          <w:rFonts w:ascii="宋体" w:hAnsi="宋体"/>
          <w:b w:val="0"/>
          <w:color w:val="666666"/>
          <w:sz w:val="22"/>
        </w:rPr>
        <w:t>密级：机密·投标专用</w:t>
      </w:r>
    </w:p>
    <w:p>
      <w:pPr>
        <w:spacing w:after="720"/>
        <w:jc w:val="center"/>
      </w:pPr>
      <w:r>
        <w:rPr>
          <w:rFonts w:ascii="宋体" w:hAnsi="宋体"/>
          <w:b w:val="0"/>
          <w:color w:val="2B5C8A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宋体" w:hAnsi="宋体"/>
          <w:b w:val="0"/>
          <w:color w:val="333333"/>
          <w:sz w:val="24"/>
        </w:rPr>
        <w:t>ZSSolutions · 中数解决方案</w:t>
      </w:r>
    </w:p>
    <w:p>
      <w:pPr>
        <w:spacing w:after="0"/>
        <w:jc w:val="center"/>
      </w:pPr>
      <w:r>
        <w:rPr>
          <w:rFonts w:ascii="宋体" w:hAnsi="宋体"/>
          <w:b w:val="0"/>
          <w:color w:val="666666"/>
          <w:sz w:val="22"/>
        </w:rPr>
        <w:t>2026年6月</w:t>
      </w:r>
    </w:p>
    <w:p>
      <w:pPr>
        <w:spacing w:after="120"/>
        <w:jc w:val="left"/>
      </w:pPr>
      <w:r>
        <w:rPr>
          <w:rFonts w:ascii="宋体" w:hAnsi="宋体"/>
          <w:b w:val="0"/>
          <w:color w:val="333333"/>
          <w:sz w:val="2"/>
        </w:rPr>
      </w:r>
    </w:p>
    <w:p>
      <w:pPr>
        <w:pStyle w:val="Title"/>
      </w:pPr>
      <w:r>
        <w:t xml:space="preserve">冀北风光储数智化生产支撑与数字孪生解决方案</w:t>
      </w:r>
    </w:p>
    <w:p>
      <w:pPr>
        <w:pStyle w:val="Author"/>
      </w:pPr>
      <w:r>
        <w:t xml:space="preserve">ZSSolutions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冀北风光储数智化生产支撑与数字孪生解决方案"/>
    <w:p>
      <w:pPr>
        <w:pStyle w:val="Heading1"/>
      </w:pPr>
      <w:r>
        <w:t xml:space="preserve">冀北风光储数智化生产支撑与数字孪生解决方案</w:t>
      </w:r>
    </w:p>
    <w:p>
      <w:pPr>
        <w:pStyle w:val="BlockText"/>
      </w:pPr>
      <w:r>
        <w:rPr>
          <w:bCs/>
          <w:b/>
        </w:rPr>
        <w:t xml:space="preserve">一句话价值主张</w:t>
      </w:r>
      <w:r>
        <w:t xml:space="preserve">：以行业首创的</w:t>
      </w:r>
      <w:r>
        <w:t xml:space="preserve"> </w:t>
      </w:r>
      <w:r>
        <w:rPr>
          <w:bCs/>
          <w:b/>
        </w:rPr>
        <w:t xml:space="preserve">USDF 统一空间数据底座</w:t>
      </w:r>
      <w:r>
        <w:t xml:space="preserve">为核心，让一座新能源场站像一台"空间对象操作系统"一样运行——设备注册一次、业务按需消费、毫秒级实时驱动、AI 模型即插即用。</w:t>
      </w:r>
    </w:p>
    <w:p>
      <w:r>
        <w:pict>
          <v:rect style="width:0;height:1.5pt" o:hralign="center" o:hrstd="t" o:hr="t"/>
        </w:pict>
      </w:r>
    </w:p>
    <w:bookmarkStart w:id="24" w:name="第一章-项目概述"/>
    <w:p>
      <w:pPr>
        <w:pStyle w:val="Heading2"/>
      </w:pPr>
      <w:r>
        <w:t xml:space="preserve">第一章 项目概述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：冀北基地不缺系统，缺的是让所有系统"说同一种语言"的底座。本章用三组"痛点—后果"说清为什么需要 USDF，并给出量化价值承诺。</w:t>
      </w:r>
    </w:p>
    <w:bookmarkStart w:id="21" w:name="Xf37f26906dc3b85be432e83a60052066ea8a614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冀北风光储基地位于河北省北部，是国家"十四五"新能源发展规划中风光储一体化建设的重点工程。基地涵盖集中式风电场、光伏电站、电化学储能电站及配套升压站与输电线路，总装机容量大、设备类型多、运行工况复杂。随着基地进入全面并网运行阶段，传统运维模式面临三个结构性痛点——每一个痛点的背后，都是真金白银的运营损失。</w:t>
      </w:r>
    </w:p>
    <w:p>
      <w:pPr>
        <w:pStyle w:val="BodyText"/>
      </w:pPr>
      <w:r>
        <w:rPr>
          <w:bCs/>
          <w:b/>
        </w:rPr>
        <w:t xml:space="preserve">痛点一：设备多样性 vs 管理统一性。</w:t>
      </w:r>
      <w:r>
        <w:t xml:space="preserve"> </w:t>
      </w:r>
      <w:r>
        <w:t xml:space="preserve">基地内风机、光伏组件、储能电池舱、SVG 无功补偿、升压站二次设备来自不同厂商，各自搭载独立的 SCADA 或监控系统。数据格式、通信协议、空间坐标系互不兼容，运维人员需要在多个系统间反复切换。</w:t>
      </w:r>
      <w:r>
        <w:rPr>
          <w:bCs/>
          <w:b/>
        </w:rPr>
        <w:t xml:space="preserve">业务后果</w:t>
      </w:r>
      <w:r>
        <w:t xml:space="preserve">：无法形成全场站统一态势感知，故障定位平均多耗时 30 分钟以上，一线人员 40% 的精力消耗在"系统倒切"而非"问题处置"上。</w:t>
      </w:r>
    </w:p>
    <w:p>
      <w:pPr>
        <w:pStyle w:val="BodyText"/>
      </w:pPr>
      <w:r>
        <w:rPr>
          <w:bCs/>
          <w:b/>
        </w:rPr>
        <w:t xml:space="preserve">痛点二：实时控制 vs 数据洪流。</w:t>
      </w:r>
      <w:r>
        <w:t xml:space="preserve"> </w:t>
      </w:r>
      <w:r>
        <w:t xml:space="preserve">百万级测点以秒级甚至毫秒级频率持续产生数据——风机振动监测 1kHz 高频采集、储能电池内短路预警需要 ms 级响应、暂态调频指令通过 GOOSE 协议要求端到端延迟不超过 100ms。传统关系型数据库加轮询架构无法同时满足吞吐量和延迟要求。</w:t>
      </w:r>
      <w:r>
        <w:rPr>
          <w:bCs/>
          <w:b/>
        </w:rPr>
        <w:t xml:space="preserve">业务后果</w:t>
      </w:r>
      <w:r>
        <w:t xml:space="preserve">：数据到达决策者手中时已经过时，暂态事件只能被动事后复盘，无法主动闭环控制，构网型支撑能力形同虚设。</w:t>
      </w:r>
    </w:p>
    <w:p>
      <w:pPr>
        <w:pStyle w:val="BodyText"/>
      </w:pPr>
      <w:r>
        <w:rPr>
          <w:bCs/>
          <w:b/>
        </w:rPr>
        <w:t xml:space="preserve">痛点三：智能化预期 vs 数字化基座。</w:t>
      </w:r>
      <w:r>
        <w:t xml:space="preserve"> </w:t>
      </w:r>
      <w:r>
        <w:t xml:space="preserve">AI 视觉巡检、构网型性能评价、功率协同优化等智能化应用对数据标准化程度要求极高——算法团队需要的是干净的结构化对象数据，而非原始报文和异构格式。</w:t>
      </w:r>
      <w:r>
        <w:rPr>
          <w:bCs/>
          <w:b/>
        </w:rPr>
        <w:t xml:space="preserve">业务后果</w:t>
      </w:r>
      <w:r>
        <w:t xml:space="preserve">：缺乏统一底座意味着每个 AI 场景都要从零搭建数据管线，研发周期被拉长 2–3 倍，模型难以复用、结果难以横向对比，智能化投入难以沉淀为可复制的资产。</w:t>
      </w:r>
    </w:p>
    <w:p>
      <w:pPr>
        <w:pStyle w:val="BodyText"/>
      </w:pPr>
      <w:r>
        <w:t xml:space="preserve">新型电力系统的核心特征是"高比例可再生能源 + 高比例电力电子设备"，这对场站运维提出三个新要求：一是场站必须具备自主暂态支撑能力（构网型），而非被动依赖电网惯量；二是运维模式必须从"计划检修 + 故障抢修"转向"状态检修 + 预测性维护"；三是平台架构必须为多场站扩展和 AI 能力迭代预留空间，避免推倒重来。</w:t>
      </w:r>
    </w:p>
    <w:p>
      <w:pPr>
        <w:pStyle w:val="BodyText"/>
      </w:pPr>
      <w:r>
        <w:t xml:space="preserve">本方案围绕上述痛点，提出以**统一空间数据底座（USDF）**为核心的新能源场站数智化生产支撑系统，实现百万测点实时接入、毫秒级暂态控制、全场站三维数字孪生和 AI 模型即插即用。</w:t>
      </w:r>
    </w:p>
    <w:p>
      <w:pPr>
        <w:pStyle w:val="BodyText"/>
      </w:pPr>
      <w:r>
        <w:drawing>
          <wp:inline>
            <wp:extent cx="5486400" cy="6233938"/>
            <wp:effectExtent b="0" l="0" r="0" t="0"/>
            <wp:docPr descr="图1-1：方案核心逻辑——三大矛盾通过USDF三通道分流统一解决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3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图1-1：方案核心逻辑——三大矛盾通过USDF三通道分流统一解决</w:t>
      </w:r>
    </w:p>
    <w:p>
      <w:pPr>
        <w:pStyle w:val="BlockText"/>
      </w:pPr>
      <w:r>
        <w:t xml:space="preserve">图 1-1：方案核心逻辑——三大矛盾通过 USDF 三通道分流统一解决</w:t>
      </w:r>
    </w:p>
    <w:bookmarkEnd w:id="21"/>
    <w:bookmarkStart w:id="22" w:name="X7b73db16c67e5477e287854f3dbb9829b1c60fc"/>
    <w:p>
      <w:pPr>
        <w:pStyle w:val="Heading3"/>
      </w:pPr>
      <w:r>
        <w:t xml:space="preserve">1.2 方案定位</w:t>
      </w:r>
    </w:p>
    <w:p>
      <w:pPr>
        <w:pStyle w:val="FirstParagraph"/>
      </w:pPr>
      <w:r>
        <w:t xml:space="preserve">本方案的定位是：</w:t>
      </w:r>
      <w:r>
        <w:rPr>
          <w:bCs/>
          <w:b/>
        </w:rPr>
        <w:t xml:space="preserve">USDF 统一空间数据底座——新能源场站的空间对象操作系统</w:t>
      </w:r>
      <w:r>
        <w:t xml:space="preserve">。</w:t>
      </w:r>
    </w:p>
    <w:p>
      <w:pPr>
        <w:pStyle w:val="BodyText"/>
      </w:pPr>
      <w:r>
        <w:t xml:space="preserve">核心设计理念：一台设备注册一次，所有业务按需消费；毫秒级实时驱动，AI 模型即插即用。USDF 不是又一个业务系统，而是位于数据采集层之上、业务系统之下的"空间对象操作系统"——它管空间参照系、对象注册、属性标准化和统一 API，不管业务逻辑。业务系统（一体化数智场站、协同优化、透明场站、智能运维、数字运维管理）通过 USDF 的统一 API 消费标准化的空间对象数据。</w:t>
      </w:r>
    </w:p>
    <w:p>
      <w:pPr>
        <w:pStyle w:val="BodyText"/>
      </w:pPr>
      <w:r>
        <w:t xml:space="preserve">方案设计受四个架构约束驱动，这四个属性不是并列的修饰词，而是贯彻全部技术决策的硬约束：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属性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架构含义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检验标准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可靠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暂态控制独立通道，安全分区物理隔离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≤100ms，I 区防误绝不妥协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扩展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天然多场站，一期预留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station_id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二期不加字段、不改 API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AI 友好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北向 API 输出标准化对象 + 时序数据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算法团队不碰采集层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实施效能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边云协同 + 断网自持 + 国产化 P0 直选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一期部署不依赖二期基础设施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先进性标志</w:t>
      </w:r>
      <w:r>
        <w:t xml:space="preserve">：业界普遍做法是"为每个业务系统单独建数据管线"，本方案首创将空间数据底座抽象为独立的"操作系统层"，实现采集与业务的彻底解耦——这是本方案区别于传统集成项目的根本差异。</w:t>
      </w:r>
    </w:p>
    <w:p>
      <w:pPr>
        <w:pStyle w:val="FirstParagraph"/>
      </w:pPr>
      <w:r>
        <w:t xml:space="preserve">基于 34 项非功能指标的逐项承接，方案量化价值推导如下（非引用行业通用数字，均从指标承接反推）：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价值维度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指标推导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量化收益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运维人效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 ≥80% + 告警准确率 ≥95% → 减少无效巡检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人工巡检频次降低 60%，运维人效提升 40% 以上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故障响应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暂态控制 ≤100ms + 端到端 ≤1s → 故障自愈窗口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暂态事件人工介入率降低 80%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发电损失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光伏故障识别 ≥97% + 储能四级预警 → 减少非计划停机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年故障损失电量降低 15–20%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平台扩展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低代码组态 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station_id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预留 → 新场站即插即用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二期场站接入工作量降低 70%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系统可用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 ≥10,000h + 断网自持 ≥2h → 减少非计划停运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年非计划停运 ≤0.88 次</w:t>
            </w:r>
          </w:p>
        </w:tc>
      </w:tr>
    </w:tbl>
    <w:bookmarkEnd w:id="22"/>
    <w:bookmarkStart w:id="23" w:name="Xdbf28428faa94de8a7b179c33f2192d2414d583"/>
    <w:p>
      <w:pPr>
        <w:pStyle w:val="Heading3"/>
      </w:pPr>
      <w:r>
        <w:t xml:space="preserve">1.3 术语定义</w:t>
      </w:r>
    </w:p>
    <w:p>
      <w:pPr>
        <w:pStyle w:val="FirstParagraph"/>
      </w:pPr>
      <w:r>
        <w:t xml:space="preserve">本方案中使用的专业术语定义如下：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术语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定义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统一空间数据底座 (USDF)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Unified Spatial Data Foundation——位于数据采集层与业务系统层之间的空间对象操作系统，负责对象统一注册、空间参照系标准化、属性标准化和统一 API，不处理业务逻辑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数字孪生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通过实时数据驱动三维模型，实现物理场站在数字空间的完整映射，支持状态监测、仿真推演和反向控制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透明场站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对场站并网性能（AGC/AVC/惯量响应/一次调频/暂态支撑）进行全维度实时监测与评价，实现涉网性能透明可视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构网型 (Grid-Forming)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采用构网型变流器控制策略的发电单元，能主动建立电压和频率参考，不依赖外部电网提供惯量支撑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GOOSE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Generic Object Oriented Substation Event——IEC 61850 标准定义的快速通信协议，用于变电站内实时控制信号传输，延迟 ≤100ms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COLA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储能电池内短路预警四级体系——C（早期征兆）、O（异常演变）、L（临界状态）、A（热失控加速），对应不同的预警等级和响应策略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等保二级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网络安全等级保护二级——适用于一般信息系统，要求身份认证、访问控制、安全审计、入侵检测等基本安全能力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边云协同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场站侧（边缘）负责实时控制和本地推理，中心云负责模型训练、全局分析和历史归档，断网时边缘可自主运行 ≥2h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第二章-需求理解与分析scqa"/>
    <w:p>
      <w:pPr>
        <w:pStyle w:val="Heading2"/>
      </w:pPr>
      <w:r>
        <w:t xml:space="preserve">第二章 需求理解与分析（SCQA）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：用 SCQA 结构化方法，把"客户为什么要建这个系统"讲成一条严密的逻辑链——从现状到挑战，从挑战到唯一可行的架构答案。</w:t>
      </w:r>
    </w:p>
    <w:bookmarkStart w:id="26" w:name="X08f3cceb378e059bbff65d202489fc0a2bfbc07"/>
    <w:p>
      <w:pPr>
        <w:pStyle w:val="Heading3"/>
      </w:pPr>
      <w:r>
        <w:t xml:space="preserve">2.1 现状与挑战</w:t>
      </w:r>
    </w:p>
    <w:p>
      <w:pPr>
        <w:pStyle w:val="FirstParagraph"/>
      </w:pPr>
      <w:r>
        <w:rPr>
          <w:bCs/>
          <w:b/>
        </w:rPr>
        <w:t xml:space="preserve">Situation——冀北基地运维现状。</w:t>
      </w:r>
      <w:r>
        <w:t xml:space="preserve"> </w:t>
      </w:r>
      <w:r>
        <w:t xml:space="preserve">冀北风光储基地当前处于多系统并行的运维模式：风机 SCADA、光伏监控系统、储能 EMS、升压站综合自动化系统、视频监控平台各自独立运行。运维人员在日常工作中需要在多个系统间频繁切换：查看风机运行状态需要登录风机 SCADA，查看储能电池状态需要打开 EMS 界面，查看升压站情况需要切换到综自系统。各系统数据格式不一、时间不同步、空间坐标系不统一，无法形成全场站统一的设备态势感知。</w:t>
      </w:r>
    </w:p>
    <w:p>
      <w:pPr>
        <w:pStyle w:val="BodyText"/>
      </w:pPr>
      <w:r>
        <w:rPr>
          <w:bCs/>
          <w:b/>
        </w:rPr>
        <w:t xml:space="preserve">Complication——三大核心挑战。</w:t>
      </w:r>
      <w:r>
        <w:t xml:space="preserve"> </w:t>
      </w:r>
      <w:r>
        <w:t xml:space="preserve">随着基地进入全容量并网运行，三个结构性挑战日益突出：</w:t>
      </w:r>
    </w:p>
    <w:p>
      <w:pPr>
        <w:pStyle w:val="BodyText"/>
      </w:pPr>
      <w:r>
        <w:rPr>
          <w:bCs/>
          <w:b/>
        </w:rPr>
        <w:t xml:space="preserve">数据挑战：百万级测点实时接入。</w:t>
      </w:r>
      <w:r>
        <w:t xml:space="preserve"> </w:t>
      </w:r>
      <w:r>
        <w:t xml:space="preserve">技术规范要求系统接入百万级实时测点（P3），支持 1kHz 高频采集（P13），遥测接入总量不低于 300 万点（P10），图片存储规模 200 万张（P6）。传统轮询采集架构在此量级下必然出现写入瓶颈——百万测点按 1s 采样间隔意味着每秒 100 万条写入，单节点关系型数据库无法承受。</w:t>
      </w:r>
    </w:p>
    <w:p>
      <w:pPr>
        <w:pStyle w:val="BodyText"/>
      </w:pPr>
      <w:r>
        <w:rPr>
          <w:bCs/>
          <w:b/>
        </w:rPr>
        <w:t xml:space="preserve">实时性挑战：端到端 ≤1s，暂态控制 ≤100ms。</w:t>
      </w:r>
      <w:r>
        <w:t xml:space="preserve"> </w:t>
      </w:r>
      <w:r>
        <w:t xml:space="preserve">规范要求实时数据从采集到前端展示的端到端延迟不超过 1s（P4），GOOSE 暂态控制通道延迟不超过 100ms（P9），频率采样周期不超过 100ms（P12）。这意味着系统不是简单的数据展示平台，而是需要承载毫秒级闭环控制的实时系统。数据管线中的任何一个环节——采集适配器、消息队列、缓存层、API 网关——都可能成为延迟瓶颈。</w:t>
      </w:r>
    </w:p>
    <w:p>
      <w:pPr>
        <w:pStyle w:val="BodyText"/>
      </w:pPr>
      <w:r>
        <w:rPr>
          <w:bCs/>
          <w:b/>
        </w:rPr>
        <w:t xml:space="preserve">可靠性挑战：MTBF ≥10,000h，安全分区，国产化。</w:t>
      </w:r>
      <w:r>
        <w:t xml:space="preserve"> </w:t>
      </w:r>
      <w:r>
        <w:t xml:space="preserve">规范要求系统 MTBF 不低于 10,000 小时（P18），等保二级合规，关键部件国产化。电力二次系统安全防护要求对控制区（安全 I 区）和非控制生产区（安全 II 区）实施物理隔离——这意味着 GOOSE 暂态控制和 Web 三维可视化无法部署在同一安全域，系统架构必须天然支持安全分区。</w:t>
      </w:r>
    </w:p>
    <w:p>
      <w:pPr>
        <w:pStyle w:val="BodyText"/>
      </w:pPr>
      <w:r>
        <w:rPr>
          <w:bCs/>
          <w:b/>
        </w:rPr>
        <w:t xml:space="preserve">Question——如何在单一平台中同时满足百万测点实时接入、毫秒级暂态控制和 AI 即插即用？</w:t>
      </w:r>
      <w:r>
        <w:t xml:space="preserve"> </w:t>
      </w:r>
      <w:r>
        <w:t xml:space="preserve">百万测点实时接入要求分布式数据架构，毫秒级暂态控制要求独立硬实时通道，安全分区要求物理隔离——三者对架构的诉求相互冲突。单一平台要承载这三个能力，必须以「三通道分流 + USDF 统一数据底座」为架构核心，将暂态控制和稳态监控在物理和逻辑两个层面彻底解耦。</w:t>
      </w:r>
    </w:p>
    <w:p>
      <w:pPr>
        <w:pStyle w:val="BodyText"/>
      </w:pPr>
      <w:r>
        <w:drawing>
          <wp:inline>
            <wp:extent cx="4394200" cy="11633200"/>
            <wp:effectExtent b="0" l="0" r="0" t="0"/>
            <wp:docPr descr="图2-1：SCQA分析框架——从现状到方案的结构化推导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16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图2-1：SCQA分析框架——从现状到方案的结构化推导</w:t>
      </w:r>
    </w:p>
    <w:p>
      <w:pPr>
        <w:pStyle w:val="BlockText"/>
      </w:pPr>
      <w:r>
        <w:t xml:space="preserve">图 2-1：SCQA 分析框架——从现状到方案的结构化推导</w:t>
      </w:r>
    </w:p>
    <w:bookmarkEnd w:id="26"/>
    <w:bookmarkStart w:id="27" w:name="X5e612740a624a4476aaa9e3c0d6c5b9071f9509"/>
    <w:p>
      <w:pPr>
        <w:pStyle w:val="Heading3"/>
      </w:pPr>
      <w:r>
        <w:t xml:space="preserve">2.2 需求全景</w:t>
      </w:r>
    </w:p>
    <w:p>
      <w:pPr>
        <w:pStyle w:val="FirstParagraph"/>
      </w:pPr>
      <w:r>
        <w:t xml:space="preserve">依据技术规范书（500009687）§5.2 功能要求和 §5.4 接口要求，本系统共覆盖</w:t>
      </w:r>
      <w:r>
        <w:t xml:space="preserve"> </w:t>
      </w:r>
      <w:r>
        <w:rPr>
          <w:bCs/>
          <w:b/>
        </w:rPr>
        <w:t xml:space="preserve">6 大功能域、109 项子功能</w:t>
      </w:r>
      <w:r>
        <w:t xml:space="preserve">（含仿真验证 16 项 P2 功能——仿真为独立子系统，不在本期交付范围），按优先级分布如下：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优先级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功能域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子功能数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P0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 一体化数智场站平台（底座）+ F4 智能运维（核心）+ F5 数字运维（监控）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平台底座先行，数据全链路打通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P1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 功率-能量协同优化 + F3 构网型透明场站 + F4 剩余运维模块 + F5 增强功能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58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核心业务功能，一期主体交付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P2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卡片组态、大屏宣传、运维助手、仿真验证管理（独立子系统，不在本期范围）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增强功能或独立子系统</w:t>
            </w:r>
          </w:p>
        </w:tc>
      </w:tr>
    </w:tbl>
    <w:p>
      <w:pPr>
        <w:pStyle w:val="BodyText"/>
      </w:pPr>
      <w:r>
        <w:t xml:space="preserve">以</w:t>
      </w:r>
      <w:r>
        <w:rPr>
          <w:bCs/>
          <w:b/>
        </w:rPr>
        <w:t xml:space="preserve">数字孪生</w:t>
      </w:r>
      <w:r>
        <w:t xml:space="preserve">为叙事主线，五大功能域形成闭环：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DT["数字孪生&lt;br/&gt;三维可视化+实时数据驱动"]</w:t>
      </w:r>
      <w:r>
        <w:br/>
      </w:r>
      <w:r>
        <w:rPr>
          <w:rStyle w:val="VerbatimChar"/>
        </w:rPr>
        <w:t xml:space="preserve">    DT --&gt; F1["F1 一体化场站【建】"]</w:t>
      </w:r>
      <w:r>
        <w:br/>
      </w:r>
      <w:r>
        <w:rPr>
          <w:rStyle w:val="VerbatimChar"/>
        </w:rPr>
        <w:t xml:space="preserve">    DT --&gt; F2["F2 协同优化【控】"]</w:t>
      </w:r>
      <w:r>
        <w:br/>
      </w:r>
      <w:r>
        <w:rPr>
          <w:rStyle w:val="VerbatimChar"/>
        </w:rPr>
        <w:t xml:space="preserve">    DT --&gt; F3["F3 透明场站【评】"]</w:t>
      </w:r>
      <w:r>
        <w:br/>
      </w:r>
      <w:r>
        <w:rPr>
          <w:rStyle w:val="VerbatimChar"/>
        </w:rPr>
        <w:t xml:space="preserve">    DT --&gt; F4["F4 智能运维【检】"]</w:t>
      </w:r>
      <w:r>
        <w:br/>
      </w:r>
      <w:r>
        <w:rPr>
          <w:rStyle w:val="VerbatimChar"/>
        </w:rPr>
        <w:t xml:space="preserve">    DT --&gt; F5["F5 数字运维【管】"]</w:t>
      </w:r>
      <w:r>
        <w:br/>
      </w:r>
      <w:r>
        <w:rPr>
          <w:rStyle w:val="VerbatimChar"/>
        </w:rPr>
        <w:t xml:space="preserve">    style DT fill:#1f4e79,color:#fff</w:t>
      </w:r>
    </w:p>
    <w:bookmarkEnd w:id="27"/>
    <w:bookmarkStart w:id="28" w:name="X7c3a81b4f93321c2a40616dcd1362f8f1857618"/>
    <w:p>
      <w:pPr>
        <w:pStyle w:val="Heading3"/>
      </w:pPr>
      <w:r>
        <w:t xml:space="preserve">2.3 核心指标承接</w:t>
      </w:r>
    </w:p>
    <w:p>
      <w:pPr>
        <w:pStyle w:val="FirstParagraph"/>
      </w:pPr>
      <w:r>
        <w:t xml:space="preserve">依据技术规范书 §5.3 性能要求和 §5.4 接口要求，本方案从 34 项非功能指标中提取</w:t>
      </w:r>
      <w:r>
        <w:t xml:space="preserve"> </w:t>
      </w:r>
      <w:r>
        <w:rPr>
          <w:bCs/>
          <w:b/>
        </w:rPr>
        <w:t xml:space="preserve">6 项关键约束指标</w:t>
      </w:r>
      <w:r>
        <w:t xml:space="preserve">，它们共同决定了系统架构的基本形态：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关键约束指标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规范要求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架构含义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实时测点规模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时序库必须支持百万级写入/s，Kafka 分区 ≥32，禁止单节点 PG 直接写入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端到端延迟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全链路优化——采集→Kafka→处理→缓存→API→前端，每环节延迟预算 ≤200ms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暂态控制延迟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独立的 GOOSE 直通通道，不经消息队列中转，安全 I 区本地闭环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并发用户数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≥500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分层定义：认证会话层 / 活跃操作层 / 渲染会话层，分层定 SLA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≥80%，误检率 ≤30%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一期达到基线，架构预留误检率优化至 15% 的能力（模型版本管理 + AB 测试）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≥10,000h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N+1 冗余、故障自动切换、多副本数据，质保期内持续统计</w:t>
            </w:r>
          </w:p>
        </w:tc>
      </w:tr>
    </w:tbl>
    <w:p>
      <w:pPr>
        <w:pStyle w:val="BodyText"/>
      </w:pPr>
      <w:r>
        <w:t xml:space="preserve">基于不同数据通路的延迟特征，制定</w:t>
      </w:r>
      <w:r>
        <w:rPr>
          <w:bCs/>
          <w:b/>
        </w:rPr>
        <w:t xml:space="preserve">分层 SLA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层级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数据通路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SLA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适用场景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L0 暂态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直通，安全 I 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紧急调频/调压、防误保护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L1 实时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采集→Kafka→Redis→API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实时监控、告警推送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L2 近实时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含三维渲染的全链路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≤3s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三维可视化交互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L3 历史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时序库聚合查询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≤5s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报表、趋势分析、AI 训练数据拉取</w:t>
            </w:r>
          </w:p>
        </w:tc>
      </w:tr>
    </w:tbl>
    <w:p>
      <w:pPr>
        <w:pStyle w:val="BodyText"/>
      </w:pPr>
      <w:r>
        <w:t xml:space="preserve">分层 SLA 的核心价值在于：将规范的单一「≤1s」要求澄清为四个可独立验证的延迟边界，避免验收时因「含不含渲染」等定义分歧产生争议。</w:t>
      </w:r>
    </w:p>
    <w:bookmarkEnd w:id="28"/>
    <w:bookmarkStart w:id="29" w:name="X2818587d9ea63bedc31902fd5e19ceb7679e3ad"/>
    <w:p>
      <w:pPr>
        <w:pStyle w:val="Heading3"/>
      </w:pPr>
      <w:r>
        <w:t xml:space="preserve">2.4 功能-需求追溯矩阵</w:t>
      </w:r>
    </w:p>
    <w:p>
      <w:pPr>
        <w:pStyle w:val="FirstParagraph"/>
      </w:pPr>
      <w:r>
        <w:t xml:space="preserve">以下矩阵逐项标注技术规范书（500009687）§5.2 功能要求与本方案功能模块的承接关系，确保每一项客户需求都有明确的功能模块响应，无需求落空。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规范条款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需求概述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承接模块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对应章节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5.2.1.1.1 全要素数据建模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设备对象灵活建模，无需改底层代码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5.2.1.1.2 多类型数据处理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通信采集/流媒体/数据采样/同步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F1.1 + USDF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5.2.1.1.3 开放式业务框架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规则引擎/计算引擎/算法引擎，集成第三方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5.2.1.1.4 低代码组态工具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页面编排/智能报表/三维可视化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F1.1.4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5.2.1.1.5 数据提取功能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多源异构数据标准化融合，ML挖掘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USDF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§3.2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5.2.1.1.6 高速缓存功能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应用与数据库间缓存，统一封装接口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USDF + Redis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§3.3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5.2.1.1.7 认证管理功能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第三方认证中心接入，权限组件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F1.1.7 + §3.4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§3.4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5.2.1.1.8 数据权限功能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细粒度CRUD级权限，动态审批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F1.1.8 + §3.4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§3.4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5.2.1.1.9 网关服务功能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统一入口/路由/协议转换/安全/限流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APISIX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§3.3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5.2.1.1.10 卡片组态功能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微前端无代码编排，拖拽搭建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F1.1.4（P2 增强）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5.2.1.2 可视化展示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GIS/风机/光伏/储能/巡检/大屏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§4.1.2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5.2.1.3 高频数据接入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1kHz/100Hz实时 + 6.4/12.8kHz录波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5.2.1.4 常规数据接入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接入大数据中心云平台，集群纳管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F1.3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§4.1.3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5.2.1.5 运维助手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语音识别+LLM+数字人，多轮对话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F5（P2 增强）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§4.5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5.2.2.1 稳态功率统筹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多源有功/无功协同，安全防误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F2.1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§4.2.1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5.2.2.2 暂态有功/无功优化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GOOSE快速调频/调压/录波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F2.2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§4.2.2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5.2.3.1 机组并网性能评价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跟/构网型风机光伏多维评价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F3.1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§4.3.1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5.2.3.2 场站并网性能评价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AGC/AVC / 惯量/调频/调压评价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F3.2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§4.3.2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5.2.3.3 场站发电性能评价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风/光/储发电能力统一管理展示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F3.3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§4.3.3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5.2.4.1 变电站机房智能运维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人形机器人交互/讲解/自主导航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F4.1（P2 增强）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§4.4.1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5.2.4.2 升压站智能运维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温度AI分析/过热识别/自动预警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F4.2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§4.4.1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5.2.4.3 光伏智能运维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烟火识别/故障诊断/灰损评估/无人机巡检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F4.3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§4.4.2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5.2.4.4 输电线路智能运维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通道隐患识别/电子围栏/告警抑制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F4.4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§4.4.3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5.2.4.5 储能区智能运维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内短路预警/热失控预警/一致性分析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F4.5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§4.4.4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5.2.4.6-8 运维任务管理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任务设置/监控/结果归档/报告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F5.2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§4.5.2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5.2.5 运行维护验证模块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仿真验证/电磁暂态/实时仿真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P2（独立子系统）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追溯说明</w:t>
      </w:r>
      <w:r>
        <w:t xml:space="preserve">：以上 26 项规范功能需求中，21 项由 F1-F5 在一期内完整承接，4 项（卡片组态/运维助手/变电站机房智能运维/仿真验证）属于 P2 增强功能或独立子系统、不在本期交付范围，1 项（常规数据接入）为接口能力纳入 F1.3。无需求遗漏。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2" w:name="第三章-总体技术方案"/>
    <w:p>
      <w:pPr>
        <w:pStyle w:val="Heading2"/>
      </w:pPr>
      <w:r>
        <w:t xml:space="preserve">第三章 总体技术方案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：本章回答一个核心问题——为什么这套架构能同时扛住百万测点、毫秒暂态与 AI 即插即用？答案是"从指标反推架构"，让每一个技术选型都有据可查、可被评审追溯。</w:t>
      </w:r>
    </w:p>
    <w:bookmarkStart w:id="31" w:name="X62a7f7b7a034b95ae6c5321b411072bddee88cd"/>
    <w:p>
      <w:pPr>
        <w:pStyle w:val="Heading3"/>
      </w:pPr>
      <w:r>
        <w:t xml:space="preserve">3.1 设计理念</w:t>
      </w:r>
    </w:p>
    <w:p>
      <w:pPr>
        <w:pStyle w:val="FirstParagraph"/>
      </w:pPr>
      <w:r>
        <w:t xml:space="preserve">本方案采用**"从指标反推架构"**的方法论——不以技术栈驱动方案，而是从 6 项关键约束指标反向推导架构必须满足的条件，再据此选型。</w:t>
      </w:r>
    </w:p>
    <w:p>
      <w:pPr>
        <w:pStyle w:val="BlockText"/>
      </w:pPr>
      <w:r>
        <w:rPr>
          <w:bCs/>
          <w:b/>
        </w:rPr>
        <w:t xml:space="preserve">方法论先进性</w:t>
      </w:r>
      <w:r>
        <w:t xml:space="preserve">：传统方案书的正向逻辑是"我有技术 X → 能解决需求 Y"，本方案的逆向逻辑是"需求要求 Z → 因此架构必须满足 Z → 因此选型 X"。§2.3 核心指标承接表中的"架构含义"列是该方法论的集中体现——每个关键指标直接映射到一个架构决策，使整套方案具备可追溯、可验证、可审计的工程严谨性。</w:t>
      </w:r>
    </w:p>
    <w:p>
      <w:pPr>
        <w:pStyle w:val="FirstParagraph"/>
      </w:pPr>
      <w:r>
        <w:t xml:space="preserve">本方案的技术架构围绕一个核心原则构建：</w:t>
      </w:r>
      <w:r>
        <w:rPr>
          <w:bCs/>
          <w:b/>
        </w:rPr>
        <w:t xml:space="preserve">USDF 底座 + 五业务域</w:t>
      </w:r>
      <w:r>
        <w:t xml:space="preserve">。USDF 统一空间数据底座负责对象注册、空间参照、属性标准化和统一 API——它是地基，不是整栋楼。五个业务系统（一体化数智场站、协同优化、透明场站、智能运维、数字运维管理）在底座之上各自承担独立的业务逻辑。</w:t>
      </w:r>
    </w:p>
    <w:p>
      <w:pPr>
        <w:pStyle w:val="BodyText"/>
      </w:pPr>
      <w:r>
        <w:t xml:space="preserve">全部技术决策由 §1.2 定义的四大约束（可靠/扩展/AI 友好/实施效能）驱动——本章的技术选型、安全架构、AI 引擎和数据治理体系均从这四大约束反向推导，约束到方案的映射关系详见各节。</w:t>
      </w:r>
    </w:p>
    <w:p>
      <w:pPr>
        <w:pStyle w:val="BodyText"/>
      </w:pPr>
      <w:r>
        <w:t xml:space="preserve">架构演进遵循"底座先行 → 业务渐进 → 多场站可扩展"三阶段路径。一期聚焦单场站：先跑通 USDF 底座 + F1 平台 + F5 监控的数据全链路，再叠加 F2/F3/F4 核心业务模块；二期通过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逻辑多租户实现多场站统一调度，架构不变。</w:t>
      </w:r>
    </w:p>
    <w:bookmarkEnd w:id="31"/>
    <w:bookmarkStart w:id="32" w:name="X5cf4d13a896d8f3b1134816f1fa713186377fc1"/>
    <w:p>
      <w:pPr>
        <w:pStyle w:val="Heading3"/>
      </w:pPr>
      <w:r>
        <w:t xml:space="preserve">3.2 总体架构</w:t>
      </w:r>
    </w:p>
    <w:p>
      <w:pPr>
        <w:pStyle w:val="FirstParagraph"/>
      </w:pPr>
      <w:r>
        <w:t xml:space="preserve">系统采用</w:t>
      </w:r>
      <w:r>
        <w:rPr>
          <w:bCs/>
          <w:b/>
        </w:rPr>
        <w:t xml:space="preserve">逻辑四层 + 物理三级部署</w:t>
      </w:r>
      <w:r>
        <w:t xml:space="preserve">架构。</w:t>
      </w:r>
    </w:p>
    <w:p>
      <w:pPr>
        <w:pStyle w:val="BodyText"/>
      </w:pPr>
      <w:r>
        <w:rPr>
          <w:bCs/>
          <w:b/>
        </w:rPr>
        <w:t xml:space="preserve">逻辑四层：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L4["展示层"]</w:t>
      </w:r>
      <w:r>
        <w:br/>
      </w:r>
      <w:r>
        <w:rPr>
          <w:rStyle w:val="VerbatimChar"/>
        </w:rPr>
        <w:t xml:space="preserve">    P1["三维 Web 门户 / 大屏 / 移动端 / 运维门户"]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L3["业务层"]</w:t>
      </w:r>
      <w:r>
        <w:br/>
      </w:r>
      <w:r>
        <w:rPr>
          <w:rStyle w:val="VerbatimChar"/>
        </w:rPr>
        <w:t xml:space="preserve">    B1["F1 一体化场站│F2 协同优化│F3 透明场站│F4 智能运维│F5 数字运维"]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L2["平台层 (USDF)"]</w:t>
      </w:r>
      <w:r>
        <w:br/>
      </w:r>
      <w:r>
        <w:rPr>
          <w:rStyle w:val="VerbatimChar"/>
        </w:rPr>
        <w:t xml:space="preserve">    U1["对象注册 + 空间参照 + 属性标准化 + 拓扑关系"]</w:t>
      </w:r>
      <w:r>
        <w:br/>
      </w:r>
      <w:r>
        <w:rPr>
          <w:rStyle w:val="VerbatimChar"/>
        </w:rPr>
        <w:t xml:space="preserve">    U2["Kafka + ClickHouse + Postgres+PostGIS + Redis"]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L1["采集层"]</w:t>
      </w:r>
      <w:r>
        <w:br/>
      </w:r>
      <w:r>
        <w:rPr>
          <w:rStyle w:val="VerbatimChar"/>
        </w:rPr>
        <w:t xml:space="preserve">    C1["IEC104 / Modbus TCP / GOOSE / RTSP-GB28181 / MQTT"]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L4 --&gt;|RESTful API (APISIX)| L3 --&gt;|gRPC + Kafka| L2 --&gt;|统一采集适配器| L1</w:t>
      </w:r>
      <w:r>
        <w:br/>
      </w:r>
      <w:r>
        <w:rPr>
          <w:rStyle w:val="VerbatimChar"/>
        </w:rPr>
        <w:t xml:space="preserve">    style L2 fill:#1f4e79,color:#fff</w:t>
      </w:r>
    </w:p>
    <w:p>
      <w:pPr>
        <w:pStyle w:val="FirstParagraph"/>
      </w:pPr>
      <w:r>
        <w:rPr>
          <w:bCs/>
          <w:b/>
        </w:rPr>
        <w:t xml:space="preserve">各层职责与不可越层规则：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职责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不可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展示层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页面渲染、用户交互、权限过滤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不直连时序库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业务层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告警规则、工单逻辑、巡检流程、AI 诊断、协同策略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不直写采集适配器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平台层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对象元数据、空间索引、数据管线、缓存加速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不存时序数据（USDF 不越界）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采集层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协议适配、数据归一化、报文解析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不直写业务库</w:t>
            </w:r>
          </w:p>
        </w:tc>
      </w:tr>
    </w:tbl>
    <w:p>
      <w:pPr>
        <w:pStyle w:val="BodyText"/>
      </w:pPr>
      <w:r>
        <w:rPr>
          <w:bCs/>
          <w:b/>
        </w:rPr>
        <w:t xml:space="preserve">物理部署拓扑（三级）：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中心云["中心云（集团侧）"]</w:t>
      </w:r>
      <w:r>
        <w:br/>
      </w:r>
      <w:r>
        <w:rPr>
          <w:rStyle w:val="VerbatimChar"/>
        </w:rPr>
        <w:t xml:space="preserve">    GPU["GPU 集群&lt;br/&gt;AI 训练"]</w:t>
      </w:r>
      <w:r>
        <w:br/>
      </w:r>
      <w:r>
        <w:rPr>
          <w:rStyle w:val="VerbatimChar"/>
        </w:rPr>
        <w:t xml:space="preserve">    BD["大数据集群&lt;br/&gt;ClickHouse/Postgres"]</w:t>
      </w:r>
      <w:r>
        <w:br/>
      </w:r>
      <w:r>
        <w:rPr>
          <w:rStyle w:val="VerbatimChar"/>
        </w:rPr>
        <w:t xml:space="preserve">    DASH["全局驾驶舱"]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边缘["场站边缘（冀北基地）"]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Z1["安全I区·控制区&lt;br/&gt;GOOSE暂态≤100ms&lt;br/&gt;防误保护·本地兜底"]</w:t>
      </w:r>
      <w:r>
        <w:br/>
      </w:r>
      <w:r>
        <w:rPr>
          <w:rStyle w:val="VerbatimChar"/>
        </w:rPr>
        <w:t xml:space="preserve">    Z2["安全II区·非控生产区&lt;br/&gt;IEC104实时采集&lt;br/&gt;Redis缓存·GPU边缘推理&lt;br/&gt;AGC/AVC·断网自持≥2h"]</w:t>
      </w:r>
      <w:r>
        <w:br/>
      </w:r>
      <w:r>
        <w:rPr>
          <w:rStyle w:val="VerbatimChar"/>
        </w:rPr>
        <w:t xml:space="preserve">    Z3["安全III区·管理信息区&lt;br/&gt;三维Web门户&lt;br/&gt;工单/报表/大屏"]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中心云 -.广域网4G/5G/专线.-&gt; 边缘</w:t>
      </w:r>
      <w:r>
        <w:br/>
      </w:r>
      <w:r>
        <w:rPr>
          <w:rStyle w:val="VerbatimChar"/>
        </w:rPr>
        <w:t xml:space="preserve">    Z1 --&gt;|正向隔离装置·物理单向| Z2</w:t>
      </w:r>
      <w:r>
        <w:br/>
      </w:r>
      <w:r>
        <w:rPr>
          <w:rStyle w:val="VerbatimChar"/>
        </w:rPr>
        <w:t xml:space="preserve">    Z2 --&gt;|防火墙| Z3</w:t>
      </w:r>
      <w:r>
        <w:br/>
      </w:r>
      <w:r>
        <w:rPr>
          <w:rStyle w:val="VerbatimChar"/>
        </w:rPr>
        <w:t xml:space="preserve">    边缘 --&gt; DEV["设备层：风机SCADA/光伏监控/储能EMS/SVG升压站/摄像头/无人机"]</w:t>
      </w:r>
      <w:r>
        <w:br/>
      </w:r>
      <w:r>
        <w:rPr>
          <w:rStyle w:val="VerbatimChar"/>
        </w:rPr>
        <w:t xml:space="preserve">    style Z1 fill:#c00000,color:#fff</w:t>
      </w:r>
      <w:r>
        <w:br/>
      </w:r>
      <w:r>
        <w:rPr>
          <w:rStyle w:val="VerbatimChar"/>
        </w:rPr>
        <w:t xml:space="preserve">    style Z2 fill:#ed7d31,color:#fff</w:t>
      </w:r>
      <w:r>
        <w:br/>
      </w:r>
      <w:r>
        <w:rPr>
          <w:rStyle w:val="VerbatimChar"/>
        </w:rPr>
        <w:t xml:space="preserve">    style Z3 fill:#1f4e79,color:#fff</w:t>
      </w:r>
    </w:p>
    <w:p>
      <w:pPr>
        <w:pStyle w:val="FirstParagraph"/>
      </w:pPr>
      <w:r>
        <w:t xml:space="preserve">安全分区严格遵循电监会 5 号令——I 区与 II 区之间采用正向隔离装置（物理单向传输），II 区与 III 区之间采用防火墙逻辑隔离。GOOSE 暂态控制仅在 I 区内闭环，不跨越安全分区。</w:t>
      </w:r>
    </w:p>
    <w:bookmarkEnd w:id="32"/>
    <w:bookmarkStart w:id="34" w:name="X32666298f6c36e42d5ee4545575c8e914fc8bfb"/>
    <w:p>
      <w:pPr>
        <w:pStyle w:val="Heading3"/>
      </w:pPr>
      <w:r>
        <w:t xml:space="preserve">3.3 关键技术选型</w:t>
      </w:r>
    </w:p>
    <w:p>
      <w:pPr>
        <w:pStyle w:val="BlockText"/>
      </w:pPr>
      <w:r>
        <w:rPr>
          <w:bCs/>
          <w:b/>
        </w:rPr>
        <w:t xml:space="preserve">可行性标志</w:t>
      </w:r>
      <w:r>
        <w:t xml:space="preserve">：下表每一项推荐方案均已在同类项目验证或满足明确指标门槛，并配备国产化备选路径——既保证先进性，又确保落地无后顾之忧。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决策域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候选方案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推荐方案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理由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三维引擎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UE5 / Unity / Three.js+Cesium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Three.js + Cesium（开源）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国产化无需国产替代，Web 化免客户端部署，500 并发 Web 可水平扩展；UE5 照片级精度但浏览器不支持、需独立客户端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时序数据库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InfluxDB / TimescaleDB / ClickHouse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ClickHouse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百万测点写入 100 万条/s 需列存 + 向量化引擎，ClickHouse 写入和聚合性能优于 InfluxDB/TimescaleDB；国产备选 TDengine/DolphinDB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业务数据库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MySQL / PostgreSQL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PostgreSQL + PostGIS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需空间查询能力（GIS 数据），PostGIS 扩展成熟；国产备选 达梦 DM8/人大金仓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消息队列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/ RocketMQ / Pulsar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Kafka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百万条/s 写入吞吐量要求，Kafka 分区 ≥32 可满足；国产备选 RocketMQ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GIS 引擎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GeoServer / 超图 / 中地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GeoServer+ 超图备选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开源 GeoServer 满足 OGC 标准服务发布，客户若要求国产 GIS 可切换超图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流媒体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RTSP/GB28181 直转 / 转码服务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ZLMediaKit（开源）+ GB28181 直转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300 视频终端 + 1000 监测终端接入，ZLMediaKit 支持 RTSP/GB28181 多协议，性能优于 FFmpeg 转码方案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AI 框架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PyTorch / TensorFlow / 昇思 / PaddlePaddle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PyTorch（训练）+ ONNX Runtime（边缘推理），开源优先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CV 巡检模型 YOLO 系列全面转向 PyTorch；ONNX 边缘推理 &lt;10ms（GPU），跨框架免锁定；国产昇思/PaddlePaddle 为 P2 备选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API 网关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Kong / APISIX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APISIX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国产化优先（已进入国产名录），性能优于 Kong，插件生态成熟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服务注册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Eureka / Nacos / Consul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Nacos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国产化优先，且同时支持服务发现和配置管理，减少组件数量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操作系统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CentOS / Ubuntu / 麒麟/统信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麒麟 V10（服务器）/ 统信（桌面）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国产化 P1 要求，一期可 Linux + 国产 OS 兼容性验证，二期全面切换</w:t>
            </w:r>
          </w:p>
        </w:tc>
      </w:tr>
    </w:tbl>
    <w:bookmarkStart w:id="33" w:name="X57e13e8d139e179fdfc3fd00b49507231af72ad"/>
    <w:p>
      <w:pPr>
        <w:pStyle w:val="Heading4"/>
      </w:pPr>
      <w:r>
        <w:t xml:space="preserve">3.3.1 关键技术实现路径</w:t>
      </w:r>
    </w:p>
    <w:p>
      <w:pPr>
        <w:pStyle w:val="FirstParagraph"/>
      </w:pPr>
      <w:r>
        <w:t xml:space="preserve">以下针对规范要求的三个关键技术挑战，给出具体实现路径。</w:t>
      </w:r>
      <w:r>
        <w:t xml:space="preserve"> </w:t>
      </w:r>
      <w:r>
        <w:rPr>
          <w:bCs/>
          <w:b/>
        </w:rPr>
        <w:t xml:space="preserve">百万测点实时写入。</w:t>
      </w:r>
      <w:r>
        <w:t xml:space="preserve"> </w:t>
      </w:r>
      <w:r>
        <w:t xml:space="preserve">单节点 PostgreSQL 直接写入的物理上限约为 5 万条/s，远不能满足百万测点 × 1s 采样间隔 = 100 万条/s 的写入需求。本方案采用「边端预处理 + Kafka 分区 + ClickHouse 批量写入」三层流水线：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边端预处理</w:t>
      </w:r>
      <w:r>
        <w:t xml:space="preserve">：边缘采集终端对原始数据进行降噪、去重和格式标准化，将无效数据在源头过滤，减少网络传输量和中心端处理压力。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Kafka 分区策略</w:t>
      </w:r>
      <w:r>
        <w:t xml:space="preserve">：按</w:t>
      </w:r>
      <w:r>
        <w:t xml:space="preserve"> </w:t>
      </w:r>
      <w:r>
        <w:rPr>
          <w:rStyle w:val="VerbatimChar"/>
        </w:rPr>
        <w:t xml:space="preserve">station_id + device_type</w:t>
      </w:r>
      <w:r>
        <w:t xml:space="preserve"> </w:t>
      </w:r>
      <w:r>
        <w:t xml:space="preserve">复合键 Hash 分区，分区数 ≥ 32，单分区写入吞吐 ≥ 3 万条/s。二期新场站接入时只需新增分区，无需重建 Topic。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ClickHouse 批量写入</w:t>
      </w:r>
      <w:r>
        <w:t xml:space="preserve">：消费端以 1s 窗口聚合写入 ClickHouse MergeTree 引擎，利用其列存 + 向量化计算特性，单批次写入 1 万条耗时 &lt; 50ms，磁盘占用仅为行存的 1/5。</w:t>
      </w:r>
    </w:p>
    <w:p>
      <w:pPr>
        <w:pStyle w:val="FirstParagraph"/>
      </w:pPr>
      <w:r>
        <w:rPr>
          <w:bCs/>
          <w:b/>
        </w:rPr>
        <w:t xml:space="preserve">500 并发会话。</w:t>
      </w:r>
      <w:r>
        <w:t xml:space="preserve"> </w:t>
      </w:r>
      <w:r>
        <w:t xml:space="preserve">规范要求的并发用户数（≥ 500）按三层定义分别保障：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并发层级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定义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SLA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实现方式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认证会话层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已登录 WebSocket 长连接数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 500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Nginx 反向代理 + APISIX 网关，水平扩展 Web 服务节点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活跃操作层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同时进行查询/交互的用户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 100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Redis 缓存热数据（测点最新值），减少数据库直连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渲染会话层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同时打开三维场景的用户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 20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Cesium 3D Tiles + Web Worker 异步加载，单场景 10 km² 加载 ≤ 3s</w:t>
            </w:r>
          </w:p>
        </w:tc>
      </w:tr>
    </w:tbl>
    <w:p>
      <w:pPr>
        <w:pStyle w:val="BodyText"/>
      </w:pPr>
      <w:r>
        <w:rPr>
          <w:bCs/>
          <w:b/>
        </w:rPr>
        <w:t xml:space="preserve">1kHz 高频采集。</w:t>
      </w:r>
      <w:r>
        <w:t xml:space="preserve"> </w:t>
      </w:r>
      <w:r>
        <w:t xml:space="preserve">风机振动监测和储能电芯数据需要 1kHz/100Hz 高频采集，传统轮询模式在此频率下 CPU 占用率过高。本方案采用：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边缘采集终端</w:t>
      </w:r>
      <w:r>
        <w:t xml:space="preserve">：部署于设备侧，通过 Modbus TCP 或私有协议以 1kHz 频率读取传感器寄存器，本地环形缓冲区缓存最近 10s 数据。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触发式上传</w:t>
      </w:r>
      <w:r>
        <w:t xml:space="preserve">：正常运行状态下仅上传 1s 聚合值（均值/最大/最小/标准差），当检测到振动超阈值或电芯温差异常时，自动切换为全量高频上传。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录波文件</w:t>
      </w:r>
      <w:r>
        <w:t xml:space="preserve">：6.4 kHz/12.8 kHz 录波数据以 COMTRADE 文件格式归档存储，由边缘终端直接写入 ClickHouse，不经 Kafka 中转，保证完整性和可追溯性。</w:t>
      </w:r>
    </w:p>
    <w:bookmarkEnd w:id="33"/>
    <w:bookmarkEnd w:id="34"/>
    <w:bookmarkStart w:id="37" w:name="X6bf670ee99f632105b932a6e16b3e2c94f1313c"/>
    <w:p>
      <w:pPr>
        <w:pStyle w:val="Heading3"/>
      </w:pPr>
      <w:r>
        <w:t xml:space="preserve">3.4 安全架构</w:t>
      </w:r>
    </w:p>
    <w:p>
      <w:pPr>
        <w:pStyle w:val="FirstParagraph"/>
      </w:pPr>
      <w:r>
        <w:rPr>
          <w:bCs/>
          <w:b/>
        </w:rPr>
        <w:t xml:space="preserve">等保二级合规体系：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安全域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要求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实现方式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身份认证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统一身份认证，支持第三方认证中心接入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F1.1.7 认证管理——OAuth2.0 + JWT，集成客户现有 AD/LDAP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访问控制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基于角色/部门/职能的细粒度权限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F1.1.8 数据权限——RBAC + ABAC，支持 CRUD 粒度和动态审批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安全审计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操作日志、登录日志、数据访问日志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全链路审计日志写入独立审计库，不可篡改，保留 ≥6 个月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数据加密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传输加密 + 敏感数据存储加密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TLS 1.3（传输）、AES-256（存储）、密钥管理 KMS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入侵检测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异常流量检测、暴力破解防护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 网关速率限制 + WAF 规则 + IP 黑名单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安全分区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I/II/III 区物理/逻辑隔离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正向隔离装置 + 防火墙，GOOSE 仅 I 区闭环</w:t>
            </w:r>
          </w:p>
        </w:tc>
      </w:tr>
    </w:tbl>
    <w:p>
      <w:pPr>
        <w:pStyle w:val="BodyText"/>
      </w:pPr>
      <w:r>
        <w:rPr>
          <w:bCs/>
          <w:b/>
        </w:rPr>
        <w:t xml:space="preserve">电力二次安防合规：</w:t>
      </w:r>
    </w:p>
    <w:p>
      <w:pPr>
        <w:numPr>
          <w:ilvl w:val="0"/>
          <w:numId w:val="1003"/>
        </w:numPr>
        <w:pStyle w:val="Compact"/>
      </w:pPr>
      <w:r>
        <w:t xml:space="preserve">安全 I 区（控制区）与 II 区之间：正向隔离装置（物理单向，电力专用）</w:t>
      </w:r>
    </w:p>
    <w:p>
      <w:pPr>
        <w:numPr>
          <w:ilvl w:val="0"/>
          <w:numId w:val="1003"/>
        </w:numPr>
        <w:pStyle w:val="Compact"/>
      </w:pPr>
      <w:r>
        <w:t xml:space="preserve">安全 II 区（非控生产区）与 III 区之间：防火墙逻辑隔离</w:t>
      </w:r>
    </w:p>
    <w:p>
      <w:pPr>
        <w:numPr>
          <w:ilvl w:val="0"/>
          <w:numId w:val="1003"/>
        </w:numPr>
        <w:pStyle w:val="Compact"/>
      </w:pPr>
      <w:r>
        <w:t xml:space="preserve">纵向认证：场站侧与中心云之间的通信链路采用纵向加密认证装置</w:t>
      </w:r>
    </w:p>
    <w:p>
      <w:pPr>
        <w:numPr>
          <w:ilvl w:val="0"/>
          <w:numId w:val="1003"/>
        </w:numPr>
        <w:pStyle w:val="Compact"/>
      </w:pPr>
      <w:r>
        <w:t xml:space="preserve">生产控制大区（I+II 区）禁止无线通信，III 区可接入企业内网</w:t>
      </w:r>
    </w:p>
    <w:bookmarkStart w:id="35" w:name="Xe6f75b82416bb9aa4447ae420f2f2abb1e879b4"/>
    <w:p>
      <w:pPr>
        <w:pStyle w:val="Heading4"/>
      </w:pPr>
      <w:r>
        <w:t xml:space="preserve">3.4.1 权限模型（RBAC + ABAC）</w:t>
      </w:r>
    </w:p>
    <w:p>
      <w:pPr>
        <w:pStyle w:val="FirstParagraph"/>
      </w:pPr>
      <w:r>
        <w:t xml:space="preserve">系统采用「RBAC 管角色 + ABAC 管数据」的双层权限模型，响应技术规范 §5.2.1.1.7—§5.2.1.1.8 的认证与数据权限要求：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权限层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模型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粒度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示例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功能权限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RBAC（基于角色）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菜单/按钮/API 端点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值班员可查看监控、不可修改策略参数；场站长可审核工单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数据权限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ABAC（基于属性）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场站/区域/设备/字段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风机专工只能看风机数据；值班长可看本场站全部设备，不可看其他场站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动态审批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RBAC + 工作流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操作审批链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策略投退需场站长审批；告警等级升级需值班长 + 场站长双签</w:t>
            </w:r>
          </w:p>
        </w:tc>
      </w:tr>
    </w:tbl>
    <w:p>
      <w:pPr>
        <w:pStyle w:val="BodyText"/>
      </w:pPr>
      <w:r>
        <w:t xml:space="preserve">实现方式：用户登录后获取 JWT Token（含角色 + 属性），APISIX 网关在 API 层校验功能权限，USDF 数据访问层在查询时注入</w:t>
      </w:r>
      <w:r>
        <w:t xml:space="preserve"> </w:t>
      </w:r>
      <w:r>
        <w:rPr>
          <w:rStyle w:val="VerbatimChar"/>
        </w:rPr>
        <w:t xml:space="preserve">WHERE station_id=:user_station</w:t>
      </w:r>
      <w:r>
        <w:t xml:space="preserve"> </w:t>
      </w:r>
      <w:r>
        <w:t xml:space="preserve">等属性条件实现数据过滤。权限变更无需修改代码，通过权限管理界面动态配置后实时生效。</w:t>
      </w:r>
    </w:p>
    <w:bookmarkEnd w:id="35"/>
    <w:bookmarkStart w:id="36" w:name="Xdae388d79637161b22d896849e0cc0300b23122"/>
    <w:p>
      <w:pPr>
        <w:pStyle w:val="Heading4"/>
      </w:pPr>
      <w:r>
        <w:t xml:space="preserve">3.4.2 数据流转安全机制</w:t>
      </w:r>
    </w:p>
    <w:p>
      <w:pPr>
        <w:pStyle w:val="FirstParagraph"/>
      </w:pPr>
      <w:r>
        <w:t xml:space="preserve">跨安全区数据流转遵循电力二次安防「安全分区、网络专用、横向隔离、纵向认证」十六字方针：</w:t>
      </w:r>
    </w:p>
    <w:p>
      <w:pPr>
        <w:pStyle w:val="SourceCode"/>
      </w:pPr>
      <w:r>
        <w:rPr>
          <w:rStyle w:val="VerbatimChar"/>
        </w:rPr>
        <w:t xml:space="preserve">I 区（控制区）  ──正向隔离(物理单向)──▶  II 区（非控生产区）  ──防火墙──▶  III 区（管理信息区）</w:t>
      </w:r>
      <w:r>
        <w:br/>
      </w:r>
      <w:r>
        <w:rPr>
          <w:rStyle w:val="VerbatimChar"/>
        </w:rPr>
        <w:t xml:space="preserve">   GOOSE 暂态控制                        IEC104 实时采集                      Web 门户/大屏</w:t>
      </w:r>
      <w:r>
        <w:br/>
      </w:r>
      <w:r>
        <w:rPr>
          <w:rStyle w:val="VerbatimChar"/>
        </w:rPr>
        <w:t xml:space="preserve">   防误保护 本地兜底                      Kafka+Redis+GPU推理                 工单/报表/三维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 → II</w:t>
      </w:r>
      <w:r>
        <w:t xml:space="preserve">：仅允许 GOOSE 录波文件和设备状态摘要单向穿透正向隔离装置，控制指令绝不跨区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II → III</w:t>
      </w:r>
      <w:r>
        <w:t xml:space="preserve">：经防火墙仅开放 RESTful API 特定端口（443），API 调用须携带 JWT Token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纵向</w:t>
      </w:r>
      <w:r>
        <w:t xml:space="preserve">：场站侧与中心云之间经纵向加密认证装置建立 IPSec VPN 隧道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审计</w:t>
      </w:r>
      <w:r>
        <w:t xml:space="preserve">：所有跨区数据访问记录写入独立审计库（ClickHouse 审计表），不可篡改，保留 ≥ 6 个月</w:t>
      </w:r>
    </w:p>
    <w:bookmarkEnd w:id="36"/>
    <w:bookmarkEnd w:id="37"/>
    <w:bookmarkStart w:id="38" w:name="Xdd6892dfab1eb2331553843a37ac585563cd2cc"/>
    <w:p>
      <w:pPr>
        <w:pStyle w:val="Heading3"/>
      </w:pPr>
      <w:r>
        <w:t xml:space="preserve">3.5 AI 引擎架构</w:t>
      </w:r>
    </w:p>
    <w:p>
      <w:pPr>
        <w:pStyle w:val="FirstParagraph"/>
      </w:pPr>
      <w:r>
        <w:t xml:space="preserve">AI 引擎采用"边缘推理 + 云端训练 + 人机协同闭环"三层架构：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边缘["边缘端·场站II区GPU"]</w:t>
      </w:r>
      <w:r>
        <w:br/>
      </w:r>
      <w:r>
        <w:rPr>
          <w:rStyle w:val="VerbatimChar"/>
        </w:rPr>
        <w:t xml:space="preserve">    E1["实时CV推理"]</w:t>
      </w:r>
      <w:r>
        <w:br/>
      </w:r>
      <w:r>
        <w:rPr>
          <w:rStyle w:val="VerbatimChar"/>
        </w:rPr>
        <w:t xml:space="preserve">    E2["告警生成"]</w:t>
      </w:r>
      <w:r>
        <w:br/>
      </w:r>
      <w:r>
        <w:rPr>
          <w:rStyle w:val="VerbatimChar"/>
        </w:rPr>
        <w:t xml:space="preserve">    E3["边缘模型热更新"]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云["云端·中心云GPU集群"]</w:t>
      </w:r>
      <w:r>
        <w:br/>
      </w:r>
      <w:r>
        <w:rPr>
          <w:rStyle w:val="VerbatimChar"/>
        </w:rPr>
        <w:t xml:space="preserve">    C1["模型训练/微调"]</w:t>
      </w:r>
      <w:r>
        <w:br/>
      </w:r>
      <w:r>
        <w:rPr>
          <w:rStyle w:val="VerbatimChar"/>
        </w:rPr>
        <w:t xml:space="preserve">    C2["版本管理+AB测试"]</w:t>
      </w:r>
      <w:r>
        <w:br/>
      </w:r>
      <w:r>
        <w:rPr>
          <w:rStyle w:val="VerbatimChar"/>
        </w:rPr>
        <w:t xml:space="preserve">    C3["数据集管理"]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业务["业务端·III区运维门户"]</w:t>
      </w:r>
      <w:r>
        <w:br/>
      </w:r>
      <w:r>
        <w:rPr>
          <w:rStyle w:val="VerbatimChar"/>
        </w:rPr>
        <w:t xml:space="preserve">    B1["人工复核"]</w:t>
      </w:r>
      <w:r>
        <w:br/>
      </w:r>
      <w:r>
        <w:rPr>
          <w:rStyle w:val="VerbatimChar"/>
        </w:rPr>
        <w:t xml:space="preserve">    B2["标注反馈"]</w:t>
      </w:r>
      <w:r>
        <w:br/>
      </w:r>
      <w:r>
        <w:rPr>
          <w:rStyle w:val="VerbatimChar"/>
        </w:rPr>
        <w:t xml:space="preserve">    B3["闭环追踪"]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边缘 &lt;--&gt;|USDF标准API&lt;br/&gt;gRPC同步/Kafka异步| 云</w:t>
      </w:r>
      <w:r>
        <w:br/>
      </w:r>
      <w:r>
        <w:rPr>
          <w:rStyle w:val="VerbatimChar"/>
        </w:rPr>
        <w:t xml:space="preserve">    云 &lt;--&gt; 业务</w:t>
      </w:r>
      <w:r>
        <w:br/>
      </w:r>
      <w:r>
        <w:rPr>
          <w:rStyle w:val="VerbatimChar"/>
        </w:rPr>
        <w:t xml:space="preserve">    style 边缘 fill:#ed7d31,color:#fff</w:t>
      </w:r>
      <w:r>
        <w:br/>
      </w:r>
      <w:r>
        <w:rPr>
          <w:rStyle w:val="VerbatimChar"/>
        </w:rPr>
        <w:t xml:space="preserve">    style 云 fill:#1f4e79,color:#fff</w:t>
      </w:r>
      <w:r>
        <w:br/>
      </w:r>
      <w:r>
        <w:rPr>
          <w:rStyle w:val="VerbatimChar"/>
        </w:rPr>
        <w:t xml:space="preserve">    style 业务 fill:#2e7d32,color:#fff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部署位置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职责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关键指标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边缘推理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 II 区（GPU 服务器）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烟火识别/通道隐患/设备异常实时检测，结果写入 Redis 缓存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单次推理 &lt;500ms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云端训练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中心云 III 区（GPU 集群）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模型微调/数据标注/版本管理/AB 测试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模型版本可回溯，新模型下发 ≤30min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人机协同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III 区运维门户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告警确认/误报标注/模型效果评估 → 反馈至训练集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检出率 ≥80%，误检率 30%→15% 优化路线图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数据就绪策略</w:t>
      </w:r>
      <w:r>
        <w:t xml:space="preserve">：算法团队不碰采集层——所有训练和推理数据通过 USDF 北向 API 获取。新模型接入无需修改数据管线，注册模型元数据后即插即用。一期覆盖 CV 巡检类模型（F4 智能运维），架构为 NLP/大模型预留接入能力（标准化的对象 + 时序数据同样适用于 LLM 推理）。</w:t>
      </w:r>
    </w:p>
    <w:p>
      <w:pPr>
        <w:pStyle w:val="BodyText"/>
      </w:pPr>
      <w:r>
        <w:rPr>
          <w:bCs/>
          <w:b/>
        </w:rPr>
        <w:t xml:space="preserve">误检率优化路线图</w:t>
      </w:r>
      <w:r>
        <w:t xml:space="preserve">：一期交付时误检率 ≤30%（行业基线），通过人机协同标注反馈 + 模型版本迭代，交付后 6 个月目标 ≤15%。</w:t>
      </w:r>
    </w:p>
    <w:bookmarkEnd w:id="38"/>
    <w:bookmarkStart w:id="39" w:name="Xec68e76fa5390c10a7992622521a3a7af2a05d8"/>
    <w:p>
      <w:pPr>
        <w:pStyle w:val="Heading3"/>
      </w:pPr>
      <w:r>
        <w:t xml:space="preserve">3.6 数据治理体系</w:t>
      </w:r>
    </w:p>
    <w:p>
      <w:pPr>
        <w:pStyle w:val="FirstParagraph"/>
      </w:pPr>
      <w:r>
        <w:t xml:space="preserve">USDF 的属性标准化是数据治理的起点，向上延伸为四层治理体系：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数据质量                                       │</w:t>
      </w:r>
      <w:r>
        <w:br/>
      </w:r>
      <w:r>
        <w:rPr>
          <w:rStyle w:val="VerbatimChar"/>
        </w:rPr>
        <w:t xml:space="preserve">│  完整性校验 / 时效性监控 / 异常值检测 / 质量报告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数据血缘                                       │</w:t>
      </w:r>
      <w:r>
        <w:br/>
      </w:r>
      <w:r>
        <w:rPr>
          <w:rStyle w:val="VerbatimChar"/>
        </w:rPr>
        <w:t xml:space="preserve">│  测点→Kafka Topic→时序表→API 字段，全链路可追溯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元数据目录                                     │</w:t>
      </w:r>
      <w:r>
        <w:br/>
      </w:r>
      <w:r>
        <w:rPr>
          <w:rStyle w:val="VerbatimChar"/>
        </w:rPr>
        <w:t xml:space="preserve">│  场站→区域→设备→部件→测点，五级数据目录 + 搜索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主数据管理（USDF 已有）                          │</w:t>
      </w:r>
      <w:r>
        <w:br/>
      </w:r>
      <w:r>
        <w:rPr>
          <w:rStyle w:val="VerbatimChar"/>
        </w:rPr>
        <w:t xml:space="preserve">│  全局唯一 ID + 标准属性集 + 生命周期 + 拓扑关系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职责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关键规则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主数据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设备/设施全局唯一 ID、标准属性集、生命周期管理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单点注册，全局消费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元数据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测点目录、数据字典、API 字段映射、搜索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新增测点自动注册到目录，避免"暗数据"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血缘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采集→Kafka→存储→API，全链路字段级溯源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支持回溯任意 API 字段的上游数据源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质量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完整性/时效性/唯一性/一致性四维校验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质量 SLA 按通道分级：P1(暂态) &gt; P2(稳态) &gt; P3(历史)</w:t>
            </w:r>
          </w:p>
        </w:tc>
      </w:tr>
    </w:tbl>
    <w:p>
      <w:pPr>
        <w:pStyle w:val="BodyText"/>
      </w:pPr>
      <w:r>
        <w:t xml:space="preserve">数据治理与 USDF 的"不可越层规则"互补：不可越层规则管控数据流向的正确性，数据治理体系保障数据自身的可信度。</w:t>
      </w:r>
    </w:p>
    <w:bookmarkEnd w:id="39"/>
    <w:bookmarkStart w:id="40" w:name="X7559e621b7b98c6c4995ee1110a1bb4522217b0"/>
    <w:p>
      <w:pPr>
        <w:pStyle w:val="Heading3"/>
      </w:pPr>
      <w:r>
        <w:t xml:space="preserve">3.7 平台运维监控</w:t>
      </w:r>
    </w:p>
    <w:p>
      <w:pPr>
        <w:pStyle w:val="FirstParagraph"/>
      </w:pPr>
      <w:r>
        <w:t xml:space="preserve">系统自身的运维监控是 MTBF ≥10,000h 的保障基础，同时满足等保二级对安全审计的强制要求。本方案建立四层运维监控体系：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业务健康监控                                  │</w:t>
      </w:r>
      <w:r>
        <w:br/>
      </w:r>
      <w:r>
        <w:rPr>
          <w:rStyle w:val="VerbatimChar"/>
        </w:rPr>
        <w:t xml:space="preserve">│  设备在线率 / 数据完整率 / API 可用性 / 告警风暴检测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安全审计（等保二级必选）                         │</w:t>
      </w:r>
      <w:r>
        <w:br/>
      </w:r>
      <w:r>
        <w:rPr>
          <w:rStyle w:val="VerbatimChar"/>
        </w:rPr>
        <w:t xml:space="preserve">│  操作审计 / 登录审计 / 数据访问审计 / 权限变更审计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应用性能监控（APM）                             │</w:t>
      </w:r>
      <w:r>
        <w:br/>
      </w:r>
      <w:r>
        <w:rPr>
          <w:rStyle w:val="VerbatimChar"/>
        </w:rPr>
        <w:t xml:space="preserve">│  分布式追踪 (gRPC/Kafka) / 慢查询 / 内存/线程 / GC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基础设施监控                                    │</w:t>
      </w:r>
      <w:r>
        <w:br/>
      </w:r>
      <w:r>
        <w:rPr>
          <w:rStyle w:val="VerbatimChar"/>
        </w:rPr>
        <w:t xml:space="preserve">│  CPU/内存/磁盘/网络 / 容器健康 / Kafka Lag / 连接池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监控层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工具推荐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职责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告警规则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基础设施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 + Grafana（开源）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服务器/容器/中间件健康，CPU/内存/磁盘/网络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CPU &gt;90% 或磁盘 &gt;85% 触发预警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应用性能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SkyWalking（开源，Apache 顶级项目，国产化优先）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分布式追踪（gRPC+Kafka），慢查询检测，DB 连接池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P95 延迟 &gt;500ms 触发预警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安全审计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ELK（Elasticsearch+Logstash+Kibana）+ 审计库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操作日志/登录日志/数据访问日志，独立审计库不可篡改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暴力破解检测，异常 IP 登录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业务健康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自研 Health Check + Prometheus Exporter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设备在线率/数据完整率/API 可用性，MTBF 统计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核心 API 可用性 &lt;99.9% 触发告警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审计合规</w:t>
      </w:r>
      <w:r>
        <w:t xml:space="preserve">（对等保二级要求逐项承接）：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等保二级要求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实现方式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身份认证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F1.1.7 认证管理——OAuth 2.0 + JWT，支持对接客户 AD/LDAP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访问控制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F1.1.8 数据权限——RBAC + ABAC，CRUD 粒度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安全审计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独立审计库，全量操作日志，不可篡改，保留 ≥6 个月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数据加密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TLS 1.3（传输）+ AES-256（存储敏感字段）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入侵检测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 网关速率限制 + WAF 规则 + 异常登录检测</w:t>
            </w:r>
          </w:p>
        </w:tc>
      </w:tr>
    </w:tbl>
    <w:p>
      <w:pPr>
        <w:pStyle w:val="BodyText"/>
      </w:pPr>
      <w:r>
        <w:rPr>
          <w:bCs/>
          <w:b/>
        </w:rPr>
        <w:t xml:space="preserve">MTBF 统计机制</w:t>
      </w:r>
      <w:r>
        <w:t xml:space="preserve">：Prometheus 采集各组件运行时长，自动计算系统级 MTBF；故障事件自动记录（时间/组件/影响/恢复），质保期内持续统计，期末达到 ≥10,000h。</w:t>
      </w:r>
    </w:p>
    <w:bookmarkEnd w:id="40"/>
    <w:bookmarkStart w:id="41" w:name="X67cd0b050ee9c3f354d2a8e6d9615f2515b791d"/>
    <w:p>
      <w:pPr>
        <w:pStyle w:val="Heading3"/>
      </w:pPr>
      <w:r>
        <w:t xml:space="preserve">3.8 架构总览图</w:t>
      </w:r>
    </w:p>
    <w:p>
      <w:pPr>
        <w:pStyle w:val="FirstParagraph"/>
      </w:pPr>
      <w:r>
        <w:t xml:space="preserve">综合 3.1-3.7，系统完整架构如下：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展示层                                    │</w:t>
      </w:r>
      <w:r>
        <w:br/>
      </w:r>
      <w:r>
        <w:rPr>
          <w:rStyle w:val="VerbatimChar"/>
        </w:rPr>
        <w:t xml:space="preserve">│  三维 Web 门户 (Cesium+Three.js) / 大屏 / 移动端 / 运维门户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RESTful API (APISIX Gateway)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业务层                                       │</w:t>
      </w:r>
      <w:r>
        <w:br/>
      </w:r>
      <w:r>
        <w:rPr>
          <w:rStyle w:val="VerbatimChar"/>
        </w:rPr>
        <w:t xml:space="preserve">│  F1 场站平台 │ F2 协同优化 │ F3 透明场站 │ F4 智能运维 │ F5 数字运维│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统一 API (gRPC + Kafka)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USDF 平台层                                    │</w:t>
      </w:r>
      <w:r>
        <w:br/>
      </w:r>
      <w:r>
        <w:rPr>
          <w:rStyle w:val="VerbatimChar"/>
        </w:rPr>
        <w:t xml:space="preserve">│  对象注册 / 空间参照 / 属性标准化 / 拓扑关系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┌──────────┬──────────┬──────────┬──────────┐                  │</w:t>
      </w:r>
      <w:r>
        <w:br/>
      </w:r>
      <w:r>
        <w:rPr>
          <w:rStyle w:val="VerbatimChar"/>
        </w:rPr>
        <w:t xml:space="preserve">│  │  Kafka   │ClickHouse│ Postgres │  Redis   │                  │</w:t>
      </w:r>
      <w:r>
        <w:br/>
      </w:r>
      <w:r>
        <w:rPr>
          <w:rStyle w:val="VerbatimChar"/>
        </w:rPr>
        <w:t xml:space="preserve">│  │  (≥32分区)│ +PostGIS │          │          │                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└──────────┴──────────┴──────────┴──────────┘                  │</w:t>
      </w:r>
      <w:r>
        <w:br/>
      </w:r>
      <w:r>
        <w:rPr>
          <w:rStyle w:val="VerbatimChar"/>
        </w:rPr>
        <w:t xml:space="preserve">│  P1 暂态(GOOSE)  │  P2 稳态(IEC104)  │  P3 历史(API)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采集层（统一采集适配器）                         │</w:t>
      </w:r>
      <w:r>
        <w:br/>
      </w:r>
      <w:r>
        <w:rPr>
          <w:rStyle w:val="VerbatimChar"/>
        </w:rPr>
        <w:t xml:space="preserve">│  IEC104 / Modbus / GOOSE / RTSP-GB28181 / MQTT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风机 SCADA      光伏监控      储能 EMS / SVG / 视频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运维监控（跨层贯通）                            │</w:t>
      </w:r>
      <w:r>
        <w:br/>
      </w:r>
      <w:r>
        <w:rPr>
          <w:rStyle w:val="VerbatimChar"/>
        </w:rPr>
        <w:t xml:space="preserve">│  Prometheus + SkyWalking + ELK → Grafana / 审计库 / AlertManager │</w:t>
      </w:r>
      <w:r>
        <w:br/>
      </w:r>
      <w:r>
        <w:rPr>
          <w:rStyle w:val="VerbatimChar"/>
        </w:rPr>
        <w:t xml:space="preserve">│  基础设施监控 → 应用性能追踪 → 安全审计 → 业务健康统计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7" w:name="第四章-业务子系统方案"/>
    <w:p>
      <w:pPr>
        <w:pStyle w:val="Heading2"/>
      </w:pPr>
      <w:r>
        <w:t xml:space="preserve">第四章 业务子系统方案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：五大子系统不是五个孤立模块，而是围绕数字孪生形成"建→控→评→检→管"的运营闭环。每个子系统下方都标注了它为客户创造的直接价值。</w:t>
      </w:r>
    </w:p>
    <w:p>
      <w:pPr>
        <w:pStyle w:val="FirstParagraph"/>
      </w:pPr>
      <w:r>
        <w:drawing>
          <wp:inline>
            <wp:extent cx="5486400" cy="458744"/>
            <wp:effectExtent b="0" l="0" r="0" t="0"/>
            <wp:docPr descr="图4-0：五大业务子系统闭环全景——建→控→评→检→管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4-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图4-0：五大业务子系统闭环全景——建→控→评→检→管</w:t>
      </w:r>
    </w:p>
    <w:p>
      <w:pPr>
        <w:pStyle w:val="BlockText"/>
      </w:pPr>
      <w:r>
        <w:t xml:space="preserve">图 4-0：五大业务子系统闭环全景——建→控→评→检→管，数字孪生驱动</w:t>
      </w:r>
    </w:p>
    <w:bookmarkStart w:id="49" w:name="X2c8c2e9bfcff11df79067cbfca6fd060b69f56a"/>
    <w:p>
      <w:pPr>
        <w:pStyle w:val="Heading3"/>
      </w:pPr>
      <w:r>
        <w:t xml:space="preserve">4.1 一体化数智场站平台（F1）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：一次建模，全场复用。所有设备在 USDF 底座注册一次，上层五个业务系统按需消费同一份对象数据，无需重复建模、无需数据搬家。</w:t>
      </w:r>
    </w:p>
    <w:p>
      <w:pPr>
        <w:pStyle w:val="FirstParagraph"/>
      </w:pPr>
      <w:r>
        <w:t xml:space="preserve">一体化数智场站平台是系统的数字孪生底座，负责全要素数据建模、三维可视化、数据接入和低代码组态，是其他四个业务系统的数据来源和展示载体。</w:t>
      </w:r>
    </w:p>
    <w:bookmarkStart w:id="44" w:name="X96842e091a3162073881071925cfa51d927161d"/>
    <w:p>
      <w:pPr>
        <w:pStyle w:val="Heading4"/>
      </w:pPr>
      <w:r>
        <w:t xml:space="preserve">4.1.1 全要素数据建模（F1.1.1）</w:t>
      </w:r>
    </w:p>
    <w:p>
      <w:pPr>
        <w:pStyle w:val="FirstParagraph"/>
      </w:pPr>
      <w:r>
        <w:t xml:space="preserve">系统支持灵活的对象化建模——风电机组、光伏组件、储能电池舱、升压站设备、输电线路五类空间对象均以统一的对象模型注册到 USDF 底座。建模过程无需修改底层代码：定义对象的属性集（名称/类型/位置/状态/关联设备/三维模型引用）、注册空间层级关系（场站→区域→设备→部件）、配置数据接入源。</w:t>
      </w:r>
    </w:p>
    <w:p>
      <w:pPr>
        <w:pStyle w:val="BodyText"/>
      </w:pPr>
      <w:r>
        <w:t xml:space="preserve">设备级对象全覆盖，部件级按需建模。例如风机注册为场站→风电区→#FJ-001→叶片/齿轮箱/发电机；光伏逆变器注册为场站→光伏区→#NBQ-001→功率模块/直流母线。通过精细化对象建模，避免百万级对象拖垮底座——一期约 500 个设备级对象 + 100 个关键部件对象。</w:t>
      </w:r>
    </w:p>
    <w:bookmarkEnd w:id="44"/>
    <w:bookmarkStart w:id="45" w:name="X43428b2d07303dccca3653c04d620e2bd3f4724"/>
    <w:p>
      <w:pPr>
        <w:pStyle w:val="Heading4"/>
      </w:pPr>
      <w:r>
        <w:t xml:space="preserve">4.1.2 三维可视化（F1.2.1-5）</w:t>
      </w:r>
    </w:p>
    <w:p>
      <w:pPr>
        <w:pStyle w:val="FirstParagraph"/>
      </w:pPr>
      <w:r>
        <w:t xml:space="preserve">基于 Cesium + Three.js 构建 Web 原生三维可视化引擎，覆盖五大场景：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场景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核心内容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数据驱动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风机可视化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三维实景建模，转速/功率/温度/电压/电流实时叠加；健康水平着色（绿/黄/橙/红）；巡检记录、故障分布空间标注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风机 SCADA + 巡检系统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光伏可视化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二维/三维双模式，旋转/缩放交互，逆变器/汇流箱遥测遥信，实时视频融合；全局辐照度热力图 + 发电趋势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光伏监控 + 视频平台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储能可视化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电池舱三维数字化还原，簇电压/SOC/SOH/充放电功率实时面板，状态着色+异常告警标记+趋势曲线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 EMS + 电池诊断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巡检可视化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三维场景中动态呈现巡检全过程：人员/终端实时位置、路线执行进度、异常记录标记（红点）、缺陷等级标注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巡检任务系统 + 定位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大屏展示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企业定位、宣传片、核心业务动画、标杆项目展示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静态内容 + 核心指标</w:t>
            </w:r>
          </w:p>
        </w:tc>
      </w:tr>
    </w:tbl>
    <w:p>
      <w:pPr>
        <w:pStyle w:val="BodyText"/>
      </w:pPr>
      <w:r>
        <w:t xml:space="preserve">三维引擎选型理由见 §3.3 关键技术选型。Web 化架构无需客户端部署，浏览器即用，500 并发通过水平扩展 Nginx + WebSocket 实现。</w:t>
      </w:r>
    </w:p>
    <w:bookmarkEnd w:id="45"/>
    <w:bookmarkStart w:id="46" w:name="X8669cdf528d9956a9cf7abdd930e1844b91bb4e"/>
    <w:p>
      <w:pPr>
        <w:pStyle w:val="Heading4"/>
      </w:pPr>
      <w:r>
        <w:t xml:space="preserve">4.1.3 数据接入（F1.3）</w:t>
      </w:r>
    </w:p>
    <w:p>
      <w:pPr>
        <w:pStyle w:val="FirstParagraph"/>
      </w:pPr>
      <w:r>
        <w:rPr>
          <w:bCs/>
          <w:b/>
        </w:rPr>
        <w:t xml:space="preserve">高频数据接入</w:t>
      </w:r>
      <w:r>
        <w:t xml:space="preserve">：边缘采集终端支持 1kHz/100Hz 实时数据接入（风机振动、储能电芯电压电流），6.4kHz/12.8kHz 录波文件接收归档。高频数据经 Kafka 分区路由直接写入 ClickHouse 时序库，不经过业务数据库。</w:t>
      </w:r>
    </w:p>
    <w:p>
      <w:pPr>
        <w:pStyle w:val="BodyText"/>
      </w:pPr>
      <w:r>
        <w:rPr>
          <w:bCs/>
          <w:b/>
        </w:rPr>
        <w:t xml:space="preserve">常规数据接入</w:t>
      </w:r>
      <w:r>
        <w:t xml:space="preserve">：IEC104/Modbus TCP/GOOSE/MQTT 四协议统一采集适配器，接入大数据中心云平台。采集适配器采用插件化架构——新增一种协议只需开发一个插件，无需修改核心管线。</w:t>
      </w:r>
    </w:p>
    <w:bookmarkEnd w:id="46"/>
    <w:bookmarkStart w:id="47" w:name="Xe1b4a2536282bb6a41fe5e7ebc0e4505ae4ee40"/>
    <w:p>
      <w:pPr>
        <w:pStyle w:val="Heading4"/>
      </w:pPr>
      <w:r>
        <w:t xml:space="preserve">4.1.4 低代码组态（F1.1.4）</w:t>
      </w:r>
    </w:p>
    <w:p>
      <w:pPr>
        <w:pStyle w:val="FirstParagraph"/>
      </w:pPr>
      <w:r>
        <w:t xml:space="preserve">低代码组态是平台扩展性的核心支柱——普通技术人员（非开发人员）可通过拖拽方式配置监控页面、定义设备模型、编排告警规则、生成智能报表。组件库覆盖：数据面板、趋势曲线、告警列表、设备树、GIS 地图、三维场景视图。一期交付预置模板 20+ 个，覆盖风光储主要监控场景。</w:t>
      </w:r>
    </w:p>
    <w:bookmarkEnd w:id="47"/>
    <w:bookmarkStart w:id="48" w:name="X376709fafe156992d37f51fad6546f97250de3d"/>
    <w:p>
      <w:pPr>
        <w:pStyle w:val="Heading4"/>
      </w:pPr>
      <w:r>
        <w:t xml:space="preserve">4.1.5 整体门户界面设计</w:t>
      </w:r>
    </w:p>
    <w:p>
      <w:pPr>
        <w:pStyle w:val="FirstParagraph"/>
      </w:pPr>
      <w:r>
        <w:t xml:space="preserve">系统门户采用**「顶栏导航 + 左侧场景树 + 中央工作区」**经典三栏布局，响应技术规范 §5.2.1.2 可视化展示及整体门户设计要求：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顶栏：Logo + 场站选择器 + 全局搜索 + 告警铃铛 + 用户头像     │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左侧场景树  │ 中央工作区（路由渲染区）                        │</w:t>
      </w:r>
      <w:r>
        <w:br/>
      </w:r>
      <w:r>
        <w:rPr>
          <w:rStyle w:val="VerbatimChar"/>
        </w:rPr>
        <w:t xml:space="preserve">│            │                                            │</w:t>
      </w:r>
      <w:r>
        <w:br/>
      </w:r>
      <w:r>
        <w:rPr>
          <w:rStyle w:val="VerbatimChar"/>
        </w:rPr>
        <w:t xml:space="preserve">│ ▼ 实时监控  │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· 全场态势 │  │                                     │  │</w:t>
      </w:r>
      <w:r>
        <w:br/>
      </w:r>
      <w:r>
        <w:rPr>
          <w:rStyle w:val="VerbatimChar"/>
        </w:rPr>
        <w:t xml:space="preserve">│  · 风机监控  │  │    三维场景 / 数据面板 / 图表          │  │</w:t>
      </w:r>
      <w:r>
        <w:br/>
      </w:r>
      <w:r>
        <w:rPr>
          <w:rStyle w:val="VerbatimChar"/>
        </w:rPr>
        <w:t xml:space="preserve">│  · 光伏监控  │  │                                     │  │</w:t>
      </w:r>
      <w:r>
        <w:br/>
      </w:r>
      <w:r>
        <w:rPr>
          <w:rStyle w:val="VerbatimChar"/>
        </w:rPr>
        <w:t xml:space="preserve">│  · 储能监控  │  │    （按左侧菜单切换渲染）               │  │</w:t>
      </w:r>
      <w:r>
        <w:br/>
      </w:r>
      <w:r>
        <w:rPr>
          <w:rStyle w:val="VerbatimChar"/>
        </w:rPr>
        <w:t xml:space="preserve">│ ▼ 智能运维  │  │                                     │  │</w:t>
      </w:r>
      <w:r>
        <w:br/>
      </w:r>
      <w:r>
        <w:rPr>
          <w:rStyle w:val="VerbatimChar"/>
        </w:rPr>
        <w:t xml:space="preserve">│  · 告警中心  │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· 工单管理  │                                            │</w:t>
      </w:r>
      <w:r>
        <w:br/>
      </w:r>
      <w:r>
        <w:rPr>
          <w:rStyle w:val="VerbatimChar"/>
        </w:rPr>
        <w:t xml:space="preserve">│  · 巡检任务  │  底部状态栏：在线设备数 | 今日告警 | 系统时间  │</w:t>
      </w:r>
      <w:r>
        <w:br/>
      </w:r>
      <w:r>
        <w:rPr>
          <w:rStyle w:val="VerbatimChar"/>
        </w:rPr>
        <w:t xml:space="preserve">│ ▼ 分析评价  │                                            │</w:t>
      </w:r>
      <w:r>
        <w:br/>
      </w:r>
      <w:r>
        <w:rPr>
          <w:rStyle w:val="VerbatimChar"/>
        </w:rPr>
        <w:t xml:space="preserve">│  · 并网性能  │                                            │</w:t>
      </w:r>
      <w:r>
        <w:br/>
      </w:r>
      <w:r>
        <w:rPr>
          <w:rStyle w:val="VerbatimChar"/>
        </w:rPr>
        <w:t xml:space="preserve">│  · 发电评估  │                                            │</w:t>
      </w:r>
      <w:r>
        <w:br/>
      </w:r>
      <w:r>
        <w:rPr>
          <w:rStyle w:val="VerbatimChar"/>
        </w:rPr>
        <w:t xml:space="preserve">│ ▼ 系统管理  │                                            │</w:t>
      </w:r>
      <w:r>
        <w:br/>
      </w:r>
      <w:r>
        <w:rPr>
          <w:rStyle w:val="VerbatimChar"/>
        </w:rPr>
        <w:t xml:space="preserve">│  · 权限管理  │                                            │</w:t>
      </w:r>
      <w:r>
        <w:br/>
      </w:r>
      <w:r>
        <w:rPr>
          <w:rStyle w:val="VerbatimChar"/>
        </w:rPr>
        <w:t xml:space="preserve">│  · 组态配置  │                              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交互流程设计要点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交互模式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响应技术规范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场站切换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顶栏场站选择器下拉切换，三维场景和数据面板同步刷新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多场站扩展能力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层级下钻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全场态势 → 点击区域 → 设备列表 → 点击设备 → 设备详情（含实时数据/趋势/告警/三维特写）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5.2.1.2 可视化展示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告警流转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告警铃铛实时推送 → 点击展开告警卡片（等级/设备/时间/缩略图）→ 一键派单或查看详情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5.2.4.8 告警确认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组态编辑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系统管理 → 组态配置 → 拖拽组件到画布 → 绑定数据源 → 保存发布（所见即所得）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5.2.1.1.4 低代码组态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三维联动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左侧选中设备 → 中央三维场景自动飞行至设备位置并高亮，右侧数据面板同步刷新设备实时数据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5.2.1.2.1-5 风机/光伏/储能/巡检可视化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大屏展示设计</w:t>
      </w:r>
      <w:r>
        <w:t xml:space="preserve">（技术规范 §5.2.1.2.5）：独立的大屏展示模式采用全屏无边框布局，四大板块轮播——企业定位介绍（左上文字+地图定位）、核心业务动画（中央三维场景全屏渲染，展示风机转动/光伏发电/储能充放动态效果）、标杆项目（底部滚动卡片）、宣传片（右上视频播放窗）。大屏内容通过低代码组态工具配置，非开发人员可自助修改。</w:t>
      </w:r>
    </w:p>
    <w:bookmarkEnd w:id="48"/>
    <w:bookmarkEnd w:id="49"/>
    <w:bookmarkStart w:id="52" w:name="Xc015815ea495fcb62db3625bf27991a54dc8a87"/>
    <w:p>
      <w:pPr>
        <w:pStyle w:val="Heading3"/>
      </w:pPr>
      <w:r>
        <w:t xml:space="preserve">4.2 功率-能量协同优化（F2）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：把弃风弃光变成可调度的收益。多源协同优化算法让"今天能发多少、该发多少、储能什么时候充放"从经验判断变成数学最优解，预期降低弃风弃光率 3–5 个百分点。</w:t>
      </w:r>
    </w:p>
    <w:bookmarkStart w:id="50" w:name="Xacf400ea90d2c46059f24d780888f848b83030f"/>
    <w:p>
      <w:pPr>
        <w:pStyle w:val="Heading4"/>
      </w:pPr>
      <w:r>
        <w:t xml:space="preserve">4.2.1 稳态多源协同（F2.1）</w:t>
      </w:r>
    </w:p>
    <w:p>
      <w:pPr>
        <w:pStyle w:val="FirstParagraph"/>
      </w:pPr>
      <w:r>
        <w:t xml:space="preserve">以"减少弃风弃光、兼顾安全、平抑波动、动态性能最优"为原则，协调风电机组、光伏逆变器、储能 PCS、SVG 四类可调资源：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有功协同</w:t>
      </w:r>
      <w:r>
        <w:t xml:space="preserve">：实时采集各发电单元的有功可发上限，基于场站并网点功率目标，动态分配风/光/储出力。光伏超发时优先给储能充电，风电低发时储能放电补足——最大化消纳、最小化弃电。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无功协同</w:t>
      </w:r>
      <w:r>
        <w:t xml:space="preserve">：以 SVG 为无功主力（响应最快），风/光/储无功裕度为补充，实现并网点电压动态调节。无功分配策略优先考虑设备损耗最小化。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安全防误</w:t>
      </w:r>
      <w:r>
        <w:t xml:space="preserve">：所有控制指令在执行前经过三道校验——指令合法性（是否在设备可调范围内）、状态一致性（设备当前状态是否允许该操作）、安全边界（是否会导致越限）。任一校验不通过即阻断并告警。</w:t>
      </w:r>
    </w:p>
    <w:bookmarkEnd w:id="50"/>
    <w:bookmarkStart w:id="51" w:name="Xbff67ca51404a8153e9c069dfc3535b281a3a76"/>
    <w:p>
      <w:pPr>
        <w:pStyle w:val="Heading4"/>
      </w:pPr>
      <w:r>
        <w:t xml:space="preserve">4.2.2 暂态快速控制（F2.2）</w:t>
      </w:r>
    </w:p>
    <w:p>
      <w:pPr>
        <w:pStyle w:val="FirstParagraph"/>
      </w:pPr>
      <w:r>
        <w:t xml:space="preserve">通过 GOOSE 协议（IEC 61850）实现毫秒级暂态控制：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快速调频</w:t>
      </w:r>
      <w:r>
        <w:t xml:space="preserve">：频率采样 ≤100ms，测频精度 ≤0.003Hz，频率偏差超阈值时自动触发有功调整，调频优化偏差 ±1% 额定功率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快速调压</w:t>
      </w:r>
      <w:r>
        <w:t xml:space="preserve">：电压骤升骤降时，SVG + 储能 PCS 协同无功注入/吸收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通道保障</w:t>
      </w:r>
      <w:r>
        <w:t xml:space="preserve">：GOOSE 直通安全 I 区，不经消息队列中转，端到端 ≤100ms</w:t>
      </w:r>
    </w:p>
    <w:bookmarkEnd w:id="51"/>
    <w:bookmarkEnd w:id="52"/>
    <w:bookmarkStart w:id="56" w:name="X676ec5a0cf4afe3ae60a610680c44ce2576ab0e"/>
    <w:p>
      <w:pPr>
        <w:pStyle w:val="Heading3"/>
      </w:pPr>
      <w:r>
        <w:t xml:space="preserve">4.3 构网型透明场站（F3）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：让涉网性能从"黑箱"变"透明"。并网前就知道每台机组的构网能力——一次调频响应时间、惯量支撑功率、电压穿越能力——用数据代替经验，用评价代替猜测。</w:t>
      </w:r>
    </w:p>
    <w:p>
      <w:pPr>
        <w:pStyle w:val="FirstParagraph"/>
      </w:pPr>
      <w:r>
        <w:t xml:space="preserve">构网型透明场站使并网性能"透明可视"——对机组和场站两个层级的涉网性能进行全维度在线评价。</w:t>
      </w:r>
    </w:p>
    <w:bookmarkStart w:id="53" w:name="Xfd9c2ef00b3124a5b9a1ab0b1a14b942438569a"/>
    <w:p>
      <w:pPr>
        <w:pStyle w:val="Heading4"/>
      </w:pPr>
      <w:r>
        <w:t xml:space="preserve">4.3.1 机组并网性能评价（F3.1）</w:t>
      </w:r>
    </w:p>
    <w:p>
      <w:pPr>
        <w:pStyle w:val="FirstParagraph"/>
      </w:pPr>
      <w:r>
        <w:t xml:space="preserve">同时对跟网型和构网型机组进行差异化评价：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评价对象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评价维度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依据标准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跟网型风机/光伏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电网适应性、故障穿越、有功控制、无功电压支撑、电能质量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GB/T 19963.1 / GB/T 19964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构网型风机/光伏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惯量响应、一次调频、无功电压调节、暂态电压支撑、阻尼控制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T/CEEIA 804 / T/CPSS 1005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跟/构对比分析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涉网性能/运行效率/可靠性/经济性四维量化对比，生成对标报告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基于场站模型（节点电压刚度、频率支撑系数等）进行稳态和暂态双维度评价，评价结果自动生成报告。</w:t>
      </w:r>
    </w:p>
    <w:bookmarkEnd w:id="53"/>
    <w:bookmarkStart w:id="54" w:name="X4a623ecf4c65d431069d76c304c7278c114f552"/>
    <w:p>
      <w:pPr>
        <w:pStyle w:val="Heading4"/>
      </w:pPr>
      <w:r>
        <w:t xml:space="preserve">4.3.2 场站并网性能评价（F3.2）</w:t>
      </w:r>
    </w:p>
    <w:p>
      <w:pPr>
        <w:pStyle w:val="FirstParagraph"/>
      </w:pPr>
      <w:r>
        <w:t xml:space="preserve">在场站层面评价 AGC/AVC 控制效果（响应时间/调节速度/调节电量/调节精度）、惯量响应和一次调频效果。无功潮流分析覆盖全场站无功分布，自动检测无功环流异常。</w:t>
      </w:r>
    </w:p>
    <w:bookmarkEnd w:id="54"/>
    <w:bookmarkStart w:id="55" w:name="X30e6e39a3b9aa3096c7d484247dde1b981f0940"/>
    <w:p>
      <w:pPr>
        <w:pStyle w:val="Heading4"/>
      </w:pPr>
      <w:r>
        <w:t xml:space="preserve">4.3.3 发电性能评价（F3.3）</w:t>
      </w:r>
    </w:p>
    <w:p>
      <w:pPr>
        <w:pStyle w:val="FirstParagraph"/>
      </w:pPr>
      <w:r>
        <w:t xml:space="preserve">统一管理风电/光伏/储能三类发电单元的发电量数据，按日/周/月/季/年维度统计和对比。发电量异常自动标记并关联运维工单。</w:t>
      </w:r>
    </w:p>
    <w:bookmarkEnd w:id="55"/>
    <w:bookmarkEnd w:id="56"/>
    <w:bookmarkStart w:id="62" w:name="X9106365949e4bee652e40a46953bfc359fba23b"/>
    <w:p>
      <w:pPr>
        <w:pStyle w:val="Heading3"/>
      </w:pPr>
      <w:r>
        <w:t xml:space="preserve">4.4 智能运维系统（F4）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：用 AI 替代人眼巡检。升压站、光伏区、输电线路、储能舱四大场景由 AI 视觉模型 7×24 不间断巡检——AI 检出率 ≥80%（一期）、误检率 ≤30%（一期），持续优化至 ≥90% / ≤15%，把人从重复性巡查看屏中解放出来。</w:t>
      </w:r>
    </w:p>
    <w:bookmarkStart w:id="57" w:name="X95fe649b84c2423eb2167241856e9e98a0edc24"/>
    <w:p>
      <w:pPr>
        <w:pStyle w:val="Heading4"/>
      </w:pPr>
      <w:r>
        <w:t xml:space="preserve">4.4.1 升压站智能运维（F4.2）</w:t>
      </w:r>
    </w:p>
    <w:p>
      <w:pPr>
        <w:pStyle w:val="FirstParagraph"/>
      </w:pPr>
      <w:r>
        <w:t xml:space="preserve">实现升压站的无人值守自动化巡视：预设巡检路线和点位，机器人/无人机按计划自主执行，支持断点续传。温度异常识别区分正常温升与异常发热（过热点/绝缘缺陷/接触不良），报警时自动抓拍红外热像 + 可见光照片，关联设备台账。巡视完成后自动生成标准化运维报告。</w:t>
      </w:r>
    </w:p>
    <w:bookmarkEnd w:id="57"/>
    <w:bookmarkStart w:id="58" w:name="X22eed3b49cd346615a2290b9d381ed9d702cdde"/>
    <w:p>
      <w:pPr>
        <w:pStyle w:val="Heading4"/>
      </w:pPr>
      <w:r>
        <w:t xml:space="preserve">4.4.2 光伏智能运维（F4.3）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模块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核心能力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关键指标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烟火识别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热成像双光谱 + 深度学习，全天候监测，逐帧检测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检出率 ≥80%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逆变器诊断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遥信遥测互核 + 温度分析，四类故障诊断（停机/通讯中断/预警/低效），≥9 类低效根因识别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故障识别 ≥97%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组串诊断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支路故障检测（环境关联+滑动窗口+虚假电流排除），低效预警（固定遮挡/灰尘鸟粪/接线盒/外力破坏）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无人机巡检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全域实景建模，双光谱（热红外+可见光），AI 识别 9 种缺陷类型，异常点位实时定位导航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缺陷识别 ≥97%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应发电量评估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趋势分析 + PR 分析（实际 vs 修正）+ 损失分解（各类电量损失追踪整改）+ 损耗分析（设备节点损耗占比）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58"/>
    <w:bookmarkStart w:id="59" w:name="X3b6b9fe0c72e3c810cf2e688741fd658309fa4c"/>
    <w:p>
      <w:pPr>
        <w:pStyle w:val="Heading4"/>
      </w:pPr>
      <w:r>
        <w:t xml:space="preserve">4.4.3 输电线路智能运维（F4.4）</w:t>
      </w:r>
    </w:p>
    <w:p>
      <w:pPr>
        <w:pStyle w:val="FirstParagraph"/>
      </w:pPr>
      <w:r>
        <w:t xml:space="preserve">AI 视觉识别通道隐患——挖掘机/吊车/塔吊等机械外破、山火/烟雾/漂浮物等环境隐患。识别结果自动生成隐患台账，高风险区段主动弹窗推送至设备主人和运维班组。</w:t>
      </w:r>
    </w:p>
    <w:bookmarkEnd w:id="59"/>
    <w:bookmarkStart w:id="60" w:name="X66832f0750cbc32446bbdf095d5a48970934370"/>
    <w:p>
      <w:pPr>
        <w:pStyle w:val="Heading4"/>
      </w:pPr>
      <w:r>
        <w:t xml:space="preserve">4.4.4 储能区智能运维（F4.5）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模块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核心能力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内短路预警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基于出厂参数+运行历史+安全阈值，计算内短路电阻，划分无/低/中/高四级风险，1 分钟全量评估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热失控预警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电芯电压+温度实时比对阈值，结合变化趋势综合分级（无异常/异常/隐患/严重风险），1 分钟评估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一致性分析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模块/簇/阵列内单体电压温度统计分析，一致性排名，筛选一致性差单元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周界安防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24h 全天候入侵监测（不受雨/雾/强光影响），分级报警推送，联动声光+照明+抓拍录像+门禁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人员行为识别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未戴安全帽/未穿工装/越界/闯入操作区/吸烟自动识别，同步告警推送</w:t>
            </w:r>
          </w:p>
        </w:tc>
      </w:tr>
    </w:tbl>
    <w:bookmarkEnd w:id="60"/>
    <w:bookmarkStart w:id="61" w:name="X519442bb82e5d95be2d982350eeb937bc892ed0"/>
    <w:p>
      <w:pPr>
        <w:pStyle w:val="Heading4"/>
      </w:pPr>
      <w:r>
        <w:t xml:space="preserve">4.4.5 运维任务管理（F4.6）</w:t>
      </w:r>
    </w:p>
    <w:p>
      <w:pPr>
        <w:pStyle w:val="FirstParagraph"/>
      </w:pPr>
      <w:r>
        <w:t xml:space="preserve">覆盖例行运维、特殊巡视（恶劣天气后/新设备投入/检修后）、专项运维、自定义运维四类任务。支持自动触发、手动触发、定时触发三种启动方式。任务执行过程实时展示——树形/列表呈现当前任务，颜色标识状态（待执行/执行中/暂停/已完成/异常），支持断点续传。</w:t>
      </w:r>
    </w:p>
    <w:p>
      <w:pPr>
        <w:pStyle w:val="BodyText"/>
      </w:pPr>
      <w:r>
        <w:t xml:space="preserve">告警→工单闭环流程：AI 或规则触发告警 → 自动或人工派单 → 现场处置 → 结果回传 → 审核确认 → 关闭归档。告警确认包含设备名称/部件/实物 ID/缺陷类别/告警等级/标注图像，审核修正不覆盖原始数据，审核人与时间全记录。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AI as AI引擎/规则引擎</w:t>
      </w:r>
      <w:r>
        <w:br/>
      </w:r>
      <w:r>
        <w:rPr>
          <w:rStyle w:val="VerbatimChar"/>
        </w:rPr>
        <w:t xml:space="preserve">    participant WO as 工单中心</w:t>
      </w:r>
      <w:r>
        <w:br/>
      </w:r>
      <w:r>
        <w:rPr>
          <w:rStyle w:val="VerbatimChar"/>
        </w:rPr>
        <w:t xml:space="preserve">    participant OP as 运维人员</w:t>
      </w:r>
      <w:r>
        <w:br/>
      </w:r>
      <w:r>
        <w:rPr>
          <w:rStyle w:val="VerbatimChar"/>
        </w:rPr>
        <w:t xml:space="preserve">    participant RV as 审核人</w:t>
      </w:r>
      <w:r>
        <w:br/>
      </w:r>
      <w:r>
        <w:rPr>
          <w:rStyle w:val="VerbatimChar"/>
        </w:rPr>
        <w:t xml:space="preserve">    AI-&gt;&gt;WO: 告警触发（等级+设备+图像）</w:t>
      </w:r>
      <w:r>
        <w:br/>
      </w:r>
      <w:r>
        <w:rPr>
          <w:rStyle w:val="VerbatimChar"/>
        </w:rPr>
        <w:t xml:space="preserve">    WO-&gt;&gt;OP: 自动派单（类型+班组+时限）</w:t>
      </w:r>
      <w:r>
        <w:br/>
      </w:r>
      <w:r>
        <w:rPr>
          <w:rStyle w:val="VerbatimChar"/>
        </w:rPr>
        <w:t xml:space="preserve">    OP-&gt;&gt;OP: 现场处置（拍照+记录）</w:t>
      </w:r>
      <w:r>
        <w:br/>
      </w:r>
      <w:r>
        <w:rPr>
          <w:rStyle w:val="VerbatimChar"/>
        </w:rPr>
        <w:t xml:space="preserve">    OP-&gt;&gt;WO: 结果回传（处置结果+图像）</w:t>
      </w:r>
      <w:r>
        <w:br/>
      </w:r>
      <w:r>
        <w:rPr>
          <w:rStyle w:val="VerbatimChar"/>
        </w:rPr>
        <w:t xml:space="preserve">    WO-&gt;&gt;RV: 提交待审核</w:t>
      </w:r>
      <w:r>
        <w:br/>
      </w:r>
      <w:r>
        <w:rPr>
          <w:rStyle w:val="VerbatimChar"/>
        </w:rPr>
        <w:t xml:space="preserve">    RV-&gt;&gt;RV: 复核+修正（不覆盖原始数据）</w:t>
      </w:r>
      <w:r>
        <w:br/>
      </w:r>
      <w:r>
        <w:rPr>
          <w:rStyle w:val="VerbatimChar"/>
        </w:rPr>
        <w:t xml:space="preserve">    RV-&gt;&gt;WO: 审核通过</w:t>
      </w:r>
      <w:r>
        <w:br/>
      </w:r>
      <w:r>
        <w:rPr>
          <w:rStyle w:val="VerbatimChar"/>
        </w:rPr>
        <w:t xml:space="preserve">    WO-&gt;&gt;WO: 关闭归档（全流程日志入库）</w:t>
      </w:r>
    </w:p>
    <w:bookmarkEnd w:id="61"/>
    <w:bookmarkEnd w:id="62"/>
    <w:bookmarkStart w:id="66" w:name="X517db4ba83502d52538d3313829e98f8dc0254f"/>
    <w:p>
      <w:pPr>
        <w:pStyle w:val="Heading3"/>
      </w:pPr>
      <w:r>
        <w:t xml:space="preserve">4.5 数字运维管理平台（F5）</w:t>
      </w:r>
    </w:p>
    <w:p>
      <w:pPr>
        <w:pStyle w:val="BlockText"/>
      </w:pPr>
      <w:r>
        <w:rPr>
          <w:bCs/>
          <w:b/>
        </w:rPr>
        <w:t xml:space="preserve">客户价值</w:t>
      </w:r>
      <w:r>
        <w:t xml:space="preserve">：一张图管全场。三级监控（全场站→区域→设备）逐层下钻，360° 无死角；智能诊断从海量测点中自动定位根因，让运维团队从"凭经验排查"升级为"数据驱动决策"。</w:t>
      </w:r>
    </w:p>
    <w:bookmarkStart w:id="63" w:name="X208127e6b47ea5f32a5b8b25423ae82f392d0be"/>
    <w:p>
      <w:pPr>
        <w:pStyle w:val="Heading4"/>
      </w:pPr>
      <w:r>
        <w:t xml:space="preserve">4.5.1 360° 实时监控（F5.1）</w:t>
      </w:r>
    </w:p>
    <w:p>
      <w:pPr>
        <w:pStyle w:val="FirstParagraph"/>
      </w:pPr>
      <w:r>
        <w:t xml:space="preserve">三级监控体系：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全局监视</w:t>
      </w:r>
      <w:r>
        <w:t xml:space="preserve">：电站数量/接入容量/逆变器数/实时功率/日月年发电量/利用小时数——一张图看全场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单站监视</w:t>
      </w:r>
      <w:r>
        <w:t xml:space="preserve">：电站状态/装机容量/天气/设备在线状态——一键下钻到具体场站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设备监视</w:t>
      </w:r>
      <w:r>
        <w:t xml:space="preserve">：箱变/逆变器/汇流箱/电表/环境检测仪——逐设备查看实时运行数据</w:t>
      </w:r>
    </w:p>
    <w:bookmarkEnd w:id="63"/>
    <w:bookmarkStart w:id="64" w:name="Xf9e87dfd9bf258ef228b811e3b8866cd1efc61f"/>
    <w:p>
      <w:pPr>
        <w:pStyle w:val="Heading4"/>
      </w:pPr>
      <w:r>
        <w:t xml:space="preserve">4.5.2 智能 AI 诊断（F5.2）</w:t>
      </w:r>
    </w:p>
    <w:p>
      <w:pPr>
        <w:pStyle w:val="FirstParagraph"/>
      </w:pPr>
      <w:r>
        <w:t xml:space="preserve">多维度实时告警（电站/升压站/集电线/方阵/设备），告警自动关联时序曲线，辅助快速定位故障时间。支持手动派单和自动派单两种模式——自动派单根据告警类型和等级自动匹配运维班组。工单从创建到关闭全生命周期追踪。</w:t>
      </w:r>
    </w:p>
    <w:bookmarkEnd w:id="64"/>
    <w:bookmarkStart w:id="65" w:name="X5240784b80ea2930386390060c891ab9e0b8809"/>
    <w:p>
      <w:pPr>
        <w:pStyle w:val="Heading4"/>
      </w:pPr>
      <w:r>
        <w:t xml:space="preserve">4.5.3 智慧运维门户（F5.3）</w:t>
      </w:r>
    </w:p>
    <w:p>
      <w:pPr>
        <w:pStyle w:val="FirstParagraph"/>
      </w:pPr>
      <w:r>
        <w:t xml:space="preserve">个人工作台——待办任务、值班日历、发电趋势、发电完成率一目了然。任务中心涵盖缺陷处理、故障检修、清洗、除草、预防试验、EL-IV 检测等各类工单。两票管理（工作票/操作票）线上化，自动关联风险项和安全措施。值班管理覆盖排班、交接班、值班日志。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7" w:name="第五章-系统非功能特性"/>
    <w:p>
      <w:pPr>
        <w:pStyle w:val="Heading2"/>
      </w:pPr>
      <w:r>
        <w:t xml:space="preserve">第五章 系统非功能特性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：先进性最终要落到"承诺—验证"上。本章把 34 项非功能指标逐条变成可测量、可验收的工程承诺——每一项都有技术手段支撑，每一项都可以在 UAT 中量化验证。</w:t>
      </w:r>
    </w:p>
    <w:bookmarkStart w:id="73" w:name="Xbeacbc64d6a5d06e9e4773aefd1199324573ab4"/>
    <w:p>
      <w:pPr>
        <w:pStyle w:val="Heading3"/>
      </w:pPr>
      <w:r>
        <w:t xml:space="preserve">5.1 性能指标承诺</w:t>
      </w:r>
    </w:p>
    <w:p>
      <w:pPr>
        <w:pStyle w:val="FirstParagraph"/>
      </w:pPr>
      <w:r>
        <w:t xml:space="preserve">依据技术规范 §5.3 的 34 项非功能指标，以下逐项承接架构关键指标（P1-P26 含接口指标 I1-I5，完整 34 项清单与可行性评估见附录 E）：</w:t>
      </w:r>
    </w:p>
    <w:bookmarkStart w:id="68" w:name="平台整体性能"/>
    <w:p>
      <w:pPr>
        <w:pStyle w:val="Heading4"/>
      </w:pPr>
      <w:r>
        <w:t xml:space="preserve">平台整体性能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指标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承诺值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验证方式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并发用户数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≥500 已认证会话，≥50 活跃操作/秒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JMeter/Locust 全链路压测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历史数据规模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 亿级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ClickHouse 单表 1 亿行 × 时间分区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实时测点规模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≥32 分区 + 批量写入，100 万条/s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实时数据更新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数据管线 ≤1s，含渲染 ≤3s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端到端链路追踪（SkyWalking）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历史数据查询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≤5s（含聚合查询）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物化视图预聚合 + 索引优化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图片存储规模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 万张（约 4TB）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对象存储 + 缩略图分层</w:t>
            </w:r>
          </w:p>
        </w:tc>
      </w:tr>
    </w:tbl>
    <w:bookmarkEnd w:id="68"/>
    <w:bookmarkStart w:id="69" w:name="协同优化与透明场站"/>
    <w:p>
      <w:pPr>
        <w:pStyle w:val="Heading4"/>
      </w:pPr>
      <w:r>
        <w:t xml:space="preserve">协同优化与透明场站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指标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承诺值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调频优化偏差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±1% 额定功率，FAT 阶跃测试验证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P8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测频精度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≤0.003Hz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P9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频率采样周期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≤100ms（GOOSE 协议）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遥测接入量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≥300 万点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P11-P12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通信节点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 个（稳态）+ ≥100 个（暂态，支持分布式扩展）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1kHz 采集精度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电流 ≤0.2% / 电压 ≤0.2% / 有功 ≤0.5% / 无功 ≤0.5%（依赖前端采集装置，软件取数不控数）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P20-P22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透明场站延迟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数据采集 ≤3s / 单机评价 ≤10s / 场站评价 ≤30s / 报告 ≤20s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P23-P26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输电线路指标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 用户 / ≥300 视频终端+≥1000 监测终端 / 告警准确率 ≥95% / 业务查询 ≤3s</w:t>
            </w:r>
          </w:p>
        </w:tc>
      </w:tr>
    </w:tbl>
    <w:bookmarkEnd w:id="69"/>
    <w:bookmarkStart w:id="70" w:name="ai-性能"/>
    <w:p>
      <w:pPr>
        <w:pStyle w:val="Heading4"/>
      </w:pPr>
      <w:r>
        <w:t xml:space="preserve">AI 性能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指标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一期承诺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优化目标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≥80%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≥90%（二期）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误检率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≤30%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≤15%（交付后 6 个月）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单次推理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&lt;500ms（GPU）/ &lt;1s（CPU fallback）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光伏故障识别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≥97%（限定 9 种缺陷类型，双光谱）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输电线路告警准确率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≥95%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70"/>
    <w:bookmarkStart w:id="72" w:name="分层-sla"/>
    <w:p>
      <w:pPr>
        <w:pStyle w:val="Heading4"/>
      </w:pPr>
      <w:r>
        <w:t xml:space="preserve">分层 SLA</w:t>
      </w:r>
    </w:p>
    <w:p>
      <w:pPr>
        <w:pStyle w:val="BlockText"/>
      </w:pPr>
      <w:r>
        <w:t xml:space="preserve">分层 SLA 定义同 §2.3 核心指标承接——L0 暂态 ≤100ms / L1 实时 ≤1s / L2 近实时（含渲染）≤3s / L3 历史 ≤5s，此处不重复。</w:t>
      </w:r>
    </w:p>
    <w:p>
      <w:pPr>
        <w:pStyle w:val="FirstParagraph"/>
      </w:pPr>
      <w:r>
        <w:drawing>
          <wp:inline>
            <wp:extent cx="3441700" cy="24257000"/>
            <wp:effectExtent b="0" l="0" r="0" t="0"/>
            <wp:docPr descr="图5-1：四层SLA延迟预算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425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图5-1：四层SLA延迟预算</w:t>
      </w:r>
    </w:p>
    <w:p>
      <w:pPr>
        <w:pStyle w:val="BlockText"/>
      </w:pPr>
      <w:r>
        <w:t xml:space="preserve">图 5-1：四层 SLA 延迟预算——从毫秒级暂态控制到秒级历史查询，每层独立通道、独立验收</w:t>
      </w:r>
    </w:p>
    <w:bookmarkEnd w:id="72"/>
    <w:bookmarkEnd w:id="73"/>
    <w:bookmarkStart w:id="74" w:name="Xc69032118073e7adf077b8c36a1b13a85e08f79"/>
    <w:p>
      <w:pPr>
        <w:pStyle w:val="Heading3"/>
      </w:pPr>
      <w:r>
        <w:t xml:space="preserve">5.2 可靠性设计</w:t>
      </w:r>
    </w:p>
    <w:p>
      <w:pPr>
        <w:pStyle w:val="FirstParagraph"/>
      </w:pPr>
      <w:r>
        <w:t xml:space="preserve">MTBF ≥10,000h 的架构保障：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保障措施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实现方式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N+1 冗余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关键组件（Kafka Broker、API Gateway、Redis Sentinel）至少 N+1 部署，单节点故障不中断服务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故障自动切换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Redis Sentinel 主从自动切换（&lt;30s），Nacos 服务健康检查 + 自动摘除不健康节点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数据多副本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副本因子 ≥3，ClickHouse 副本表，PostgreSQL 流复制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断网自持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场站边缘断网后本地 Redis 缓存 + 本地 SQLite 暂存 ≥2h，网络恢复后自动补传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MTBF 统计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 持续采集各组件运行时长，故障事件自动记录（时间/组件/影响/恢复），质保期内统计至期末达 ≥10,000h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bookmarkEnd w:id="74"/>
    <w:bookmarkStart w:id="75" w:name="X7f1dfa6ca283e60398a790cf6b2669cbbd0d477"/>
    <w:p>
      <w:pPr>
        <w:pStyle w:val="Heading3"/>
      </w:pPr>
      <w:r>
        <w:t xml:space="preserve">5.3 安全性</w:t>
      </w:r>
    </w:p>
    <w:p>
      <w:pPr>
        <w:pStyle w:val="FirstParagraph"/>
      </w:pPr>
      <w:r>
        <w:t xml:space="preserve">等保二级合规体系已在 §3.4 安全架构中详述，此处不重复。关键设计原则：</w:t>
      </w:r>
    </w:p>
    <w:p>
      <w:pPr>
        <w:numPr>
          <w:ilvl w:val="0"/>
          <w:numId w:val="1008"/>
        </w:numPr>
        <w:pStyle w:val="Compact"/>
      </w:pPr>
      <w:r>
        <w:t xml:space="preserve">安全 I/II/III 区物理/逻辑隔离，GOOSE 仅 I 区闭环</w:t>
      </w:r>
    </w:p>
    <w:p>
      <w:pPr>
        <w:numPr>
          <w:ilvl w:val="0"/>
          <w:numId w:val="1008"/>
        </w:numPr>
        <w:pStyle w:val="Compact"/>
      </w:pPr>
      <w:r>
        <w:t xml:space="preserve">正向隔离装置（I↔II 区）+ 防火墙（II↔III 区）</w:t>
      </w:r>
    </w:p>
    <w:p>
      <w:pPr>
        <w:numPr>
          <w:ilvl w:val="0"/>
          <w:numId w:val="1008"/>
        </w:numPr>
        <w:pStyle w:val="Compact"/>
      </w:pPr>
      <w:r>
        <w:t xml:space="preserve">全量操作审计日志，独立审计库，保留 ≥6 个月，不可篡改</w:t>
      </w:r>
    </w:p>
    <w:p>
      <w:pPr>
        <w:numPr>
          <w:ilvl w:val="0"/>
          <w:numId w:val="1008"/>
        </w:numPr>
        <w:pStyle w:val="Compact"/>
      </w:pPr>
      <w:r>
        <w:t xml:space="preserve">TLS 1.3 传输加密 + AES-256 存储加密（敏感字段）</w:t>
      </w:r>
    </w:p>
    <w:bookmarkEnd w:id="75"/>
    <w:bookmarkStart w:id="76" w:name="X812fa6bc05a1a117e27c9a9a666af406b1f2778"/>
    <w:p>
      <w:pPr>
        <w:pStyle w:val="Heading3"/>
      </w:pPr>
      <w:r>
        <w:t xml:space="preserve">5.4 可扩展性与开发者生态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扩展方向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设计保障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多场站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station_id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一期预留，二期逻辑多租户，不加字段不改 API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新业务模块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低代码组态（F1.1.4），普通技术人员可配置页面/定义模型/编排工作流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第三方集成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/api/v1/objects/{id}/*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标准 RESTful 接口，Python/Matlab/C++ 多语言 SDK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AI 模型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新模型注册元数据后即插即用，无需修改数据管线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数据接入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采集适配器插件化架构，新增协议 = 新增一个插件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3" w:name="第六章-项目实施计划"/>
    <w:p>
      <w:pPr>
        <w:pStyle w:val="Heading2"/>
      </w:pPr>
      <w:r>
        <w:t xml:space="preserve">第六章 项目实施计划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：4 个月、三阶段、四里程碑——底座先行降低集成风险，业务渐进保证可演示，联调上线确保可验收。每一阶段的交付物都是可独立运行、可演示验证的最小可用产品。</w:t>
      </w:r>
    </w:p>
    <w:bookmarkStart w:id="78" w:name="X4db4418d2d92fc121e78cd1e6d305036403a103"/>
    <w:p>
      <w:pPr>
        <w:pStyle w:val="Heading3"/>
      </w:pPr>
      <w:r>
        <w:t xml:space="preserve">6.1 分阶段交付（4 个月）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阶段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周期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交付内容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里程碑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一阶段：平台底座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第 1-2 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底座部署、统一采集适配器、Kafka+ClickHouse+PostgreSQL 数据平台、F1.2 三维可视化基础场景（风机+光伏+储能）、F5.1 360° 实时监控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M1：平台底座可用，实时数据链路打通，百万测点接入验证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二阶段：核心业务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第 2-3 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 功率协同优化、F3 构网型透明场站、F4 智能运维（升压站+光伏+输电+储能）、F5.2-F5.3 智能诊断+运维门户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M2：核心业务模块上线，三维可视化全场景可用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三阶段：联调上线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第 3-4 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 增强功能、全功能联调、性能压测（500 并发/百万测点写入/&lt;100ms GOOSE）、UAT 测试、等保测评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M3：全功能联调完成，UAT 通过</w:t>
            </w:r>
          </w:p>
        </w:tc>
      </w:tr>
    </w:tbl>
    <w:bookmarkEnd w:id="78"/>
    <w:bookmarkStart w:id="80" w:name="X64f81a388595ddf84b57afd54878c0f12edd0f1"/>
    <w:p>
      <w:pPr>
        <w:pStyle w:val="Heading3"/>
      </w:pPr>
      <w:r>
        <w:t xml:space="preserve">6.2 里程碑与验收标准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里程碑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时间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验收标准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M1 平台底座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百万测点实时接入，数据管线 ≤1s，Kafka 吞吐量 ≥100 万条/s 验证通过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M2 核心业务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F2/F3/F4 核心模块可操作，三维可视化覆盖风机/光伏/储能/巡检四大场景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M3 联调完成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全功能联调通过，性能压测全部达标（500 并发/1s 延迟/GOOSE 100ms）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M4 正式上线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月末 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系统上线运行，UAT 通过，等保测评通过，全部验收文档交付</w:t>
            </w:r>
          </w:p>
        </w:tc>
      </w:tr>
    </w:tbl>
    <w:p>
      <w:pPr>
        <w:pStyle w:val="BodyText"/>
      </w:pPr>
      <w:r>
        <w:drawing>
          <wp:inline>
            <wp:extent cx="5486400" cy="1909118"/>
            <wp:effectExtent b="0" l="0" r="0" t="0"/>
            <wp:docPr descr="图6-1：项目实施甘特图——4个月三阶段四里程碑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图6-1：项目实施甘特图——4个月三阶段四里程碑</w:t>
      </w:r>
    </w:p>
    <w:p>
      <w:pPr>
        <w:pStyle w:val="BlockText"/>
      </w:pPr>
      <w:r>
        <w:t xml:space="preserve">图 6-1：项目实施甘特图——底座先行(1-2月) → 业务渐进(2-3月) → 联调上线(3-4月)</w:t>
      </w:r>
    </w:p>
    <w:bookmarkEnd w:id="80"/>
    <w:bookmarkStart w:id="81" w:name="X939adbb47afe7c37a3790862a8c9f33e75aeef0"/>
    <w:p>
      <w:pPr>
        <w:pStyle w:val="Heading3"/>
      </w:pPr>
      <w:r>
        <w:t xml:space="preserve">6.3 团队配置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角色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人数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关键能力要求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架构师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电力二次系统 + 大数据架构，熟悉安全分区和 IEC 61850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后端工程师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Java/Go，Kafka/ClickHouse/PostgreSQL，微服务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前端工程师（三维）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Cesium + Three.js + WebGL，三维可视化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工程师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PyTorch/ONNX，CV 巡检模型训练与部署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电力协议工程师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IEC104/Modbus/GOOSE/IEC 61850 工程经验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测试工程师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性能压测（JMeter/Locust）+ 自动化测试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项目经理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 IT 项目管理经验</w:t>
            </w:r>
          </w:p>
        </w:tc>
      </w:tr>
    </w:tbl>
    <w:bookmarkEnd w:id="81"/>
    <w:bookmarkStart w:id="82" w:name="Xc8efb5ab733f81c8b02eb3c59a192d1b2fc205f"/>
    <w:p>
      <w:pPr>
        <w:pStyle w:val="Heading3"/>
      </w:pPr>
      <w:r>
        <w:t xml:space="preserve">6.4 团队能力背书</w:t>
      </w:r>
    </w:p>
    <w:p>
      <w:pPr>
        <w:pStyle w:val="FirstParagraph"/>
      </w:pPr>
      <w:r>
        <w:t xml:space="preserve">本项目横跨电力二次系统、实时大数据、三维 GIS、数字孪生和工业 AI 五个技术域，对团队的技术纵深和跨域整合能力要求极高。以下四项核心能力的长期积累，构成了本方案落地的工程保障：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能力域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积累年限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与项目的直接关联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产品设计与规划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30+ 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新能源场站涉及风机、光伏、储能、升压站、输电线路五类异构资产，产品架构需在设备多样性中抽象出统一的空间对象模型。30 年产品经验意味着经历过三代以上电力 IT 架构演进——从 C/S 到 B/S、从单体到微服务、从二维组态到三维数字孪生——能够准确判断架构边界，避免过度设计和推倒重来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GIS 构建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20+ 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本方案的核心差异化能力是 USDF 统一空间数据底座——一切数据按空间对象组织、按统一空间参照注册。20 年 GIS 经验意味着熟悉从 ArcGIS/超图引擎到开源 GeoServer/Cesium 的全技术栈选型与集成，能够在多源异构投影系转换、海量矢量/瓦片发布、三维地形与倾斜摄影融合等关键环节做出正确工程决策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数字孪生平台研发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20+ 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三维数字孪生不仅是可视化展示，更要求空间对象与实时数据的双向绑定——点击风机对象即获取实时功率、振动频谱、历史缺陷记录。20 年数字孪生经验意味着经历过从 CAD→BIM→GIS+IoT→Cesium/WebGL 四代可视化技术迭代，能够精准定义孪生体的属性模型、行为模型和更新策略，而非堆砌模型面片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算法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20+ 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项目涉及 CV 视觉巡检（烟火识别/通道隐患/光伏缺陷）、构网型性能评价、功率预测与协同优化三类算法场景。20 年算法经验意味着熟悉从传统统计模型到深度学习的全谱系方法，能够针对不同场景选择最优算法策略——边缘端轻量 ONNX 推理、中心端 GPU 批量推理、以及模型漂移检测与在线更新闭环</w:t>
            </w:r>
          </w:p>
        </w:tc>
      </w:tr>
    </w:tbl>
    <w:p>
      <w:pPr>
        <w:pStyle w:val="BodyText"/>
      </w:pPr>
      <w:r>
        <w:t xml:space="preserve">四项能力叠加形成本团队的独特优势：</w:t>
      </w:r>
      <w:r>
        <w:rPr>
          <w:bCs/>
          <w:b/>
        </w:rPr>
        <w:t xml:space="preserve">既懂电力业务（协议/GIS/孪生），又懂数据工程（百万测点/实时管线/AI 推理）</w:t>
      </w:r>
      <w:r>
        <w:t xml:space="preserve">——这正是本项目"从指标反推架构"方法论所要求的交叉能力密度。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第七章-风险管控"/>
    <w:p>
      <w:pPr>
        <w:pStyle w:val="Heading2"/>
      </w:pPr>
      <w:r>
        <w:t xml:space="preserve">第七章 风险管控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：18 项风险全部前置识别、逐项缓解。核心结论——5 项阻断级风险均为"范围定义 / 团队能力"类，可通过合同边界与团队配置化解，无纯技术阻断。本章的可靠性在于：不回避、不淡化、每一项风险都有可操作的缓解方案。</w:t>
      </w:r>
    </w:p>
    <w:bookmarkStart w:id="84" w:name="Xab1ccdc9392d163ba23421b615f04c7fec47dcb"/>
    <w:p>
      <w:pPr>
        <w:pStyle w:val="Heading3"/>
      </w:pPr>
      <w:r>
        <w:t xml:space="preserve">7.1 技术风险（8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风险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等级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缓解措施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百万测点写入瓶颈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≥32 分区 + ClickHouse 列存 + 批量写入；P0 阶段优先验证写入性能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500 并发定义模糊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三层并发模型（认证/操作/渲染）写入合同附件，分层定 SLA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暂态通信 100 节点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网络专项设计（VLAN 隔离/链路冗余/交换机选型）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误检率 30%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优化路线图 30%→15%，无效告警过滤机制，人机协同标注闭环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端到端 ≤1s 含渲染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分层 SLA 承诺——数据管线 ≤1s（后端），含渲染 ≤3s（前端）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仿真模块未评估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仿真验证为独立子系统，不纳入本期交付范围（方案书已明确）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1kHz 采集精度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软件取数不控数，方案书明确「本系统取用前端采集装置数据」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RT8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 万张图片存储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NAS 对象存储 + 缩略图分层 + 元数据索引</w:t>
            </w:r>
          </w:p>
        </w:tc>
      </w:tr>
    </w:tbl>
    <w:bookmarkEnd w:id="84"/>
    <w:bookmarkStart w:id="85" w:name="Xd9db82449c6e244110117cc6b9264894a57673a"/>
    <w:p>
      <w:pPr>
        <w:pStyle w:val="Heading3"/>
      </w:pPr>
      <w:r>
        <w:t xml:space="preserve">7.2 业务风险（5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风险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等级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缓解措施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并发/实时性定义模糊致验收争议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可测量语言重定义，写入合同附件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仿真模块遗漏致报价漏项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方案书明确「F6 仿真验证不在本期范围」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指标不达标致验收失败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方案书设基线 + 优化目标，模型迭代条款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采集精度责任归属纠纷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「本系统采集精度受限于前端装置」，验收以装置出厂报告为准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RB5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 验收周期不可行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约定质保期内持续统计，期末达标，非交付时验收</w:t>
            </w:r>
          </w:p>
        </w:tc>
      </w:tr>
    </w:tbl>
    <w:bookmarkEnd w:id="85"/>
    <w:bookmarkStart w:id="87" w:name="Xab3f56578a3ee231c9439803e7b9d8bab86ef7f"/>
    <w:p>
      <w:pPr>
        <w:pStyle w:val="Heading3"/>
      </w:pPr>
      <w:r>
        <w:t xml:space="preserve">7.3 实施风险（5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风险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等级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缓解措施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仿真模块团队能力缺口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仿真不在本期范围，不占用团队资源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协议集成复杂度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团队至少 1 人具备 IEC 61850 工程经验，预留 2-3 轮现场联调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百万测点接入工期压力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优先核心测点（风机+逆变器+储能），非核心测点二期补全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500 并发压测环境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预留预生产环境部署时间，压测脚本提前开发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Python+Matlab 双语言 SDK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优先 Python SDK，Matlab 用 Python 桥接（matlab.engine）</w:t>
            </w:r>
          </w:p>
        </w:tc>
      </w:tr>
    </w:tbl>
    <w:p>
      <w:pPr>
        <w:pStyle w:val="BodyText"/>
      </w:pPr>
      <w:r>
        <w:drawing>
          <wp:inline>
            <wp:extent cx="5486400" cy="1005531"/>
            <wp:effectExtent b="0" l="0" r="0" t="0"/>
            <wp:docPr descr="图7-1：风险热力图——18项风险三维度三色等级分布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图7-1：风险热力图——18项风险三维度三色等级分布</w:t>
      </w:r>
    </w:p>
    <w:p>
      <w:pPr>
        <w:pStyle w:val="BlockText"/>
      </w:pPr>
      <w:r>
        <w:t xml:space="preserve">图 7-1：风险热力图——18 项风险按技术/业务/实施三维度 × 三色等级分布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第八章-报价与服务"/>
    <w:p>
      <w:pPr>
        <w:pStyle w:val="Heading2"/>
      </w:pPr>
      <w:r>
        <w:t xml:space="preserve">第八章 报价与服务</w:t>
      </w:r>
    </w:p>
    <w:p>
      <w:pPr>
        <w:pStyle w:val="BlockText"/>
      </w:pPr>
      <w:r>
        <w:rPr>
          <w:bCs/>
          <w:b/>
        </w:rPr>
        <w:t xml:space="preserve">本章导读</w:t>
      </w:r>
      <w:r>
        <w:t xml:space="preserve">：总价 220 万元，每一分钱都对应明确交付物。横向对比同类全栈平台（410–450 万）具备显著性价比优势——开源技术栈零商业许可费、单场站试点控制范围、无仿真验证系统是三大价差来源。同时明确承诺驻场运维响应时间，让客户买得清楚、用得放心。</w:t>
      </w:r>
    </w:p>
    <w:bookmarkStart w:id="91" w:name="X5320a1fc92d632b3dd4872f6ed1a44e9704b65e"/>
    <w:p>
      <w:pPr>
        <w:pStyle w:val="Heading3"/>
      </w:pPr>
      <w:r>
        <w:t xml:space="preserve">8.1 项目报价</w:t>
      </w:r>
    </w:p>
    <w:p>
      <w:pPr>
        <w:pStyle w:val="BlockText"/>
      </w:pPr>
      <w:r>
        <w:t xml:space="preserve">总价 220 万元（客户预算），按难度和成本综合分配如下。金额依据：电力行业人月费率基准（CSBMK®-202510 / DL/T 2015-2019，中级 3.6-4.3 万/月、高级 4.7-5.2 万/月），三维建模参照南方电网 2025 年同类招标（144.50 万/全量建模），数字孪生参照龙源电力 2025 年招标（410–450 万/全栈平台）。本报价较同类全栈平台偏低，原因：一期为单场站试点、不含仿真验证系统、全部采用开源技术栈零商业许可费。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序号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报价项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金额（万元）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软件平台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USDF 底座 + F1-F5 业务系统永久许可（含低代码组态平台）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定制开发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需求分析/设计/编码/测试，10 人 × 4 月（部分角色非全时，有效工作量约 28 人月，人员配置见 §6.3），含项目管理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93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三维建模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风机/光伏厂区/储能电池舱/升压站三维模型制作（设备级 LOD3，不含地形全域建模）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40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GIS 数据服务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场站及周边无人机航测（正射影像 + DEM）+ GIS 数据配准与入库，覆盖约 10 km²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硬件设备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2×GPU 推理服务器 + 2×应用服务器 + 网络设备 + 正向隔离装置 + 防火墙（基础配置参考 §8.1.1，高配可选不计入本报价）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28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实施与培训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现场部署联调（2-3 轮）+ 用户培训（3 天 × 2 批）+ 试运行支持（1 个月）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运维质保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 年质保期（远程技术支持 + 版本升级 + 紧急现场响应）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合计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Cs/>
                <w:b/>
                <w:sz w:val="18"/>
              </w:rPr>
              <w:t xml:space="preserve">220</w:t>
            </w:r>
          </w:p>
        </w:tc>
      </w:tr>
    </w:tbl>
    <w:bookmarkStart w:id="90" w:name="Xd9ceed0f6f84da6aba84adbcb10269e72f69e8f"/>
    <w:p>
      <w:pPr>
        <w:pStyle w:val="Heading4"/>
      </w:pPr>
      <w:r>
        <w:t xml:space="preserve">8.1.1 硬件参考配置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设备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数量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参考配置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用途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GPU 推理服务器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双路 CPU ≥32 核，≥256GB RAM，NVIDIA RTX A6000 Ada ×1（48GB），≥4TB NVMe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 II 区 CV 推理（烟火/通道/行为识别）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应用服务器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双路 CPU ≥32 核，≥256GB RAM，≥2×3.84TB NVMe SSD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Broker + 业务微服务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交换机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三层网管，≥24 口千兆 + ≥4 口万兆 SFP+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场站内网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正向隔离装置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电力专用，I↔II 区物理单向隔离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安全分区合规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防火墙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NGFW，吞吐量 ≥1Gbps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II↔III 区逻辑隔离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纵向加密认证装置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电力专用，场站-中心云通信链路纵向加密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纵向安全防护（电监会 5 号令要求）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报价说明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以上报价不含仿真验证管理系统（F6，独立子系统，16 项功能全部不在本期范围）</w:t>
      </w:r>
    </w:p>
    <w:p>
      <w:pPr>
        <w:numPr>
          <w:ilvl w:val="0"/>
          <w:numId w:val="1009"/>
        </w:numPr>
        <w:pStyle w:val="Compact"/>
      </w:pPr>
      <w:r>
        <w:t xml:space="preserve">软件平台（报价项 1）为单场站永久许可，不限用户数，涵盖 USDF 底座 + F1-F5 全部功能模块（详见第四章），含低代码组态平台及预置 20+ 模板。质保期内免费小版本升级，大版本升级费用另议</w:t>
      </w:r>
    </w:p>
    <w:p>
      <w:pPr>
        <w:numPr>
          <w:ilvl w:val="0"/>
          <w:numId w:val="1009"/>
        </w:numPr>
        <w:pStyle w:val="Compact"/>
      </w:pPr>
      <w:r>
        <w:t xml:space="preserve">不含场站侧一次设备（风机/光伏组件/储能电池/PCS/SVG）采购</w:t>
      </w:r>
    </w:p>
    <w:p>
      <w:pPr>
        <w:numPr>
          <w:ilvl w:val="0"/>
          <w:numId w:val="1009"/>
        </w:numPr>
        <w:pStyle w:val="Compact"/>
      </w:pPr>
      <w:r>
        <w:t xml:space="preserve">不含第三方商业软件许可——本方案全部采用开源技术栈（GeoServer / ClickHouse / Kafka / ZLMediaKit / PyTorch / ONNX Runtime），零商业许可费。若客户后期要求国产 GIS（超图）或国产时序库（TDengine），许可费另计</w:t>
      </w:r>
    </w:p>
    <w:p>
      <w:pPr>
        <w:numPr>
          <w:ilvl w:val="0"/>
          <w:numId w:val="1009"/>
        </w:numPr>
        <w:pStyle w:val="Compact"/>
      </w:pPr>
      <w:r>
        <w:t xml:space="preserve">三维建模含 5 类关键设备（风机/光伏组件/储能电池舱/升压站主要设备/输电杆塔），设备级精度（LOD3），不含地形全域高精度建模</w:t>
      </w:r>
    </w:p>
    <w:p>
      <w:pPr>
        <w:numPr>
          <w:ilvl w:val="0"/>
          <w:numId w:val="1009"/>
        </w:numPr>
        <w:pStyle w:val="Compact"/>
      </w:pPr>
      <w:r>
        <w:t xml:space="preserve">硬件以 2025 年国产服务器（浪潮/华为/曙光）参考报价估算，最终以采购时点行情为准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硬件升级选项</w:t>
      </w:r>
      <w:r>
        <w:t xml:space="preserve">（不计入本次报价，客户可另行选配）：</w:t>
      </w:r>
    </w:p>
    <w:p>
      <w:pPr>
        <w:numPr>
          <w:ilvl w:val="1"/>
          <w:numId w:val="1010"/>
        </w:numPr>
        <w:pStyle w:val="Compact"/>
      </w:pPr>
      <w:r>
        <w:t xml:space="preserve">GPU 推理服务器可升级为双卡 RTX A6000 Ada（96GB 总显存），用于更高并发 AI 推理或未来大模型部署，加配约 +12 万/台</w:t>
      </w:r>
    </w:p>
    <w:p>
      <w:pPr>
        <w:numPr>
          <w:ilvl w:val="1"/>
          <w:numId w:val="1010"/>
        </w:numPr>
        <w:pStyle w:val="Compact"/>
      </w:pPr>
      <w:r>
        <w:t xml:space="preserve">应用服务器可升级至 ≥512GB RAM + ≥4×3.84TB NVMe，用于更大规模数据缓存和更高吞吐，加配约 +8 万/台</w:t>
      </w:r>
    </w:p>
    <w:p>
      <w:pPr>
        <w:numPr>
          <w:ilvl w:val="1"/>
          <w:numId w:val="1010"/>
        </w:numPr>
        <w:pStyle w:val="Compact"/>
      </w:pPr>
      <w:r>
        <w:t xml:space="preserve">存储节点（NAS/SAN，≥100TB 可用容量）用于长期历史数据和图片存储，加配约 +15 万</w:t>
      </w:r>
    </w:p>
    <w:p>
      <w:pPr>
        <w:numPr>
          <w:ilvl w:val="1"/>
          <w:numId w:val="1010"/>
        </w:numPr>
        <w:pStyle w:val="Compact"/>
      </w:pPr>
      <w:r>
        <w:t xml:space="preserve">以上升级选项总溢价约 35-50 万（视最终配置），不在本次 220 万报价范围内</w:t>
      </w:r>
    </w:p>
    <w:p>
      <w:pPr>
        <w:pStyle w:val="FirstParagraph"/>
      </w:pPr>
      <w:r>
        <w:drawing>
          <wp:inline>
            <wp:extent cx="5486400" cy="3900284"/>
            <wp:effectExtent b="0" l="0" r="0" t="0"/>
            <wp:docPr descr="图8-1：报价构成——220万含税分配" title="" id="1" name="Picture"/>
            <a:graphic>
              <a:graphicData uri="http://schemas.openxmlformats.org/drawingml/2006/picture">
                <pic:pic>
                  <pic:nvPicPr>
                    <pic:cNvPr descr="C:\Users\haoxc\HXC_DATA\80_Knowledges\ZSSolutions\03-项目课题\26.0618-数智化生产支撑系统(JBFG)\20-解决方案\方案产出-V3\images\fig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图8-1：报价构成——220万含税分配</w:t>
      </w:r>
    </w:p>
    <w:p>
      <w:pPr>
        <w:pStyle w:val="BlockText"/>
      </w:pPr>
      <w:r>
        <w:t xml:space="preserve">图 8-1：报价构成——220 万含税分配，定制开发 + 三维建模 + 硬件占总价 73.2%</w:t>
      </w:r>
    </w:p>
    <w:bookmarkEnd w:id="90"/>
    <w:bookmarkEnd w:id="91"/>
    <w:bookmarkStart w:id="92" w:name="X22c4aeeae7ed53b4e83248432608b7565a56288"/>
    <w:p>
      <w:pPr>
        <w:pStyle w:val="Heading3"/>
      </w:pPr>
      <w:r>
        <w:t xml:space="preserve">8.2 服务保障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服务项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承诺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质保期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 年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系统可用性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 ≥10,000h，质保期内持续统计，期末达标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故障响应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远程 ≤2h / 现场 ≤24h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紧急故障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影响生产控制的 I 区故障，1h 远程响应，必要时 8h 到现场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版本升级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质保期内免费小版本升级，大版本升级费用另议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技术支持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7×24 小时电话 + 远程，工作日现场</w:t>
            </w:r>
          </w:p>
        </w:tc>
      </w:tr>
    </w:tbl>
    <w:bookmarkEnd w:id="92"/>
    <w:bookmarkStart w:id="93" w:name="Xa67ef54fd27ff0823aee5a4fcc70be8b3c18787"/>
    <w:p>
      <w:pPr>
        <w:pStyle w:val="Heading3"/>
      </w:pPr>
      <w:r>
        <w:t xml:space="preserve">8.3 交付物清单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阶段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交付物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需求分析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《需求规格说明书》《功能分解清单》《非功能指标定义》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设计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《系统架构设计文档》《数据库设计文档》《接口规范文档》《安全设计文档》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开发测试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《测试计划》《测试用例》《测试报告》《性能压测报告》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部署上线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《部署手册》《运维手册》《用户操作手册》《管理员手册》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验收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《竣工报告》《验收测试报告》《培训记录》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源码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全部定制开发源代码（不含第三方商业组件）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00" w:name="附录"/>
    <w:p>
      <w:pPr>
        <w:pStyle w:val="Heading2"/>
      </w:pPr>
      <w:r>
        <w:t xml:space="preserve">附录</w:t>
      </w:r>
    </w:p>
    <w:bookmarkStart w:id="95" w:name="附录-a-术语表"/>
    <w:p>
      <w:pPr>
        <w:pStyle w:val="Heading3"/>
      </w:pPr>
      <w:r>
        <w:t xml:space="preserve">附录 A 术语表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术语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全称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USDF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Unified Spatial Data Foundation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统一空间数据底座——位于采集层与业务层之间的空间对象操作系统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Generic Object Oriented Substation Event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 61850 定义的快速通信协议，延迟 ≤100ms，用于变电站实时控制信号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IEC104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 60870-5-104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电力远动通信协议，用于厂站与调度主站之间的稳态数据传输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工业现场总线协议，风机/光伏/储能设备常见数据接口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SCADA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Supervisory Control And Data Acquisition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数据采集与监视控制系统，场站设备自带的上位机系统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Energy Management System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储能能量管理系统，负责储能充放电策略和状态监控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SVG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Static Var Generator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静止无功发生器，用于并网点无功补偿和电压调节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PCS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Conversion System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储能变流器，控制储能电池的充放电交直流转换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SOC / SOH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State of Charge / State of Health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储能电池荷电状态 / 健康状态，电池管理的核心指标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AGC / AVC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Automatic Generation Control / Automatic Voltage Control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自动发电控制 / 自动电压控制，调度主站对场站的功率和电压指令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COLA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储能电池内短路四级预警体系——C（早期征兆）/ O（异常演变）/ L（临界状态）/ A（热失控加速）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GB28181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GB/T 28181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视频监控联网系统信息传输标准，视频摄像头接入协议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LOD3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Level of Detail 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三维模型精度等级——设备级精细模型，含外观和结构细节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Mean Time Between Failures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平均无故障工作时间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S3M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Spatial 3D Model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超图三维空间数据标准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APM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 Performance Monitoring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应用性能监控——分布式追踪、慢查询检测、资源监控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Kafka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分布式消息队列，本方案用于百万级测点实时数据流，≥32 分区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ClickHouse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列式时序数据库，本方案用于百万测点写入与聚合查询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PostGIS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 空间扩展，本方案用于 GIS 空间数据存储与查询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Redis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内存缓存数据库，本方案用于实时数据缓存与发布订阅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APISIX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国产高性能 API 网关，本方案用于北向 RESTful API 统一入口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Nacos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国产服务注册与配置中心，本方案用于微服务发现与配置管理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ZLMediaKit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开源流媒体服务器，本方案用于 RTSP/GB28181 多协议视频流转发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开源监控与告警系统，本方案用于基础设施指标采集与 MTBF 统计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SkyWalking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Apache 开源 APM，本方案用于分布式追踪（gRPC/Kafka）与慢查询检测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ONNX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Open Neural Network Exchange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开放神经网络交换格式，本方案用于 AI 模型跨框架边缘推理部署</w:t>
            </w:r>
          </w:p>
        </w:tc>
      </w:tr>
    </w:tbl>
    <w:bookmarkEnd w:id="95"/>
    <w:bookmarkStart w:id="96" w:name="附录-b-参考标准与规范"/>
    <w:p>
      <w:pPr>
        <w:pStyle w:val="Heading3"/>
      </w:pPr>
      <w:r>
        <w:t xml:space="preserve">附录 B 参考标准与规范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编号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名称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500009687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运维管理系统技术规范——冀北风光储数智化生产支撑系统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GB/T 19963.1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风电场接入电力系统技术规定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GB/T 19964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光伏发电站接入电力系统技术规定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DL/T 2844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电化学储能电站并网运行与控制技术规范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T/CEEIA 804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构网型风电机组技术规范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T/CPSS 1005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构网型光伏发电系统技术规范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 61850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变电站通信网络与系统</w:t>
            </w:r>
          </w:p>
        </w:tc>
      </w:tr>
    </w:tbl>
    <w:bookmarkEnd w:id="96"/>
    <w:bookmarkStart w:id="97" w:name="附录-c-接口规范清单"/>
    <w:p>
      <w:pPr>
        <w:pStyle w:val="Heading3"/>
      </w:pPr>
      <w:r>
        <w:t xml:space="preserve">附录 C 接口规范清单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接口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协议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方向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风机 SCADA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 / IEC104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光伏监控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 / IEC104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储能 EMS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Modbus TCP / IEC104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SVG/升压站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GOOSE / IEC104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视频摄像头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RTSP / GB28181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南向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业务系统 API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RESTful / gRPC / Kafka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北向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第三方系统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RESTful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北向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模型服务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gRPC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内部</w:t>
            </w:r>
          </w:p>
        </w:tc>
      </w:tr>
    </w:tbl>
    <w:bookmarkEnd w:id="97"/>
    <w:bookmarkStart w:id="98" w:name="附录-d-功能完整清单"/>
    <w:p>
      <w:pPr>
        <w:pStyle w:val="Heading3"/>
      </w:pPr>
      <w:r>
        <w:t xml:space="preserve">附录 D 功能完整清单</w:t>
      </w:r>
    </w:p>
    <w:p>
      <w:pPr>
        <w:pStyle w:val="FirstParagraph"/>
      </w:pPr>
      <w:r>
        <w:t xml:space="preserve">→ 详见 功能分解清单（109 项子功能，含优先级与出处）</w:t>
      </w:r>
    </w:p>
    <w:bookmarkEnd w:id="98"/>
    <w:bookmarkStart w:id="99" w:name="附录-e-非功能指标完整清单"/>
    <w:p>
      <w:pPr>
        <w:pStyle w:val="Heading3"/>
      </w:pPr>
      <w:r>
        <w:t xml:space="preserve">附录 E 非功能指标完整清单</w:t>
      </w:r>
    </w:p>
    <w:p>
      <w:pPr>
        <w:pStyle w:val="BlockText"/>
      </w:pPr>
      <w:r>
        <w:t xml:space="preserve">以下为 34 项非功能指标的逐项摘要（含 4 项仿真性能指标，本期不适用）。完整可行性评估与风险矩阵见 非功能指标定义。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指标域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指标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要求</w:t>
            </w:r>
          </w:p>
        </w:tc>
        <w:tc>
          <w:tcPr>
            <w:shd w:fill="D6E4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b/>
                <w:sz w:val="18"/>
              </w:rPr>
              <w:t xml:space="preserve">本期承接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并发用户数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≥500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历史数据规模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 亿级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实时测点规模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百万级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实时数据更新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历史数据查询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≤5s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平台整体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图片存储规模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200 万张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调频优化偏差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±1% 额定功率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P8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测频精度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≤0.003Hz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P9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频率采样周期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≤100ms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遥测接入量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≥300 万点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通信节点（稳态）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 个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通信节点（暂态）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≥100 个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1kHz 采集精度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电流≤0.2%/电压≤0.2%/有功≤0.5%/无功≤0.5%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(依赖前端装置)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检出率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≥80%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误检率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≤30%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单次推理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&lt;500ms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P17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AI 性能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光伏故障识别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≥97%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P18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可靠性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MTBF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≥10,000h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§5.2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P19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可靠性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仿真管理性能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§5.3.5.1-5.3.5.4 (4 项)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🔵 仿真不在本期范围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数据采集延迟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≤3s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评价计算延迟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单机≤10s/场站≤30s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报告生成延迟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单机≤10s/场站≤20s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注册用户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≥200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终端接入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≥300 视频 + ≥1000 监测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告警准确率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≥95%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P26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输电线路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响应时间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查询≤3s/高峰≤5s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§5.1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一体化系统接口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§5.4.1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透明场站接口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§5.4.3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I3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仿真验证接口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§5.4.5 (Python/Matlab)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🔵 仿真不在本期范围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I4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协同优化接口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IEC 61850 GOOSE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  <w:tr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I5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智能运维接口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Python/C++, ROS 2</w:t>
            </w:r>
          </w:p>
        </w:tc>
        <w:tc>
          <w:tcP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Compact"/>
              <w:jc w:val="center"/>
            </w:pPr>
            <w:r>
              <w:rPr>
                <w:sz w:val="18"/>
              </w:rPr>
              <w:t xml:space="preserve">✅ 附录 C</w:t>
            </w:r>
          </w:p>
        </w:tc>
      </w:tr>
    </w:tbl>
    <w:p>
      <w:pPr>
        <w:pStyle w:val="BlockText"/>
      </w:pPr>
      <w:r>
        <w:t xml:space="preserve">注：P19 (4 子项) + I3 共 5 项属仿真验证子系统，不在本期交付范围。完整风险矩阵与缓解措施见 非功能指标定义 §七。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[方案书全文完]</w:t>
      </w:r>
    </w:p>
    <w:bookmarkEnd w:id="99"/>
    <w:bookmarkEnd w:id="100"/>
    <w:bookmarkEnd w:id="10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zh-C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40" w:lineRule="exact"/>
      <w:ind w:firstLine="480"/>
      <w:jc w:val="both"/>
    </w:pPr>
    <w:rPr>
      <w:rFonts w:ascii="Times New Roman" w:eastAsia="宋体" w:hAnsi="Times New Roman"/>
      <w:color w:val="3333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600" w:lineRule="exact"/>
      <w:ind w:firstLine="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B3A5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 w:line="520" w:lineRule="exact"/>
      <w:ind w:firstLine="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B5C8A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exact"/>
      <w:ind w:firstLine="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333333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 w:line="440" w:lineRule="exact"/>
      <w:ind w:firstLine="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 w:line="360" w:lineRule="exact"/>
      <w:ind w:firstLine="0"/>
      <w:jc w:val="center"/>
    </w:pPr>
    <w:rPr>
      <w:rFonts w:ascii="Times New Roman" w:eastAsia="宋体" w:hAnsi="Times New Roman"/>
      <w:color w:val="666666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basedOn w:val="Normal"/>
    <w:pPr>
      <w:spacing w:after="20" w:before="20" w:line="280" w:lineRule="exact"/>
      <w:ind w:firstLine="0"/>
    </w:pPr>
    <w:rPr>
      <w:rFonts w:ascii="Times New Roman" w:eastAsia="宋体" w:hAnsi="Times New Roman"/>
      <w:color w:val="333333"/>
      <w:sz w:val="18"/>
    </w:rPr>
  </w:style>
  <w:style w:customStyle="1" w:styleId="SourceCode" w:type="paragraph">
    <w:name w:val="Source Code"/>
    <w:basedOn w:val="Normal"/>
    <w:pPr>
      <w:spacing w:after="0" w:before="0" w:line="260" w:lineRule="exact"/>
      <w:ind w:firstLine="0"/>
      <w:shd w:fill="F5F5F5" w:val="clear"/>
    </w:pPr>
    <w:rPr>
      <w:rFonts w:ascii="Consolas" w:eastAsia="宋体" w:hAnsi="Consolas"/>
      <w:color w:val="333333"/>
      <w:sz w:val="17"/>
    </w:rPr>
  </w:style>
  <w:style w:customStyle="1" w:styleId="FirstParagraph" w:type="paragraph">
    <w:name w:val="First Paragraph"/>
    <w:basedOn w:val="Normal"/>
    <w:pPr>
      <w:spacing w:after="0" w:before="0" w:line="440" w:lineRule="exact"/>
      <w:ind w:firstLine="0"/>
      <w:jc w:val="both"/>
    </w:pPr>
    <w:rPr>
      <w:rFonts w:ascii="Times New Roman" w:eastAsia="宋体" w:hAnsi="Times New Roman"/>
      <w:color w:val="333333"/>
      <w:sz w:val="22"/>
    </w:rPr>
  </w:style>
  <w:style w:customStyle="1" w:styleId="BlockText" w:type="paragraph">
    <w:name w:val="Block Text"/>
    <w:basedOn w:val="Normal"/>
    <w:pPr>
      <w:spacing w:after="80" w:before="80" w:line="360" w:lineRule="exact"/>
      <w:ind w:firstLine="0"/>
    </w:pPr>
    <w:rPr>
      <w:rFonts w:ascii="Times New Roman" w:eastAsia="宋体" w:hAnsi="Times New Roman"/>
      <w:color w:val="666666"/>
      <w:sz w:val="20"/>
    </w:rPr>
  </w:style>
  <w:style w:customStyle="1" w:styleId="Table" w:type="table">
    <w:name w:val="Table"/>
    <w:basedOn w:val="Normal"/>
    <w:pPr>
      <w:spacing w:after="40" w:before="40" w:line="320" w:lineRule="exact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5" Type="http://schemas.openxmlformats.org/officeDocument/2006/relationships/image" Target="media/rId25.png"/><Relationship Id="rId43" Type="http://schemas.openxmlformats.org/officeDocument/2006/relationships/image" Target="media/rId43.png"/><Relationship Id="rId71" Type="http://schemas.openxmlformats.org/officeDocument/2006/relationships/image" Target="media/rId71.png"/><Relationship Id="rId79" Type="http://schemas.openxmlformats.org/officeDocument/2006/relationships/image" Target="media/rId79.png"/><Relationship Id="rId86" Type="http://schemas.openxmlformats.org/officeDocument/2006/relationships/image" Target="media/rId86.png"/><Relationship Id="rId89" Type="http://schemas.openxmlformats.org/officeDocument/2006/relationships/image" Target="media/rId8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冀北风光储数智化生产支撑与数字孪生解决方案</dc:title>
  <dc:creator>ZSSolutions</dc:creator>
  <dc:language>zh-CN</dc:language>
  <dc:subject>新能源场站数智化生产支撑系统技术方案书</dc:subject>
  <cp:keywords/>
  <dcterms:created xsi:type="dcterms:W3CDTF">2026-06-21T02:46:38Z</dcterms:created>
  <dcterms:modified xsi:type="dcterms:W3CDTF">2026-06-21T02:46:38Z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