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B3A5C" w:val="clear"/>
        <w:spacing w:before="0" w:after="0"/>
      </w:pPr>
      <w:r>
        <w:rPr>
          <w:rFonts w:ascii="Times New Roman" w:hAnsi="Times New Roman" w:eastAsia="宋体"/>
          <w:b w:val="0"/>
          <w:color w:val="1B3A5C"/>
          <w:sz w:val="28"/>
        </w:rPr>
        <w:t xml:space="preserve">                                                                                </w:t>
      </w: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jc w:val="center"/>
      </w:pPr>
      <w:r>
        <w:rPr>
          <w:rFonts w:ascii="Times New Roman" w:hAnsi="Times New Roman" w:eastAsia="黑体"/>
          <w:b/>
          <w:color w:val="1B3A5C"/>
          <w:sz w:val="56"/>
        </w:rPr>
        <w:t>冀北风光储数智化生产支撑</w:t>
        <w:br/>
        <w:t>与数字孪生  技术方案</w:t>
      </w:r>
    </w:p>
    <w:p>
      <w:pPr>
        <w:spacing w:before="240" w:after="240"/>
        <w:jc w:val="center"/>
      </w:pPr>
      <w:r>
        <w:rPr>
          <w:rFonts w:ascii="Times New Roman" w:hAnsi="Times New Roman" w:eastAsia="宋体"/>
          <w:b w:val="0"/>
          <w:color w:val="666666"/>
          <w:sz w:val="28"/>
        </w:rPr>
        <w:t>V1.0  |  2026 年    月</w:t>
      </w: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pacing w:before="240" w:after="0"/>
      </w:pPr>
    </w:p>
    <w:p>
      <w:pPr>
        <w:shd w:fill="1B3A5C" w:val="clear"/>
        <w:spacing w:before="0" w:after="0"/>
      </w:pPr>
      <w:r>
        <w:rPr>
          <w:rFonts w:ascii="Times New Roman" w:hAnsi="Times New Roman" w:eastAsia="宋体"/>
          <w:b w:val="0"/>
          <w:color w:val="1B3A5C"/>
          <w:sz w:val="28"/>
        </w:rPr>
        <w:t xml:space="preserve">                                                                                </w:t>
      </w:r>
    </w:p>
    <w:p>
      <w:pPr>
        <w:spacing w:before="120" w:after="0"/>
        <w:jc w:val="center"/>
      </w:pPr>
      <w:r>
        <w:rPr>
          <w:rFonts w:ascii="Times New Roman" w:hAnsi="Times New Roman" w:eastAsia="宋体"/>
          <w:b w:val="0"/>
          <w:color w:val="999999"/>
          <w:sz w:val="18"/>
        </w:rPr>
        <w:t>止善科技（北京）有限公司  |  Confidential</w:t>
      </w:r>
    </w:p>
    <w:p>
      <w:r>
        <w:br w:type="page"/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目录</w:t>
      </w:r>
    </w:p>
    <w:p>
      <w:r>
        <w:t>[ 此处插入自动目录：引用 → 目录 → 自动目录 ]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第一章  项目概述</w:t>
      </w:r>
    </w:p>
    <w:p>
      <w:pPr>
        <w:pStyle w:val="Heading2"/>
      </w:pPr>
      <w:r>
        <w:t>1.1  项目背景</w:t>
      </w:r>
    </w:p>
    <w:p>
      <w:r>
        <w:t>冀北风光储基地概况、新型电力系统要求、数字化向数智化演进……</w:t>
      </w:r>
    </w:p>
    <w:p>
      <w:pPr>
        <w:pStyle w:val="Heading2"/>
      </w:pPr>
      <w:r>
        <w:t>1.2  需求理解</w:t>
      </w:r>
    </w:p>
    <w:p>
      <w:r>
        <w:t>S (现状) → C (三大挑战) → Q (核心问题) → A (方案概要)……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999999"/>
          <w:bottom w:val="dashed" w:sz="6" w:space="0" w:color="999999"/>
          <w:left w:val="dashed" w:sz="6" w:space="0" w:color="999999"/>
          <w:right w:val="dashed" w:sz="6" w:space="0" w:color="999999"/>
        </w:tblBorders>
      </w:tblPr>
      <w:tblGrid>
        <w:gridCol w:w="8312"/>
      </w:tblGrid>
      <w:tr>
        <w:trPr>
          <w:trHeight w:val="2835" w:hRule="atLeast"/>
        </w:trPr>
        <w:tc>
          <w:tcPr>
            <w:tcW w:type="dxa" w:w="8312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2"/>
              </w:rPr>
              <w:br/>
              <w:br/>
              <w:t>[ 此处插入图片：图 1-1  系统总体架构 ]</w:t>
              <w:br/>
              <w:t>建议尺寸：14cm × 5cm</w:t>
              <w:br/>
              <w:br/>
            </w:r>
          </w:p>
        </w:tc>
      </w:tr>
    </w:tbl>
    <w:p>
      <w:pPr>
        <w:spacing w:before="60" w:after="120"/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图 1-1  系统总体架构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第二章  平台建设思想与顶层设计</w:t>
      </w:r>
    </w:p>
    <w:p>
      <w:pPr>
        <w:pStyle w:val="Heading2"/>
      </w:pPr>
      <w:r>
        <w:t>2.1  核心思想：空间对象操作系统</w:t>
      </w:r>
    </w:p>
    <w:p>
      <w:r>
        <w:t>USDF——新能源场站的空间对象操作系统。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表 2-1  操作系统类比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A5C"/>
          <w:bottom w:val="single" w:sz="12" w:space="0" w:color="1B3A5C"/>
          <w:left w:val="single" w:sz="12" w:space="0" w:color="1B3A5C"/>
          <w:right w:val="single" w:sz="12" w:space="0" w:color="1B3A5C"/>
          <w:insideH w:val="single" w:sz="4" w:space="0" w:color="CCCCCC"/>
          <w:insideV w:val="single" w:sz="4" w:space="0" w:color="CCCCCC"/>
        </w:tblBorders>
      </w:tblPr>
      <w:tblGrid>
        <w:gridCol w:w="302400"/>
        <w:gridCol w:w="302400"/>
        <w:gridCol w:w="302400"/>
      </w:tblGrid>
      <w:tr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OS 概念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USDF 对应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工程含义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文件系统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空间对象注册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全局唯一 ID + 空间坐标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设备驱动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统一采集适配器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多协议→统一格式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系统调用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北向 API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标准 RESTful 接口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进程调度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三通道分流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按优先级调度</w:t>
            </w:r>
          </w:p>
        </w:tc>
      </w:tr>
    </w:tbl>
    <w:p>
      <w:pPr>
        <w:pStyle w:val="Heading2"/>
      </w:pPr>
      <w:r>
        <w:t>2.2  四大架构约束</w:t>
      </w:r>
    </w:p>
    <w:p>
      <w:r>
        <w:t>可靠 / 扩展 / AI 友好 / 实施效能——四个硬约束决定全部技术选型。</w:t>
      </w:r>
    </w:p>
    <w:p>
      <w:pPr>
        <w:pStyle w:val="Heading2"/>
      </w:pPr>
      <w:r>
        <w:t>2.3  三条顶层原理</w:t>
      </w:r>
    </w:p>
    <w:p>
      <w:r>
        <w:t>三通道分流 / 不可越层 / 空间统一维度。</w:t>
      </w:r>
    </w:p>
    <w:p>
      <w:pPr>
        <w:pStyle w:val="Heading2"/>
      </w:pPr>
      <w:r>
        <w:t>2.4  方法论：从指标反推架构</w:t>
      </w:r>
    </w:p>
    <w:p>
      <w:r>
        <w:t>34 项非功能指标 → 架构决策链。</w:t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第三章  总体技术架构</w:t>
      </w:r>
    </w:p>
    <w:p>
      <w:pPr>
        <w:pStyle w:val="Heading2"/>
      </w:pPr>
      <w:r>
        <w:t>3.1  逻辑架构（四层）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999999"/>
          <w:bottom w:val="dashed" w:sz="6" w:space="0" w:color="999999"/>
          <w:left w:val="dashed" w:sz="6" w:space="0" w:color="999999"/>
          <w:right w:val="dashed" w:sz="6" w:space="0" w:color="999999"/>
        </w:tblBorders>
      </w:tblPr>
      <w:tblGrid>
        <w:gridCol w:w="8312"/>
      </w:tblGrid>
      <w:tr>
        <w:trPr>
          <w:trHeight w:val="3402" w:hRule="atLeast"/>
        </w:trPr>
        <w:tc>
          <w:tcPr>
            <w:tcW w:type="dxa" w:w="8312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2"/>
              </w:rPr>
              <w:br/>
              <w:br/>
              <w:t>[ 此处插入图片：图 3-1  逻辑架构图 ]</w:t>
              <w:br/>
              <w:t>建议尺寸：14cm × 6cm</w:t>
              <w:br/>
              <w:br/>
            </w:r>
          </w:p>
        </w:tc>
      </w:tr>
    </w:tbl>
    <w:p>
      <w:pPr>
        <w:spacing w:before="60" w:after="120"/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图 3-1  逻辑架构图</w:t>
      </w:r>
    </w:p>
    <w:p>
      <w:r>
        <w:t>展示层 → 业务层 → 平台层 → 采集层。</w:t>
      </w:r>
    </w:p>
    <w:p>
      <w:pPr>
        <w:pStyle w:val="Heading2"/>
      </w:pPr>
      <w:r>
        <w:t>3.2  部署拓扑</w:t>
      </w:r>
    </w:p>
    <w:p>
      <w:r>
        <w:t>中心云 → 场站边缘（安全 I/II/III 区）→ 设备层。</w:t>
      </w:r>
    </w:p>
    <w:p>
      <w:pPr>
        <w:pStyle w:val="Heading2"/>
      </w:pPr>
      <w:r>
        <w:t>3.3  数据分层与流向</w:t>
      </w:r>
    </w:p>
    <w:p>
      <w:r>
        <w:t>采集 → Kafka → 存储/缓存 → API 的分层流向。</w:t>
      </w:r>
    </w:p>
    <w:p>
      <w:pPr>
        <w:pStyle w:val="Heading2"/>
      </w:pPr>
      <w:r>
        <w:t>3.4  关键技术选型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表 3-1  关键技术选型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A5C"/>
          <w:bottom w:val="single" w:sz="12" w:space="0" w:color="1B3A5C"/>
          <w:left w:val="single" w:sz="12" w:space="0" w:color="1B3A5C"/>
          <w:right w:val="single" w:sz="12" w:space="0" w:color="1B3A5C"/>
          <w:insideH w:val="single" w:sz="4" w:space="0" w:color="CCCCCC"/>
          <w:insideV w:val="single" w:sz="4" w:space="0" w:color="CCCCCC"/>
        </w:tblBorders>
      </w:tblPr>
      <w:tblGrid>
        <w:gridCol w:w="302400"/>
        <w:gridCol w:w="302400"/>
        <w:gridCol w:w="302400"/>
      </w:tblGrid>
      <w:tr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决策域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推荐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备选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时序数据库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ClickHouse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TDengine/DolphinDB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业务数据库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Postgres+PostGIS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达梦 DM8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消息队列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Kafka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RocketMQ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三维引擎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Cesium+Three.js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待定</w:t>
            </w:r>
          </w:p>
        </w:tc>
      </w:tr>
    </w:tbl>
    <w:p>
      <w:pPr>
        <w:pStyle w:val="Heading2"/>
      </w:pPr>
      <w:r>
        <w:t>3.5  AI 引擎架构</w:t>
      </w:r>
    </w:p>
    <w:p>
      <w:r>
        <w:t>边缘推理（场站 II 区 GPU）+ 云端训练（中心云 GPU 集群）+ 人机协同闭环。</w:t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第四章  业务子系统方案（概要）</w:t>
      </w:r>
    </w:p>
    <w:p>
      <w:pPr>
        <w:pStyle w:val="Heading2"/>
      </w:pPr>
      <w:r>
        <w:t>4.1  一体化数智场站平台 (F1)</w:t>
      </w:r>
    </w:p>
    <w:p>
      <w:r>
        <w:t>全要素数据建模 / 三维可视化 / 高频数据接入……</w:t>
      </w:r>
    </w:p>
    <w:p>
      <w:pPr>
        <w:pStyle w:val="Heading2"/>
      </w:pPr>
      <w:r>
        <w:t>4.2  功率-能量协同优化 (F2)</w:t>
      </w:r>
    </w:p>
    <w:p>
      <w:r>
        <w:t>稳态多源协同 / 暂态快速调频 / 安全防误……</w:t>
      </w:r>
    </w:p>
    <w:p>
      <w:pPr>
        <w:pStyle w:val="Heading2"/>
      </w:pPr>
      <w:r>
        <w:t>4.3  构网型透明场站 (F3)</w:t>
      </w:r>
    </w:p>
    <w:p>
      <w:r>
        <w:t>并网性能评价 / 发电性能评价……</w:t>
      </w:r>
    </w:p>
    <w:p>
      <w:pPr>
        <w:pStyle w:val="Heading2"/>
      </w:pPr>
      <w:r>
        <w:t>4.4  智能运维系统 (F4)</w:t>
      </w:r>
    </w:p>
    <w:p>
      <w:r>
        <w:t>升压站巡视 / 光伏运维 / 储能安全……</w:t>
      </w:r>
    </w:p>
    <w:p>
      <w:pPr>
        <w:pStyle w:val="Heading2"/>
      </w:pPr>
      <w:r>
        <w:t>4.5  数字运维管理平台 (F5)</w:t>
      </w:r>
    </w:p>
    <w:p>
      <w:r>
        <w:t>实时监控 / AI 诊断 / 运维门户……</w:t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pStyle w:val="Heading1"/>
      </w:pPr>
      <w:r>
        <w:t>第五章  系统非功能特性与实施</w:t>
      </w:r>
    </w:p>
    <w:p>
      <w:pPr>
        <w:pStyle w:val="Heading2"/>
      </w:pPr>
      <w:r>
        <w:t>5.1  性能指标承诺</w:t>
      </w:r>
    </w:p>
    <w:p>
      <w:r>
        <w:t>34 项指标逐项承诺值 + 分层 SLA。</w:t>
      </w:r>
    </w:p>
    <w:p>
      <w:pPr>
        <w:pStyle w:val="Heading2"/>
      </w:pPr>
      <w:r>
        <w:t>5.2  可靠性设计</w:t>
      </w:r>
    </w:p>
    <w:p>
      <w:r>
        <w:t>MTBF ≥10000h / N+1 冗余 / 故障自动切换。</w:t>
      </w:r>
    </w:p>
    <w:p>
      <w:pPr>
        <w:pStyle w:val="Heading2"/>
      </w:pPr>
      <w:r>
        <w:t>5.3  安全性</w:t>
      </w:r>
    </w:p>
    <w:p>
      <w:r>
        <w:t>等保二级 + 电力二次安防（I/II/III 区隔离）。</w:t>
      </w:r>
    </w:p>
    <w:p>
      <w:pPr>
        <w:pStyle w:val="Heading2"/>
      </w:pPr>
      <w:r>
        <w:t>5.4  可扩展性设计</w:t>
      </w:r>
    </w:p>
    <w:p>
      <w:r>
        <w:t>多场站统一调度 / 功能模块可插拔 / 低代码建模。</w:t>
      </w:r>
    </w:p>
    <w:p>
      <w:pPr>
        <w:pStyle w:val="Heading2"/>
      </w:pPr>
      <w:r>
        <w:t>5.5  项目实施计划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表 5-1  项目实施计划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A5C"/>
          <w:bottom w:val="single" w:sz="12" w:space="0" w:color="1B3A5C"/>
          <w:left w:val="single" w:sz="12" w:space="0" w:color="1B3A5C"/>
          <w:right w:val="single" w:sz="12" w:space="0" w:color="1B3A5C"/>
          <w:insideH w:val="single" w:sz="4" w:space="0" w:color="CCCCCC"/>
          <w:insideV w:val="single" w:sz="4" w:space="0" w:color="CCCCCC"/>
        </w:tblBorders>
      </w:tblPr>
      <w:tblGrid>
        <w:gridCol w:w="302400"/>
        <w:gridCol w:w="302400"/>
        <w:gridCol w:w="302400"/>
      </w:tblGrid>
      <w:tr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771"/>
            <w:shd w:fill="4D4D4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交付内容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一阶段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第 1-2 月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平台底座（F1）+ 实时监控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二阶段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第 2-3 月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核心业务（F2/F3/F4 核心模块）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三阶段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第 3-4 月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增强功能 + 联调测试 + 上线验收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66666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Times New Roman"/>
        <w:b w:val="0"/>
        <w:color w:val="666666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宋体"/>
        <w:b w:val="0"/>
        <w:color w:val="666666"/>
        <w:sz w:val="18"/>
      </w:rPr>
      <w:t>冀北风光储数智化生产支撑与数字孪生 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  <w:ind w:firstLine="480"/>
      <w:jc w:val="both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B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