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jc w:val="center"/>
        <w:shd w:fill="1B3A5C" w:val="clear"/>
      </w:pPr>
      <w:r>
        <w:rPr>
          <w:rFonts w:ascii="Times New Roman" w:hAnsi="Times New Roman" w:eastAsia="黑体"/>
          <w:b/>
          <w:color w:val="FFFFFF"/>
          <w:sz w:val="22"/>
        </w:rPr>
        <w:t>■ 机  密  ·  仅限指定收件人  ■</w:t>
      </w:r>
    </w:p>
    <w:p/>
    <w:p>
      <w:pPr>
        <w:jc w:val="center"/>
      </w:pPr>
      <w:r>
        <w:rPr>
          <w:rFonts w:ascii="Times New Roman" w:hAnsi="Times New Roman" w:eastAsia="黑体"/>
          <w:b/>
          <w:color w:val="1B3A5C"/>
          <w:sz w:val="40"/>
        </w:rPr>
        <w:t>[ 公司 Logo ]</w:t>
      </w:r>
    </w:p>
    <w:p>
      <w:pPr>
        <w:spacing w:before="480"/>
      </w:pPr>
    </w:p>
    <w:p>
      <w:pPr>
        <w:spacing w:before="0" w:after="120"/>
        <w:jc w:val="center"/>
      </w:pPr>
      <w:r>
        <w:rPr>
          <w:rFonts w:ascii="Times New Roman" w:hAnsi="Times New Roman" w:eastAsia="黑体"/>
          <w:b/>
          <w:color w:val="1B3A5C"/>
          <w:sz w:val="56"/>
        </w:rPr>
        <w:t>冀北风光储数智化生产支撑</w:t>
        <w:br/>
        <w:t>与数字孪生解决方案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32"/>
        </w:rPr>
        <w:t>USDF 统一空间数据底座——新能源场站的空间对象操作系统</w:t>
      </w:r>
    </w:p>
    <w:p>
      <w:pPr>
        <w:spacing w:before="240" w:after="240"/>
        <w:jc w:val="center"/>
      </w:pPr>
    </w:p>
    <w:p>
      <w:pPr>
        <w:jc w:val="center"/>
      </w:pPr>
      <w:r>
        <w:rPr>
          <w:rFonts w:ascii="Times New Roman" w:hAnsi="Times New Roman" w:eastAsia="宋体"/>
          <w:b w:val="0"/>
          <w:color w:val="333333"/>
          <w:sz w:val="28"/>
        </w:rPr>
        <w:t>编制单位：止善科技（北京）有限公司</w:t>
      </w:r>
    </w:p>
    <w:p>
      <w:pPr>
        <w:jc w:val="center"/>
      </w:pPr>
      <w:r>
        <w:rPr>
          <w:rFonts w:ascii="Times New Roman" w:hAnsi="Times New Roman" w:eastAsia="宋体"/>
          <w:b w:val="0"/>
          <w:color w:val="333333"/>
          <w:sz w:val="28"/>
        </w:rPr>
        <w:t>编制日期：2026 年    月</w:t>
      </w:r>
    </w:p>
    <w:p>
      <w:pPr>
        <w:jc w:val="center"/>
      </w:pPr>
      <w:r>
        <w:rPr>
          <w:rFonts w:ascii="Times New Roman" w:hAnsi="Times New Roman" w:eastAsia="宋体"/>
          <w:b w:val="0"/>
          <w:color w:val="333333"/>
          <w:sz w:val="28"/>
        </w:rPr>
        <w:t>版    本：V1.0</w:t>
      </w:r>
    </w:p>
    <w:p>
      <w:pPr>
        <w:jc w:val="center"/>
      </w:pPr>
      <w:r>
        <w:rPr>
          <w:rFonts w:ascii="Times New Roman" w:hAnsi="Times New Roman" w:eastAsia="宋体"/>
          <w:b w:val="0"/>
          <w:color w:val="333333"/>
          <w:sz w:val="28"/>
        </w:rPr>
        <w:t>文件编号：JBFG-SOL-2026-001</w:t>
      </w:r>
    </w:p>
    <w:p>
      <w:pPr>
        <w:spacing w:before="960" w:after="0"/>
        <w:jc w:val="center"/>
      </w:pPr>
      <w:r>
        <w:rPr>
          <w:rFonts w:ascii="Times New Roman" w:hAnsi="Times New Roman" w:eastAsia="宋体"/>
          <w:b w:val="0"/>
          <w:color w:val="999999"/>
          <w:sz w:val="18"/>
        </w:rPr>
        <w:t>© 2026 止善科技（北京）有限公司. All Rights Reserved.</w:t>
      </w:r>
    </w:p>
    <w:p>
      <w:r>
        <w:br w:type="page"/>
      </w:r>
    </w:p>
    <w:p>
      <w:pPr>
        <w:pStyle w:val="Heading1"/>
      </w:pPr>
      <w:r>
        <w:t>修订记录</w:t>
      </w:r>
    </w:p>
    <w:p>
      <w:r>
        <w:t>| 版本 | 修订日期 | 修订内容 | 修订人 |</w:t>
      </w:r>
    </w:p>
    <w:p>
      <w:r>
        <w:t>|------|----------|----------|--------|</w:t>
      </w:r>
    </w:p>
    <w:p>
      <w:r>
        <w:t>| V1.0 | 2026-XX-XX | 初稿编制 |  |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[ 此处插入自动目录：引用 → 目录 → 自动目录 ]</w:t>
      </w:r>
    </w:p>
    <w:p>
      <w:r>
        <w:br w:type="page"/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修订记录</w:t>
      </w:r>
    </w:p>
    <w:p>
      <w:pPr>
        <w:pStyle w:val="Heading2"/>
      </w:pPr>
      <w:r>
        <w:t>版本记录表</w:t>
      </w:r>
    </w:p>
    <w:p>
      <w:r>
        <w:t>| 版本 | 修订日期 | 修订内容 | 修订人 |</w:t>
        <w:br/>
        <w:t>|------|----------|----------|--------|</w:t>
        <w:br/>
        <w:t>| V1.0 | 2026-XX-XX | 初稿编制 |  |</w:t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 项目背景</w:t>
      </w:r>
    </w:p>
    <w:p>
      <w:r>
        <w:t>冀北风光储基地概况、新型电力系统要求、数字化向数智化演进的行业趋势……</w:t>
      </w:r>
    </w:p>
    <w:p>
      <w:pPr>
        <w:pStyle w:val="Heading2"/>
      </w:pPr>
      <w:r>
        <w:t>1.2  需求理解（SCQA 精炼版）</w:t>
      </w:r>
    </w:p>
    <w:p>
      <w:r>
        <w:t>S (现状) → C (挑战) → Q (核心问题) → A (方案概要)……</w:t>
      </w:r>
    </w:p>
    <w:p>
      <w:pPr>
        <w:pStyle w:val="Heading2"/>
      </w:pPr>
      <w:r>
        <w:t>1.3  方案总纲</w:t>
      </w:r>
    </w:p>
    <w:p>
      <w:r>
        <w:t>[插入一页纸架构图]</w:t>
      </w:r>
    </w:p>
    <w:p>
      <w:pPr>
        <w:pStyle w:val="Heading2"/>
      </w:pPr>
      <w:r>
        <w:t>1.4  术语定义</w:t>
      </w:r>
    </w:p>
    <w:p>
      <w:r>
        <w:t>[术语表]</w:t>
      </w:r>
    </w:p>
    <w:p>
      <w:pPr>
        <w:pStyle w:val="Heading1"/>
      </w:pPr>
      <w:r>
        <w:t>第二章  平台建设思想与顶层设计</w:t>
      </w:r>
    </w:p>
    <w:p>
      <w:pPr>
        <w:pStyle w:val="Heading2"/>
      </w:pPr>
      <w:r>
        <w:t>2.1  核心思想：空间对象操作系统</w:t>
      </w:r>
    </w:p>
    <w:p>
      <w:r>
        <w:t>USDF——新能源场站的空间对象操作系统……</w:t>
      </w:r>
    </w:p>
    <w:p>
      <w:pPr>
        <w:pStyle w:val="Heading2"/>
      </w:pPr>
      <w:r>
        <w:t>2.2  四大架构约束</w:t>
      </w:r>
    </w:p>
    <w:p>
      <w:r>
        <w:t>可靠 / 扩展 / AI 友好 / 实施效能……</w:t>
      </w:r>
    </w:p>
    <w:p>
      <w:pPr>
        <w:pStyle w:val="Heading2"/>
      </w:pPr>
      <w:r>
        <w:t>2.3  顶层原理一：三通道分流</w:t>
      </w:r>
    </w:p>
    <w:p>
      <w:r>
        <w:t>P1暂态 / P2稳态 / P3历史……</w:t>
      </w:r>
    </w:p>
    <w:p>
      <w:pPr>
        <w:pStyle w:val="Heading2"/>
      </w:pPr>
      <w:r>
        <w:t>2.4  顶层原理二：不可越层规则</w:t>
      </w:r>
    </w:p>
    <w:p>
      <w:r>
        <w:t>展示层不直连时序库、采集层不直写业务库……</w:t>
      </w:r>
    </w:p>
    <w:p>
      <w:pPr>
        <w:pStyle w:val="Heading2"/>
      </w:pPr>
      <w:r>
        <w:t>2.5  顶层原理三：空间是统一维度</w:t>
      </w:r>
    </w:p>
    <w:p>
      <w:r>
        <w:t>空间坐标是唯一能将异构对象统一索引的维度……</w:t>
      </w:r>
    </w:p>
    <w:p>
      <w:pPr>
        <w:pStyle w:val="Heading2"/>
      </w:pPr>
      <w:r>
        <w:t>2.6  方法论：从指标反推架构</w:t>
      </w:r>
    </w:p>
    <w:p>
      <w:r>
        <w:t>每一个架构决策都对应一个可检验的非功能指标……</w:t>
      </w:r>
    </w:p>
    <w:p>
      <w:pPr>
        <w:pStyle w:val="Heading2"/>
      </w:pPr>
      <w:r>
        <w:t>2.7  平台能力的四个支柱</w:t>
      </w:r>
    </w:p>
    <w:p>
      <w:r>
        <w:t>门户集成 / 元数据驱动 / 2D3D联动 / 样式主题……</w:t>
      </w:r>
    </w:p>
    <w:p>
      <w:pPr>
        <w:pStyle w:val="Heading1"/>
      </w:pPr>
      <w:r>
        <w:t>第三章  总体技术架构</w:t>
      </w:r>
    </w:p>
    <w:p>
      <w:pPr>
        <w:pStyle w:val="Heading2"/>
      </w:pPr>
      <w:r>
        <w:t>3.1  设计理念与架构原则</w:t>
      </w:r>
    </w:p>
    <w:p>
      <w:r>
        <w:t>USDF 底座 + 五业务域……</w:t>
      </w:r>
    </w:p>
    <w:p>
      <w:pPr>
        <w:pStyle w:val="Heading2"/>
      </w:pPr>
      <w:r>
        <w:t>3.2  逻辑架构（四层）</w:t>
      </w:r>
    </w:p>
    <w:p>
      <w:r>
        <w:t>展示层 → 业务层 → 平台层 → 采集层……</w:t>
      </w:r>
    </w:p>
    <w:p>
      <w:pPr>
        <w:pStyle w:val="Heading2"/>
      </w:pPr>
      <w:r>
        <w:t>3.3  部署拓扑（三级 + 安全分区）</w:t>
      </w:r>
    </w:p>
    <w:p>
      <w:r>
        <w:t>中心云 → 场站边缘（I区/II区/III区）→ 设备层……</w:t>
      </w:r>
    </w:p>
    <w:p>
      <w:pPr>
        <w:pStyle w:val="Heading2"/>
      </w:pPr>
      <w:r>
        <w:t>3.4  数据分层与流向</w:t>
      </w:r>
    </w:p>
    <w:p>
      <w:r>
        <w:t>采集 → Kafka → 存储/缓存 → API……</w:t>
      </w:r>
    </w:p>
    <w:p>
      <w:pPr>
        <w:pStyle w:val="Heading2"/>
      </w:pPr>
      <w:r>
        <w:t>3.5  关键技术选型与对比</w:t>
      </w:r>
    </w:p>
    <w:p>
      <w:r>
        <w:t>[技术选型对比表]……</w:t>
      </w:r>
    </w:p>
    <w:p>
      <w:pPr>
        <w:pStyle w:val="Heading2"/>
      </w:pPr>
      <w:r>
        <w:t>3.6  AI 引擎架构</w:t>
      </w:r>
    </w:p>
    <w:p>
      <w:r>
        <w:t>边缘推理 + 云端训练 + 人机协同……</w:t>
      </w:r>
    </w:p>
    <w:p>
      <w:pPr>
        <w:pStyle w:val="Heading2"/>
      </w:pPr>
      <w:r>
        <w:t>3.7  数据治理体系</w:t>
      </w:r>
    </w:p>
    <w:p>
      <w:r>
        <w:t>主数据 → 元数据 → 血缘 → 质量……</w:t>
      </w:r>
    </w:p>
    <w:p>
      <w:pPr>
        <w:pStyle w:val="Heading2"/>
      </w:pPr>
      <w:r>
        <w:t>3.8  统一 API 与开发者生态</w:t>
      </w:r>
    </w:p>
    <w:p>
      <w:r>
        <w:t>北向 API + gRPC + Kafka + 多语言 SDK……</w:t>
      </w:r>
    </w:p>
    <w:p>
      <w:pPr>
        <w:pStyle w:val="Heading2"/>
      </w:pPr>
      <w:r>
        <w:t>3.9  国产化适配</w:t>
      </w:r>
    </w:p>
    <w:p>
      <w:r>
        <w:t>[国产化清单]……</w:t>
      </w:r>
    </w:p>
    <w:p>
      <w:pPr>
        <w:pStyle w:val="Heading1"/>
      </w:pPr>
      <w:r>
        <w:t>第四章  业务子系统方案</w:t>
      </w:r>
    </w:p>
    <w:p>
      <w:pPr>
        <w:pStyle w:val="Heading2"/>
      </w:pPr>
      <w:r>
        <w:t>4.1  一体化数智场站平台 (F1)</w:t>
      </w:r>
    </w:p>
    <w:p>
      <w:r>
        <w:t>全要素数据建模 / 三维可视化 / 高频数据接入……</w:t>
      </w:r>
    </w:p>
    <w:p>
      <w:pPr>
        <w:pStyle w:val="Heading2"/>
      </w:pPr>
      <w:r>
        <w:t>4.2  功率-能量协同优化 (F2)</w:t>
      </w:r>
    </w:p>
    <w:p>
      <w:r>
        <w:t>稳态多源协同 / 暂态快速调频 / 安全防误……</w:t>
      </w:r>
    </w:p>
    <w:p>
      <w:pPr>
        <w:pStyle w:val="Heading2"/>
      </w:pPr>
      <w:r>
        <w:t>4.3  构网型透明场站 (F3)</w:t>
      </w:r>
    </w:p>
    <w:p>
      <w:r>
        <w:t>并网性能评价 / 发电性能评价……</w:t>
      </w:r>
    </w:p>
    <w:p>
      <w:pPr>
        <w:pStyle w:val="Heading2"/>
      </w:pPr>
      <w:r>
        <w:t>4.4  智能运维系统 (F4)</w:t>
      </w:r>
    </w:p>
    <w:p>
      <w:r>
        <w:t>升压站巡视 / 光伏运维 / 输电线路 / 储能安全……</w:t>
      </w:r>
    </w:p>
    <w:p>
      <w:pPr>
        <w:pStyle w:val="Heading2"/>
      </w:pPr>
      <w:r>
        <w:t>4.5  数字运维管理平台 (F5)</w:t>
      </w:r>
    </w:p>
    <w:p>
      <w:r>
        <w:t>360°监控 / AI诊断 / 运维门户 / 生产运营……</w:t>
      </w:r>
    </w:p>
    <w:p>
      <w:pPr>
        <w:pStyle w:val="Heading1"/>
      </w:pPr>
      <w:r>
        <w:t>第五章  系统非功能特性</w:t>
      </w:r>
    </w:p>
    <w:p>
      <w:pPr>
        <w:pStyle w:val="Heading2"/>
      </w:pPr>
      <w:r>
        <w:t>5.1  性能指标承诺</w:t>
      </w:r>
    </w:p>
    <w:p>
      <w:r>
        <w:t>34 项指标逐项承诺值 + 分层 SLA……</w:t>
      </w:r>
    </w:p>
    <w:p>
      <w:pPr>
        <w:pStyle w:val="Heading2"/>
      </w:pPr>
      <w:r>
        <w:t>5.2  可靠性设计</w:t>
      </w:r>
    </w:p>
    <w:p>
      <w:r>
        <w:t>MTBF ≥10000h 的架构保障……</w:t>
      </w:r>
    </w:p>
    <w:p>
      <w:pPr>
        <w:pStyle w:val="Heading2"/>
      </w:pPr>
      <w:r>
        <w:t>5.3  安全性</w:t>
      </w:r>
    </w:p>
    <w:p>
      <w:r>
        <w:t>等保二级 + 电力二次安防……</w:t>
      </w:r>
    </w:p>
    <w:p>
      <w:pPr>
        <w:pStyle w:val="Heading2"/>
      </w:pPr>
      <w:r>
        <w:t>5.4  可扩展性设计</w:t>
      </w:r>
    </w:p>
    <w:p>
      <w:r>
        <w:t>多场站统一调度 / 功能模块可插拔 / 低代码建模……</w:t>
      </w:r>
    </w:p>
    <w:p>
      <w:pPr>
        <w:pStyle w:val="Heading2"/>
      </w:pPr>
      <w:r>
        <w:t>5.5  开放 API 与开发者生态</w:t>
      </w:r>
    </w:p>
    <w:p>
      <w:r>
        <w:t>北向 API + SDK……</w:t>
      </w:r>
    </w:p>
    <w:p>
      <w:pPr>
        <w:pStyle w:val="Heading1"/>
      </w:pPr>
      <w:r>
        <w:t>第六章  项目实施计划</w:t>
      </w:r>
    </w:p>
    <w:p>
      <w:pPr>
        <w:pStyle w:val="Heading2"/>
      </w:pPr>
      <w:r>
        <w:t>6.1  分阶段交付</w:t>
      </w:r>
    </w:p>
    <w:p>
      <w:r>
        <w:t>4 个月三阶段……</w:t>
      </w:r>
    </w:p>
    <w:p>
      <w:pPr>
        <w:pStyle w:val="Heading2"/>
      </w:pPr>
      <w:r>
        <w:t>6.2  里程碑与交付物</w:t>
      </w:r>
    </w:p>
    <w:p>
      <w:r>
        <w:t>M1-M4……</w:t>
      </w:r>
    </w:p>
    <w:p>
      <w:pPr>
        <w:pStyle w:val="Heading2"/>
      </w:pPr>
      <w:r>
        <w:t>6.3  团队配置</w:t>
      </w:r>
    </w:p>
    <w:p>
      <w:r>
        <w:t>[团队配置表]……</w:t>
      </w:r>
    </w:p>
    <w:p>
      <w:pPr>
        <w:pStyle w:val="Heading1"/>
      </w:pPr>
      <w:r>
        <w:t>第七章  风险管控</w:t>
      </w:r>
    </w:p>
    <w:p>
      <w:pPr>
        <w:pStyle w:val="Heading2"/>
      </w:pPr>
      <w:r>
        <w:t>7.1  技术风险</w:t>
      </w:r>
    </w:p>
    <w:p>
      <w:r>
        <w:t>8 项技术风险及应对……</w:t>
      </w:r>
    </w:p>
    <w:p>
      <w:pPr>
        <w:pStyle w:val="Heading2"/>
      </w:pPr>
      <w:r>
        <w:t>7.2  业务风险</w:t>
      </w:r>
    </w:p>
    <w:p>
      <w:r>
        <w:t>5 项业务风险及应对……</w:t>
      </w:r>
    </w:p>
    <w:p>
      <w:pPr>
        <w:pStyle w:val="Heading2"/>
      </w:pPr>
      <w:r>
        <w:t>7.3  实施风险</w:t>
      </w:r>
    </w:p>
    <w:p>
      <w:r>
        <w:t>5 项实施风险及应对……</w:t>
      </w:r>
    </w:p>
    <w:p>
      <w:pPr>
        <w:pStyle w:val="Heading1"/>
      </w:pPr>
      <w:r>
        <w:t>第八章  报价与服务</w:t>
      </w:r>
    </w:p>
    <w:p>
      <w:pPr>
        <w:pStyle w:val="Heading2"/>
      </w:pPr>
      <w:r>
        <w:t>8.1  项目报价</w:t>
      </w:r>
    </w:p>
    <w:p>
      <w:r>
        <w:t>[报价明细表]……</w:t>
      </w:r>
    </w:p>
    <w:p>
      <w:pPr>
        <w:pStyle w:val="Heading2"/>
      </w:pPr>
      <w:r>
        <w:t>8.2  服务保障</w:t>
      </w:r>
    </w:p>
    <w:p>
      <w:r>
        <w:t>质保期 / SLA / 响应时间 / 交付物……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66666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Times New Roman"/>
        <w:b w:val="0"/>
        <w:color w:val="666666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宋体"/>
        <w:b w:val="0"/>
        <w:color w:val="666666"/>
        <w:sz w:val="18"/>
      </w:rPr>
      <w:t>止善科技  |  冀北风光储数智化生产支撑与数字孪生解决方案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  <w:ind w:firstLine="480"/>
      <w:jc w:val="both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B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