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337" w:lineRule="exact" w:before="0"/>
        <w:ind w:left="0" w:right="779" w:firstLine="0"/>
        <w:jc w:val="right"/>
        <w:rPr>
          <w:rFonts w:ascii="宋体" w:hAnsi="宋体" w:cs="宋体" w:eastAsia="宋体"/>
          <w:sz w:val="26"/>
          <w:szCs w:val="26"/>
        </w:rPr>
      </w:pPr>
      <w:r>
        <w:rPr/>
        <w:pict>
          <v:shape style="position:absolute;margin-left:0pt;margin-top:3.5512pt;width:953.4908pt;height:1349.44880pt;mso-position-horizontal-relative:page;mso-position-vertical-relative:page;z-index:-6424" type="#_x0000_t75" stroked="false">
            <v:imagedata r:id="rId5" o:title=""/>
          </v:shape>
        </w:pict>
      </w:r>
      <w:r>
        <w:rPr>
          <w:rFonts w:ascii="宋体" w:hAnsi="宋体" w:cs="宋体" w:eastAsia="宋体"/>
          <w:sz w:val="26"/>
          <w:szCs w:val="26"/>
        </w:rPr>
        <w:t>中投顾问产业研究中心</w:t>
      </w: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3"/>
        <w:rPr>
          <w:rFonts w:ascii="宋体" w:hAnsi="宋体" w:cs="宋体" w:eastAsia="宋体"/>
          <w:sz w:val="21"/>
          <w:szCs w:val="21"/>
        </w:rPr>
      </w:pPr>
    </w:p>
    <w:p>
      <w:pPr>
        <w:spacing w:line="520" w:lineRule="exact" w:before="0"/>
        <w:ind w:left="5260" w:right="380" w:firstLine="0"/>
        <w:jc w:val="left"/>
        <w:rPr>
          <w:rFonts w:ascii="宋体" w:hAnsi="宋体" w:cs="宋体" w:eastAsia="宋体"/>
          <w:sz w:val="42"/>
          <w:szCs w:val="42"/>
        </w:rPr>
      </w:pPr>
      <w:r>
        <w:rPr>
          <w:rFonts w:ascii="宋体" w:hAnsi="宋体" w:cs="宋体" w:eastAsia="宋体"/>
          <w:sz w:val="42"/>
          <w:szCs w:val="42"/>
        </w:rPr>
        <w:t>我国储能市场应用需求分析</w:t>
      </w: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7"/>
        <w:rPr>
          <w:rFonts w:ascii="宋体" w:hAnsi="宋体" w:cs="宋体" w:eastAsia="宋体"/>
          <w:sz w:val="29"/>
          <w:szCs w:val="29"/>
        </w:rPr>
      </w:pPr>
    </w:p>
    <w:p>
      <w:pPr>
        <w:pStyle w:val="Heading1"/>
        <w:spacing w:line="460" w:lineRule="exact"/>
        <w:ind w:right="380"/>
        <w:jc w:val="left"/>
      </w:pPr>
      <w:r>
        <w:rPr/>
        <w:t>需求细分</w:t>
      </w:r>
    </w:p>
    <w:p>
      <w:pPr>
        <w:spacing w:line="240" w:lineRule="auto" w:before="0"/>
        <w:rPr>
          <w:rFonts w:ascii="宋体" w:hAnsi="宋体" w:cs="宋体" w:eastAsia="宋体"/>
          <w:sz w:val="36"/>
          <w:szCs w:val="36"/>
        </w:rPr>
      </w:pPr>
    </w:p>
    <w:p>
      <w:pPr>
        <w:spacing w:line="240" w:lineRule="auto" w:before="5"/>
        <w:rPr>
          <w:rFonts w:ascii="宋体" w:hAnsi="宋体" w:cs="宋体" w:eastAsia="宋体"/>
          <w:sz w:val="43"/>
          <w:szCs w:val="43"/>
        </w:rPr>
      </w:pPr>
    </w:p>
    <w:p>
      <w:pPr>
        <w:pStyle w:val="BodyText"/>
        <w:tabs>
          <w:tab w:pos="3479" w:val="left" w:leader="none"/>
        </w:tabs>
        <w:spacing w:line="240" w:lineRule="auto"/>
        <w:ind w:left="800" w:right="380"/>
        <w:jc w:val="left"/>
      </w:pPr>
      <w:r>
        <w:rPr/>
        <w:t>中投顾问发布的《</w:t>
        <w:tab/>
      </w:r>
      <w:r>
        <w:rPr>
          <w:rFonts w:ascii="Arial" w:hAnsi="Arial" w:cs="Arial" w:eastAsia="Arial"/>
        </w:rPr>
        <w:t>2017-2021</w:t>
      </w:r>
      <w:r>
        <w:rPr>
          <w:rFonts w:ascii="Arial" w:hAnsi="Arial" w:cs="Arial" w:eastAsia="Arial"/>
          <w:spacing w:val="22"/>
        </w:rPr>
        <w:t> </w:t>
      </w:r>
      <w:r>
        <w:rPr/>
        <w:t>年中国储能产业深度调研及投资前景预测报告》认为，目前我国储能行业</w:t>
      </w:r>
    </w:p>
    <w:p>
      <w:pPr>
        <w:pStyle w:val="BodyText"/>
        <w:tabs>
          <w:tab w:pos="11599" w:val="left" w:leader="none"/>
        </w:tabs>
        <w:spacing w:line="336" w:lineRule="auto" w:before="166"/>
        <w:ind w:right="679"/>
        <w:jc w:val="left"/>
      </w:pPr>
      <w:r>
        <w:rPr/>
        <w:t>的处于刚起步。随着下游需求的爆发式增长，储能的商业化应用也愈加迫切。</w:t>
        <w:tab/>
      </w:r>
      <w:r>
        <w:rPr>
          <w:rFonts w:ascii="Arial" w:hAnsi="Arial" w:cs="Arial" w:eastAsia="Arial"/>
        </w:rPr>
        <w:t>2015</w:t>
      </w:r>
      <w:r>
        <w:rPr>
          <w:rFonts w:ascii="Arial" w:hAnsi="Arial" w:cs="Arial" w:eastAsia="Arial"/>
          <w:spacing w:val="29"/>
        </w:rPr>
        <w:t> </w:t>
      </w:r>
      <w:r>
        <w:rPr/>
        <w:t>年之前，项目以示范应 用为主，集中在可再生能源并网、调频辅助服务、电力输配、分布式发及微电网、电动汽车光储式充电站；</w:t>
      </w:r>
    </w:p>
    <w:p>
      <w:pPr>
        <w:pStyle w:val="BodyText"/>
        <w:tabs>
          <w:tab w:pos="12919" w:val="left" w:leader="none"/>
        </w:tabs>
        <w:spacing w:line="312" w:lineRule="auto" w:before="107"/>
        <w:ind w:right="599"/>
        <w:jc w:val="left"/>
      </w:pPr>
      <w:r>
        <w:rPr>
          <w:rFonts w:ascii="Arial" w:hAnsi="Arial" w:cs="Arial" w:eastAsia="Arial"/>
        </w:rPr>
        <w:t>2015</w:t>
      </w:r>
      <w:r>
        <w:rPr>
          <w:rFonts w:ascii="Arial" w:hAnsi="Arial" w:cs="Arial" w:eastAsia="Arial"/>
          <w:spacing w:val="29"/>
        </w:rPr>
        <w:t> </w:t>
      </w:r>
      <w:r>
        <w:rPr/>
        <w:t>年</w:t>
      </w:r>
      <w:r>
        <w:rPr>
          <w:spacing w:val="-110"/>
        </w:rPr>
        <w:t> </w:t>
      </w:r>
      <w:r>
        <w:rPr>
          <w:rFonts w:ascii="Arial" w:hAnsi="Arial" w:cs="Arial" w:eastAsia="Arial"/>
        </w:rPr>
        <w:t>-2020</w:t>
      </w:r>
      <w:r>
        <w:rPr>
          <w:rFonts w:ascii="Arial" w:hAnsi="Arial" w:cs="Arial" w:eastAsia="Arial"/>
          <w:spacing w:val="9"/>
        </w:rPr>
        <w:t> </w:t>
      </w:r>
      <w:r>
        <w:rPr/>
        <w:t>年，开始出现若干初具商业化但还不备规模的项目，逐步向商业化迈进；</w:t>
        <w:tab/>
      </w:r>
      <w:r>
        <w:rPr>
          <w:rFonts w:ascii="Arial" w:hAnsi="Arial" w:cs="Arial" w:eastAsia="Arial"/>
        </w:rPr>
        <w:t>2020</w:t>
      </w:r>
      <w:r>
        <w:rPr>
          <w:rFonts w:ascii="Arial" w:hAnsi="Arial" w:cs="Arial" w:eastAsia="Arial"/>
          <w:spacing w:val="-11"/>
        </w:rPr>
        <w:t> </w:t>
      </w:r>
      <w:r>
        <w:rPr/>
        <w:t>年之后，储能 将逐步在各个领域实现商业化发展。</w:t>
      </w:r>
    </w:p>
    <w:p>
      <w:pPr>
        <w:spacing w:line="240" w:lineRule="auto" w:before="3"/>
        <w:rPr>
          <w:rFonts w:ascii="宋体" w:hAnsi="宋体" w:cs="宋体" w:eastAsia="宋体"/>
          <w:sz w:val="24"/>
          <w:szCs w:val="24"/>
        </w:rPr>
      </w:pPr>
    </w:p>
    <w:p>
      <w:pPr>
        <w:pStyle w:val="BodyText"/>
        <w:spacing w:line="240" w:lineRule="auto"/>
        <w:ind w:left="800" w:right="380"/>
        <w:jc w:val="left"/>
      </w:pPr>
      <w:r>
        <w:rPr/>
        <w:t>目前储能应用最大的空间在于风光电厂的应用。受制于火电拉闸局限以及西部地区有限的消纳能力，</w:t>
      </w:r>
    </w:p>
    <w:p>
      <w:pPr>
        <w:pStyle w:val="BodyText"/>
        <w:tabs>
          <w:tab w:pos="3239" w:val="left" w:leader="none"/>
          <w:tab w:pos="3599" w:val="left" w:leader="none"/>
          <w:tab w:pos="5899" w:val="left" w:leader="none"/>
          <w:tab w:pos="8439" w:val="left" w:leader="none"/>
          <w:tab w:pos="9599" w:val="left" w:leader="none"/>
          <w:tab w:pos="12039" w:val="left" w:leader="none"/>
          <w:tab w:pos="15019" w:val="left" w:leader="none"/>
        </w:tabs>
        <w:spacing w:line="324" w:lineRule="auto" w:before="227"/>
        <w:ind w:right="119"/>
        <w:jc w:val="left"/>
      </w:pPr>
      <w:r>
        <w:rPr>
          <w:rFonts w:ascii="Arial" w:hAnsi="Arial" w:cs="Arial" w:eastAsia="Arial"/>
        </w:rPr>
        <w:t>2015 </w:t>
      </w:r>
      <w:r>
        <w:rPr/>
        <w:t>年的弃风、 弃光现象突出。 光伏方面， </w:t>
      </w:r>
      <w:r>
        <w:rPr>
          <w:rFonts w:ascii="Arial" w:hAnsi="Arial" w:cs="Arial" w:eastAsia="Arial"/>
        </w:rPr>
        <w:t>2015</w:t>
      </w:r>
      <w:r>
        <w:rPr>
          <w:rFonts w:ascii="Arial" w:hAnsi="Arial" w:cs="Arial" w:eastAsia="Arial"/>
          <w:spacing w:val="-32"/>
        </w:rPr>
        <w:t> </w:t>
      </w:r>
      <w:r>
        <w:rPr/>
        <w:t>年全国弃光电量</w:t>
        <w:tab/>
      </w:r>
      <w:r>
        <w:rPr>
          <w:rFonts w:ascii="Arial" w:hAnsi="Arial" w:cs="Arial" w:eastAsia="Arial"/>
        </w:rPr>
        <w:t>40</w:t>
      </w:r>
      <w:r>
        <w:rPr>
          <w:rFonts w:ascii="Arial" w:hAnsi="Arial" w:cs="Arial" w:eastAsia="Arial"/>
          <w:spacing w:val="-17"/>
        </w:rPr>
        <w:t> </w:t>
      </w:r>
      <w:r>
        <w:rPr/>
        <w:t>亿，弃光率约</w:t>
        <w:tab/>
      </w:r>
      <w:r>
        <w:rPr>
          <w:rFonts w:ascii="Arial" w:hAnsi="Arial" w:cs="Arial" w:eastAsia="Arial"/>
          <w:spacing w:val="-3"/>
        </w:rPr>
        <w:t>10%</w:t>
      </w:r>
      <w:r>
        <w:rPr>
          <w:spacing w:val="-3"/>
        </w:rPr>
        <w:t>。甘肃弃光率达</w:t>
        <w:tab/>
      </w:r>
      <w:r>
        <w:rPr>
          <w:rFonts w:ascii="Arial" w:hAnsi="Arial" w:cs="Arial" w:eastAsia="Arial"/>
          <w:spacing w:val="4"/>
        </w:rPr>
        <w:t>31%</w:t>
      </w:r>
      <w:r>
        <w:rPr>
          <w:spacing w:val="4"/>
        </w:rPr>
        <w:t>；</w:t>
      </w:r>
      <w:r>
        <w:rPr>
          <w:spacing w:val="-147"/>
        </w:rPr>
        <w:t> </w:t>
      </w:r>
      <w:r>
        <w:rPr/>
        <w:t>新疆自治区弃光率达</w:t>
        <w:tab/>
      </w:r>
      <w:r>
        <w:rPr>
          <w:rFonts w:ascii="Arial" w:hAnsi="Arial" w:cs="Arial" w:eastAsia="Arial"/>
          <w:spacing w:val="2"/>
        </w:rPr>
        <w:t>26%</w:t>
      </w:r>
      <w:r>
        <w:rPr>
          <w:spacing w:val="2"/>
        </w:rPr>
        <w:t>。风电方面，</w:t>
        <w:tab/>
      </w:r>
      <w:r>
        <w:rPr>
          <w:rFonts w:ascii="Arial" w:hAnsi="Arial" w:cs="Arial" w:eastAsia="Arial"/>
        </w:rPr>
        <w:t>2015</w:t>
      </w:r>
      <w:r>
        <w:rPr>
          <w:rFonts w:ascii="Arial" w:hAnsi="Arial" w:cs="Arial" w:eastAsia="Arial"/>
          <w:spacing w:val="9"/>
        </w:rPr>
        <w:t> </w:t>
      </w:r>
      <w:r>
        <w:rPr/>
        <w:t>年弃风电量</w:t>
        <w:tab/>
      </w:r>
      <w:r>
        <w:rPr>
          <w:rFonts w:ascii="Arial" w:hAnsi="Arial" w:cs="Arial" w:eastAsia="Arial"/>
        </w:rPr>
        <w:t>339</w:t>
      </w:r>
      <w:r>
        <w:rPr>
          <w:rFonts w:ascii="Arial" w:hAnsi="Arial" w:cs="Arial" w:eastAsia="Arial"/>
          <w:spacing w:val="-4"/>
        </w:rPr>
        <w:t> </w:t>
      </w:r>
      <w:r>
        <w:rPr/>
        <w:t>亿千瓦时，同比增加</w:t>
        <w:tab/>
      </w:r>
      <w:r>
        <w:rPr>
          <w:rFonts w:ascii="Arial" w:hAnsi="Arial" w:cs="Arial" w:eastAsia="Arial"/>
        </w:rPr>
        <w:t>213</w:t>
      </w:r>
      <w:r>
        <w:rPr>
          <w:rFonts w:ascii="Arial" w:hAnsi="Arial" w:cs="Arial" w:eastAsia="Arial"/>
          <w:spacing w:val="16"/>
        </w:rPr>
        <w:t> </w:t>
      </w:r>
      <w:r>
        <w:rPr/>
        <w:t>亿千瓦时，平均弃风 率达到</w:t>
      </w:r>
      <w:r>
        <w:rPr>
          <w:spacing w:val="69"/>
        </w:rPr>
        <w:t> </w:t>
      </w:r>
      <w:r>
        <w:rPr>
          <w:rFonts w:ascii="Arial" w:hAnsi="Arial" w:cs="Arial" w:eastAsia="Arial"/>
        </w:rPr>
        <w:t>15%</w:t>
      </w:r>
      <w:r>
        <w:rPr/>
        <w:t>，同比增加</w:t>
        <w:tab/>
      </w:r>
      <w:r>
        <w:rPr>
          <w:rFonts w:ascii="Arial" w:hAnsi="Arial" w:cs="Arial" w:eastAsia="Arial"/>
        </w:rPr>
        <w:t>7</w:t>
      </w:r>
      <w:r>
        <w:rPr>
          <w:rFonts w:ascii="Arial" w:hAnsi="Arial" w:cs="Arial" w:eastAsia="Arial"/>
          <w:spacing w:val="9"/>
        </w:rPr>
        <w:t> </w:t>
      </w:r>
      <w:r>
        <w:rPr/>
        <w:t>个百分点，同样是西北地区问题最突出。</w:t>
      </w:r>
    </w:p>
    <w:p>
      <w:pPr>
        <w:spacing w:line="240" w:lineRule="auto" w:before="8"/>
        <w:rPr>
          <w:rFonts w:ascii="宋体" w:hAnsi="宋体" w:cs="宋体" w:eastAsia="宋体"/>
          <w:sz w:val="23"/>
          <w:szCs w:val="23"/>
        </w:rPr>
      </w:pPr>
    </w:p>
    <w:p>
      <w:pPr>
        <w:pStyle w:val="BodyText"/>
        <w:spacing w:line="355" w:lineRule="auto"/>
        <w:ind w:right="380" w:firstLine="700"/>
        <w:jc w:val="left"/>
      </w:pPr>
      <w:r>
        <w:rPr/>
        <w:t>储能的引入可以将多余电能储存起来，待需要时释放，加装在风光电场可以弥补风、光发电存在的间 歇性和不稳定特点，也更有利于能灵活调节，提高发电系统效率。此外，风电和光伏对电网接入的友好性 也得到改善。</w:t>
      </w:r>
    </w:p>
    <w:p>
      <w:pPr>
        <w:spacing w:line="240" w:lineRule="auto" w:before="2"/>
        <w:rPr>
          <w:rFonts w:ascii="宋体" w:hAnsi="宋体" w:cs="宋体" w:eastAsia="宋体"/>
          <w:sz w:val="23"/>
          <w:szCs w:val="23"/>
        </w:rPr>
      </w:pPr>
    </w:p>
    <w:p>
      <w:pPr>
        <w:pStyle w:val="BodyText"/>
        <w:spacing w:line="355" w:lineRule="auto"/>
        <w:ind w:right="380" w:firstLine="700"/>
        <w:jc w:val="left"/>
      </w:pPr>
      <w:r>
        <w:rPr/>
        <w:t>其次，传统电厂往往需要配备备用电源，投资非常大，储能设施的引将有利于电厂降低成本，提高效 率。储能设备在负荷低谷的时候储存多余电量，符合峰值时将负荷谷底存储的多余电量发送给电网，从而 减少发电公司的不必要投资，提高设备利用率。在商业化推广方面，利用各省市的峰谷电价差发挥储能的 成本优势，进行削峰填谷的电力调节，再与客户分享收益。随着微电网的逐步推进，储能在家庭电网中也 将发挥重要作用。</w:t>
      </w:r>
    </w:p>
    <w:p>
      <w:pPr>
        <w:pStyle w:val="BodyText"/>
        <w:tabs>
          <w:tab w:pos="1019" w:val="left" w:leader="none"/>
        </w:tabs>
        <w:spacing w:line="240" w:lineRule="auto" w:before="143"/>
        <w:ind w:left="0" w:right="559"/>
        <w:jc w:val="center"/>
      </w:pPr>
      <w:r>
        <w:rPr/>
        <w:t>图表</w:t>
        <w:tab/>
        <w:t>中国储能需求细分</w:t>
      </w: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1"/>
        <w:rPr>
          <w:rFonts w:ascii="宋体" w:hAnsi="宋体" w:cs="宋体" w:eastAsia="宋体"/>
          <w:sz w:val="34"/>
          <w:szCs w:val="34"/>
        </w:rPr>
      </w:pPr>
    </w:p>
    <w:p>
      <w:pPr>
        <w:spacing w:before="0"/>
        <w:ind w:left="0" w:right="559" w:firstLine="0"/>
        <w:jc w:val="center"/>
        <w:rPr>
          <w:rFonts w:ascii="宋体" w:hAnsi="宋体" w:cs="宋体" w:eastAsia="宋体"/>
          <w:sz w:val="26"/>
          <w:szCs w:val="26"/>
        </w:rPr>
      </w:pPr>
      <w:r>
        <w:rPr>
          <w:rFonts w:ascii="宋体" w:hAnsi="宋体" w:cs="宋体" w:eastAsia="宋体"/>
          <w:sz w:val="26"/>
          <w:szCs w:val="26"/>
        </w:rPr>
        <w:t>资料来源：中投顾问产业研究中心</w:t>
      </w:r>
    </w:p>
    <w:p>
      <w:pPr>
        <w:spacing w:line="240" w:lineRule="auto" w:before="0"/>
        <w:rPr>
          <w:rFonts w:ascii="宋体" w:hAnsi="宋体" w:cs="宋体" w:eastAsia="宋体"/>
          <w:sz w:val="20"/>
          <w:szCs w:val="20"/>
        </w:rPr>
      </w:pPr>
    </w:p>
    <w:p>
      <w:pPr>
        <w:pStyle w:val="BodyText"/>
        <w:tabs>
          <w:tab w:pos="9139" w:val="left" w:leader="none"/>
        </w:tabs>
        <w:spacing w:line="240" w:lineRule="auto" w:before="151"/>
        <w:ind w:left="5080" w:right="380"/>
        <w:jc w:val="left"/>
      </w:pPr>
      <w:r>
        <w:rPr/>
        <w:t>中投顾问·让投资更安全</w:t>
        <w:tab/>
        <w:t>经营更稳健</w:t>
      </w:r>
    </w:p>
    <w:p>
      <w:pPr>
        <w:spacing w:after="0" w:line="240" w:lineRule="auto"/>
        <w:jc w:val="left"/>
        <w:sectPr>
          <w:type w:val="continuous"/>
          <w:pgSz w:w="19120" w:h="27060"/>
          <w:pgMar w:top="1920" w:bottom="280" w:left="1600" w:right="1460"/>
        </w:sectPr>
      </w:pPr>
    </w:p>
    <w:p>
      <w:pPr>
        <w:spacing w:line="337" w:lineRule="exact" w:before="0"/>
        <w:ind w:left="0" w:right="499" w:firstLine="0"/>
        <w:jc w:val="right"/>
        <w:rPr>
          <w:rFonts w:ascii="宋体" w:hAnsi="宋体" w:cs="宋体" w:eastAsia="宋体"/>
          <w:sz w:val="26"/>
          <w:szCs w:val="26"/>
        </w:rPr>
      </w:pPr>
      <w:r>
        <w:rPr>
          <w:rFonts w:ascii="宋体" w:hAnsi="宋体" w:cs="宋体" w:eastAsia="宋体"/>
          <w:sz w:val="26"/>
          <w:szCs w:val="26"/>
        </w:rPr>
        <w:t>中投顾问产业研究中心</w:t>
      </w:r>
    </w:p>
    <w:p>
      <w:pPr>
        <w:spacing w:line="240" w:lineRule="auto" w:before="0"/>
        <w:rPr>
          <w:rFonts w:ascii="宋体" w:hAnsi="宋体" w:cs="宋体" w:eastAsia="宋体"/>
          <w:sz w:val="20"/>
          <w:szCs w:val="20"/>
        </w:rPr>
      </w:pPr>
    </w:p>
    <w:p>
      <w:pPr>
        <w:pStyle w:val="Heading1"/>
        <w:spacing w:line="240" w:lineRule="auto" w:before="161"/>
        <w:ind w:right="539"/>
        <w:jc w:val="left"/>
      </w:pPr>
      <w:r>
        <w:rPr/>
        <w:t>应用格局</w:t>
      </w:r>
    </w:p>
    <w:p>
      <w:pPr>
        <w:spacing w:line="240" w:lineRule="auto" w:before="0"/>
        <w:rPr>
          <w:rFonts w:ascii="宋体" w:hAnsi="宋体" w:cs="宋体" w:eastAsia="宋体"/>
          <w:sz w:val="36"/>
          <w:szCs w:val="36"/>
        </w:rPr>
      </w:pPr>
    </w:p>
    <w:p>
      <w:pPr>
        <w:spacing w:line="240" w:lineRule="auto" w:before="5"/>
        <w:rPr>
          <w:rFonts w:ascii="宋体" w:hAnsi="宋体" w:cs="宋体" w:eastAsia="宋体"/>
          <w:sz w:val="43"/>
          <w:szCs w:val="43"/>
        </w:rPr>
      </w:pPr>
    </w:p>
    <w:p>
      <w:pPr>
        <w:pStyle w:val="BodyText"/>
        <w:spacing w:line="240" w:lineRule="auto"/>
        <w:ind w:right="539" w:firstLine="700"/>
        <w:jc w:val="left"/>
      </w:pPr>
      <w:r>
        <w:rPr/>
        <w:t>目前，国内的储能市场主要分为两类，一类是用户端分布式发电及微电网中储能的应用，占比大约为</w:t>
      </w:r>
    </w:p>
    <w:p>
      <w:pPr>
        <w:pStyle w:val="BodyText"/>
        <w:tabs>
          <w:tab w:pos="2239" w:val="left" w:leader="none"/>
          <w:tab w:pos="7659" w:val="left" w:leader="none"/>
          <w:tab w:pos="10839" w:val="left" w:leader="none"/>
        </w:tabs>
        <w:spacing w:line="312" w:lineRule="auto" w:before="227"/>
        <w:ind w:right="539"/>
        <w:jc w:val="left"/>
      </w:pPr>
      <w:r>
        <w:rPr>
          <w:rFonts w:ascii="Arial" w:hAnsi="Arial" w:cs="Arial" w:eastAsia="Arial"/>
        </w:rPr>
        <w:t>56%</w:t>
      </w:r>
      <w:r>
        <w:rPr/>
        <w:t>，另一类是集中式风光电站（可再生能源并网）储能应用，占比约为</w:t>
        <w:tab/>
      </w:r>
      <w:r>
        <w:rPr>
          <w:rFonts w:ascii="Arial" w:hAnsi="Arial" w:cs="Arial" w:eastAsia="Arial"/>
        </w:rPr>
        <w:t>35%</w:t>
      </w:r>
      <w:r>
        <w:rPr/>
        <w:t>，目前两者累计装机规模已超</w:t>
      </w:r>
      <w:r>
        <w:rPr>
          <w:spacing w:val="-131"/>
        </w:rPr>
        <w:t> </w:t>
      </w:r>
      <w:r>
        <w:rPr/>
        <w:t>过国内市场的</w:t>
        <w:tab/>
      </w:r>
      <w:r>
        <w:rPr>
          <w:rFonts w:ascii="Arial" w:hAnsi="Arial" w:cs="Arial" w:eastAsia="Arial"/>
        </w:rPr>
        <w:t>90%</w:t>
      </w:r>
      <w:r>
        <w:rPr/>
        <w:t>，电力输配和调频辅助服务占到</w:t>
        <w:tab/>
      </w:r>
      <w:r>
        <w:rPr>
          <w:rFonts w:ascii="Arial" w:hAnsi="Arial" w:cs="Arial" w:eastAsia="Arial"/>
        </w:rPr>
        <w:t>9%</w:t>
      </w:r>
      <w:r>
        <w:rPr/>
        <w:t>左右的市场份额。</w:t>
      </w:r>
    </w:p>
    <w:p>
      <w:pPr>
        <w:spacing w:line="240" w:lineRule="auto" w:before="11"/>
        <w:rPr>
          <w:rFonts w:ascii="宋体" w:hAnsi="宋体" w:cs="宋体" w:eastAsia="宋体"/>
          <w:sz w:val="24"/>
          <w:szCs w:val="24"/>
        </w:rPr>
      </w:pPr>
    </w:p>
    <w:p>
      <w:pPr>
        <w:pStyle w:val="BodyText"/>
        <w:spacing w:line="355" w:lineRule="auto"/>
        <w:ind w:right="539" w:firstLine="700"/>
        <w:jc w:val="left"/>
      </w:pPr>
      <w:r>
        <w:rPr/>
        <w:t>由于储能在国内不具有市场主体地位、补偿机制不明确、调度经验缺乏等原因，目前仍处于产业化初 期，并未形成成熟的商业模式，主要以功能性示范项目为主。</w:t>
      </w:r>
    </w:p>
    <w:p>
      <w:pPr>
        <w:pStyle w:val="BodyText"/>
        <w:tabs>
          <w:tab w:pos="4659" w:val="left" w:leader="none"/>
        </w:tabs>
        <w:spacing w:line="240" w:lineRule="auto" w:before="143"/>
        <w:ind w:left="5800" w:right="539" w:hanging="2180"/>
        <w:jc w:val="left"/>
      </w:pPr>
      <w:r>
        <w:rPr/>
        <w:t>图表</w:t>
        <w:tab/>
        <w:t>截至 </w:t>
      </w:r>
      <w:r>
        <w:rPr>
          <w:rFonts w:ascii="Arial" w:hAnsi="Arial" w:cs="Arial" w:eastAsia="Arial"/>
          <w:b/>
          <w:bCs/>
        </w:rPr>
        <w:t>2015</w:t>
      </w:r>
      <w:r>
        <w:rPr>
          <w:rFonts w:ascii="Arial" w:hAnsi="Arial" w:cs="Arial" w:eastAsia="Arial"/>
          <w:b/>
          <w:bCs/>
          <w:spacing w:val="19"/>
        </w:rPr>
        <w:t> </w:t>
      </w:r>
      <w:r>
        <w:rPr/>
        <w:t>年底国内储能运行项目应用累计装机分布</w:t>
      </w: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before="246"/>
        <w:ind w:left="5780" w:right="6179" w:firstLine="0"/>
        <w:jc w:val="center"/>
        <w:rPr>
          <w:rFonts w:ascii="宋体" w:hAnsi="宋体" w:cs="宋体" w:eastAsia="宋体"/>
          <w:sz w:val="26"/>
          <w:szCs w:val="26"/>
        </w:rPr>
      </w:pPr>
      <w:r>
        <w:rPr>
          <w:rFonts w:ascii="宋体" w:hAnsi="宋体" w:cs="宋体" w:eastAsia="宋体"/>
          <w:sz w:val="26"/>
          <w:szCs w:val="26"/>
        </w:rPr>
        <w:t>数据来源：中投顾问产业研究中心</w:t>
      </w:r>
    </w:p>
    <w:p>
      <w:pPr>
        <w:spacing w:line="240" w:lineRule="auto" w:before="6"/>
        <w:rPr>
          <w:rFonts w:ascii="宋体" w:hAnsi="宋体" w:cs="宋体" w:eastAsia="宋体"/>
          <w:sz w:val="25"/>
          <w:szCs w:val="25"/>
        </w:rPr>
      </w:pPr>
    </w:p>
    <w:p>
      <w:pPr>
        <w:pStyle w:val="BodyText"/>
        <w:tabs>
          <w:tab w:pos="5219" w:val="left" w:leader="none"/>
        </w:tabs>
        <w:spacing w:line="240" w:lineRule="auto"/>
        <w:ind w:left="5800" w:right="539" w:hanging="1620"/>
        <w:jc w:val="left"/>
      </w:pPr>
      <w:r>
        <w:rPr/>
        <w:t>图表</w:t>
        <w:tab/>
      </w:r>
      <w:r>
        <w:rPr>
          <w:rFonts w:ascii="Arial" w:hAnsi="Arial" w:cs="Arial" w:eastAsia="Arial"/>
          <w:b/>
          <w:bCs/>
        </w:rPr>
        <w:t>2015</w:t>
      </w:r>
      <w:r>
        <w:rPr>
          <w:rFonts w:ascii="Arial" w:hAnsi="Arial" w:cs="Arial" w:eastAsia="Arial"/>
          <w:b/>
          <w:bCs/>
          <w:spacing w:val="-11"/>
        </w:rPr>
        <w:t> </w:t>
      </w:r>
      <w:r>
        <w:rPr/>
        <w:t>年国内储能项目不同应用领域数量分布</w:t>
      </w: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line="240" w:lineRule="auto" w:before="0"/>
        <w:rPr>
          <w:rFonts w:ascii="宋体" w:hAnsi="宋体" w:cs="宋体" w:eastAsia="宋体"/>
          <w:sz w:val="30"/>
          <w:szCs w:val="30"/>
        </w:rPr>
      </w:pPr>
    </w:p>
    <w:p>
      <w:pPr>
        <w:spacing w:before="266"/>
        <w:ind w:left="5780" w:right="6179" w:firstLine="0"/>
        <w:jc w:val="center"/>
        <w:rPr>
          <w:rFonts w:ascii="宋体" w:hAnsi="宋体" w:cs="宋体" w:eastAsia="宋体"/>
          <w:sz w:val="26"/>
          <w:szCs w:val="26"/>
        </w:rPr>
      </w:pPr>
      <w:r>
        <w:rPr>
          <w:rFonts w:ascii="宋体" w:hAnsi="宋体" w:cs="宋体" w:eastAsia="宋体"/>
          <w:sz w:val="26"/>
          <w:szCs w:val="26"/>
        </w:rPr>
        <w:t>数据来源：中投顾问产业研究中心</w:t>
      </w: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6"/>
        <w:rPr>
          <w:rFonts w:ascii="宋体" w:hAnsi="宋体" w:cs="宋体" w:eastAsia="宋体"/>
          <w:sz w:val="15"/>
          <w:szCs w:val="15"/>
        </w:rPr>
      </w:pPr>
    </w:p>
    <w:p>
      <w:pPr>
        <w:spacing w:after="0" w:line="240" w:lineRule="auto"/>
        <w:rPr>
          <w:rFonts w:ascii="宋体" w:hAnsi="宋体" w:cs="宋体" w:eastAsia="宋体"/>
          <w:sz w:val="15"/>
          <w:szCs w:val="15"/>
        </w:rPr>
        <w:sectPr>
          <w:pgSz w:w="19120" w:h="27060"/>
          <w:pgMar w:top="1920" w:bottom="280" w:left="1600" w:right="1620"/>
        </w:sectPr>
      </w:pPr>
    </w:p>
    <w:p>
      <w:pPr>
        <w:pStyle w:val="BodyText"/>
        <w:tabs>
          <w:tab w:pos="9139" w:val="left" w:leader="none"/>
        </w:tabs>
        <w:spacing w:line="240" w:lineRule="auto" w:before="7"/>
        <w:ind w:left="5080" w:right="0"/>
        <w:jc w:val="left"/>
      </w:pPr>
      <w:r>
        <w:rPr/>
        <w:t>中投顾问·让投资更安全</w:t>
        <w:tab/>
        <w:t>经营更稳健</w:t>
      </w:r>
    </w:p>
    <w:p>
      <w:pPr>
        <w:spacing w:line="240" w:lineRule="auto" w:before="2"/>
        <w:rPr>
          <w:rFonts w:ascii="宋体" w:hAnsi="宋体" w:cs="宋体" w:eastAsia="宋体"/>
          <w:sz w:val="33"/>
          <w:szCs w:val="33"/>
        </w:rPr>
      </w:pPr>
      <w:r>
        <w:rPr/>
        <w:br w:type="column"/>
      </w:r>
      <w:r>
        <w:rPr>
          <w:rFonts w:ascii="宋体"/>
          <w:sz w:val="33"/>
        </w:rPr>
      </w:r>
    </w:p>
    <w:p>
      <w:pPr>
        <w:spacing w:before="0"/>
        <w:ind w:left="0" w:right="119" w:firstLine="0"/>
        <w:jc w:val="right"/>
        <w:rPr>
          <w:rFonts w:ascii="宋体" w:hAnsi="宋体" w:cs="宋体" w:eastAsia="宋体"/>
          <w:sz w:val="26"/>
          <w:szCs w:val="26"/>
        </w:rPr>
      </w:pPr>
      <w:r>
        <w:rPr>
          <w:rFonts w:ascii="宋体" w:hAnsi="宋体" w:cs="宋体" w:eastAsia="宋体"/>
          <w:sz w:val="26"/>
          <w:szCs w:val="26"/>
        </w:rPr>
        <w:t>第 </w:t>
      </w:r>
      <w:r>
        <w:rPr>
          <w:rFonts w:ascii="Arial" w:hAnsi="Arial" w:cs="Arial" w:eastAsia="Arial"/>
          <w:sz w:val="26"/>
          <w:szCs w:val="26"/>
        </w:rPr>
        <w:t>2</w:t>
      </w:r>
      <w:r>
        <w:rPr>
          <w:rFonts w:ascii="Arial" w:hAnsi="Arial" w:cs="Arial" w:eastAsia="Arial"/>
          <w:spacing w:val="-27"/>
          <w:sz w:val="26"/>
          <w:szCs w:val="26"/>
        </w:rPr>
        <w:t> </w:t>
      </w:r>
      <w:r>
        <w:rPr>
          <w:rFonts w:ascii="宋体" w:hAnsi="宋体" w:cs="宋体" w:eastAsia="宋体"/>
          <w:sz w:val="26"/>
          <w:szCs w:val="26"/>
        </w:rPr>
        <w:t>页</w:t>
      </w:r>
    </w:p>
    <w:p>
      <w:pPr>
        <w:spacing w:after="0"/>
        <w:jc w:val="right"/>
        <w:rPr>
          <w:rFonts w:ascii="宋体" w:hAnsi="宋体" w:cs="宋体" w:eastAsia="宋体"/>
          <w:sz w:val="26"/>
          <w:szCs w:val="26"/>
        </w:rPr>
        <w:sectPr>
          <w:type w:val="continuous"/>
          <w:pgSz w:w="19120" w:h="27060"/>
          <w:pgMar w:top="1920" w:bottom="280" w:left="1600" w:right="1620"/>
          <w:cols w:num="2" w:equalWidth="0">
            <w:col w:w="10641" w:space="40"/>
            <w:col w:w="5219"/>
          </w:cols>
        </w:sectPr>
      </w:pPr>
    </w:p>
    <w:p>
      <w:pPr>
        <w:spacing w:line="337" w:lineRule="exact" w:before="0"/>
        <w:ind w:left="0" w:right="499" w:firstLine="0"/>
        <w:jc w:val="right"/>
        <w:rPr>
          <w:rFonts w:ascii="宋体" w:hAnsi="宋体" w:cs="宋体" w:eastAsia="宋体"/>
          <w:sz w:val="26"/>
          <w:szCs w:val="26"/>
        </w:rPr>
      </w:pPr>
      <w:r>
        <w:rPr>
          <w:rFonts w:ascii="宋体" w:hAnsi="宋体" w:cs="宋体" w:eastAsia="宋体"/>
          <w:sz w:val="26"/>
          <w:szCs w:val="26"/>
        </w:rPr>
        <w:t>中投顾问产业研究中心</w:t>
      </w:r>
    </w:p>
    <w:p>
      <w:pPr>
        <w:pStyle w:val="BodyText"/>
        <w:spacing w:line="355" w:lineRule="auto" w:before="193"/>
        <w:ind w:right="539" w:firstLine="700"/>
        <w:jc w:val="left"/>
      </w:pPr>
      <w:r>
        <w:rPr/>
        <w:t>随着储能示范项目积累的运行经验以及技术提升带来的成本下降，目前储能已经在分布式发电与微网、 电力辅助服务、用户侧需求响应和电动汽车车电互联等四个领域出现市场机会和商业化模式。</w:t>
      </w: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line="240" w:lineRule="auto" w:before="0"/>
        <w:rPr>
          <w:rFonts w:ascii="宋体" w:hAnsi="宋体" w:cs="宋体" w:eastAsia="宋体"/>
          <w:sz w:val="20"/>
          <w:szCs w:val="20"/>
        </w:rPr>
      </w:pPr>
    </w:p>
    <w:p>
      <w:pPr>
        <w:spacing w:after="0" w:line="240" w:lineRule="auto"/>
        <w:rPr>
          <w:rFonts w:ascii="宋体" w:hAnsi="宋体" w:cs="宋体" w:eastAsia="宋体"/>
          <w:sz w:val="20"/>
          <w:szCs w:val="20"/>
        </w:rPr>
        <w:sectPr>
          <w:pgSz w:w="19120" w:h="27060"/>
          <w:pgMar w:top="1920" w:bottom="280" w:left="1600" w:right="1620"/>
        </w:sectPr>
      </w:pPr>
    </w:p>
    <w:p>
      <w:pPr>
        <w:pStyle w:val="BodyText"/>
        <w:tabs>
          <w:tab w:pos="9139" w:val="left" w:leader="none"/>
        </w:tabs>
        <w:spacing w:line="240" w:lineRule="auto" w:before="166"/>
        <w:ind w:left="5080" w:right="0"/>
        <w:jc w:val="left"/>
      </w:pPr>
      <w:r>
        <w:rPr/>
        <w:pict>
          <v:shape style="position:absolute;margin-left:0pt;margin-top:3.5512pt;width:953.4908pt;height:1349.44880pt;mso-position-horizontal-relative:page;mso-position-vertical-relative:page;z-index:-6400" type="#_x0000_t75" stroked="false">
            <v:imagedata r:id="rId6" o:title=""/>
          </v:shape>
        </w:pict>
      </w:r>
      <w:r>
        <w:rPr/>
        <w:t>中投顾问·让投资更安全</w:t>
        <w:tab/>
        <w:t>经营更稳健</w:t>
      </w:r>
    </w:p>
    <w:p>
      <w:pPr>
        <w:spacing w:line="240" w:lineRule="auto" w:before="0"/>
        <w:rPr>
          <w:rFonts w:ascii="宋体" w:hAnsi="宋体" w:cs="宋体" w:eastAsia="宋体"/>
          <w:sz w:val="26"/>
          <w:szCs w:val="26"/>
        </w:rPr>
      </w:pPr>
      <w:r>
        <w:rPr/>
        <w:br w:type="column"/>
      </w:r>
      <w:r>
        <w:rPr>
          <w:rFonts w:ascii="宋体"/>
          <w:sz w:val="26"/>
        </w:rPr>
      </w:r>
    </w:p>
    <w:p>
      <w:pPr>
        <w:spacing w:line="240" w:lineRule="auto" w:before="4"/>
        <w:rPr>
          <w:rFonts w:ascii="宋体" w:hAnsi="宋体" w:cs="宋体" w:eastAsia="宋体"/>
          <w:sz w:val="19"/>
          <w:szCs w:val="19"/>
        </w:rPr>
      </w:pPr>
    </w:p>
    <w:p>
      <w:pPr>
        <w:spacing w:before="0"/>
        <w:ind w:left="0" w:right="119" w:firstLine="0"/>
        <w:jc w:val="right"/>
        <w:rPr>
          <w:rFonts w:ascii="宋体" w:hAnsi="宋体" w:cs="宋体" w:eastAsia="宋体"/>
          <w:sz w:val="26"/>
          <w:szCs w:val="26"/>
        </w:rPr>
      </w:pPr>
      <w:r>
        <w:rPr>
          <w:rFonts w:ascii="宋体" w:hAnsi="宋体" w:cs="宋体" w:eastAsia="宋体"/>
          <w:sz w:val="26"/>
          <w:szCs w:val="26"/>
        </w:rPr>
        <w:t>第 </w:t>
      </w:r>
      <w:r>
        <w:rPr>
          <w:rFonts w:ascii="Arial" w:hAnsi="Arial" w:cs="Arial" w:eastAsia="Arial"/>
          <w:sz w:val="26"/>
          <w:szCs w:val="26"/>
        </w:rPr>
        <w:t>3</w:t>
      </w:r>
      <w:r>
        <w:rPr>
          <w:rFonts w:ascii="Arial" w:hAnsi="Arial" w:cs="Arial" w:eastAsia="Arial"/>
          <w:spacing w:val="-27"/>
          <w:sz w:val="26"/>
          <w:szCs w:val="26"/>
        </w:rPr>
        <w:t> </w:t>
      </w:r>
      <w:r>
        <w:rPr>
          <w:rFonts w:ascii="宋体" w:hAnsi="宋体" w:cs="宋体" w:eastAsia="宋体"/>
          <w:sz w:val="26"/>
          <w:szCs w:val="26"/>
        </w:rPr>
        <w:t>页</w:t>
      </w:r>
    </w:p>
    <w:sectPr>
      <w:type w:val="continuous"/>
      <w:pgSz w:w="19120" w:h="27060"/>
      <w:pgMar w:top="1920" w:bottom="280" w:left="1600" w:right="1620"/>
      <w:cols w:num="2" w:equalWidth="0">
        <w:col w:w="10641" w:space="40"/>
        <w:col w:w="521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BodyText" w:type="paragraph">
    <w:name w:val="Body Text"/>
    <w:basedOn w:val="Normal"/>
    <w:uiPriority w:val="1"/>
    <w:qFormat/>
    <w:pPr>
      <w:ind w:left="100"/>
    </w:pPr>
    <w:rPr>
      <w:rFonts w:ascii="宋体" w:hAnsi="宋体" w:eastAsia="宋体"/>
      <w:sz w:val="30"/>
      <w:szCs w:val="30"/>
    </w:rPr>
  </w:style>
  <w:style w:styleId="Heading1" w:type="paragraph">
    <w:name w:val="Heading 1"/>
    <w:basedOn w:val="Normal"/>
    <w:uiPriority w:val="1"/>
    <w:qFormat/>
    <w:pPr>
      <w:ind w:left="100"/>
      <w:outlineLvl w:val="1"/>
    </w:pPr>
    <w:rPr>
      <w:rFonts w:ascii="宋体" w:hAnsi="宋体" w:eastAsia="宋体"/>
      <w:sz w:val="36"/>
      <w:szCs w:val="36"/>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bingdian001.com</dc:creator>
  <cp:keywords>bingdian001.com</cp:keywords>
  <dc:subject>bingdian001.com</dc:subject>
  <dc:title>bingdian001.com</dc:title>
  <dcterms:created xsi:type="dcterms:W3CDTF">2019-10-09T09:15:29Z</dcterms:created>
  <dcterms:modified xsi:type="dcterms:W3CDTF">2019-10-09T09:15:29Z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2019-10-09T00:00:00Z</vt:filetime>
  </property>
  <property fmtid="{D5CDD505-2E9C-101B-9397-08002B2CF9AE}" pid="3" name="Creator">
    <vt:lpwstr>bingdian001.com</vt:lpwstr>
  </property>
  <property fmtid="{D5CDD505-2E9C-101B-9397-08002B2CF9AE}" pid="4" name="LastSaved">
    <vt:filetime>2019-10-09T00:00:00Z</vt:filetime>
  </property>
</Properties>
</file>