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0F9BB"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Qualifying rate policy</w:t>
      </w:r>
    </w:p>
    <w:p w14:paraId="38993501" w14:textId="77777777" w:rsidR="002B7B6F" w:rsidRPr="002B7B6F" w:rsidRDefault="002B7B6F" w:rsidP="002B7B6F">
      <w:pPr>
        <w:spacing w:beforeAutospacing="1"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b/>
          <w:bCs/>
          <w:color w:val="51514D"/>
          <w:kern w:val="0"/>
          <w:bdr w:val="none" w:sz="0" w:space="0" w:color="auto" w:frame="1"/>
          <w14:ligatures w14:val="none"/>
        </w:rPr>
        <w:t>High Ratio Fixed rate mortgages</w:t>
      </w:r>
    </w:p>
    <w:p w14:paraId="6893386F" w14:textId="77777777" w:rsidR="002B7B6F" w:rsidRPr="002B7B6F" w:rsidRDefault="002B7B6F" w:rsidP="002B7B6F">
      <w:pPr>
        <w:numPr>
          <w:ilvl w:val="0"/>
          <w:numId w:val="1"/>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For all terms, applicants must qualify using the greater of 5.25% Benchmark or Contract Rate + 2%</w:t>
      </w:r>
    </w:p>
    <w:p w14:paraId="72E8E8B1" w14:textId="77777777" w:rsidR="002B7B6F" w:rsidRPr="002B7B6F" w:rsidRDefault="002B7B6F" w:rsidP="002B7B6F">
      <w:pPr>
        <w:spacing w:beforeAutospacing="1"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br/>
      </w:r>
      <w:r w:rsidRPr="002B7B6F">
        <w:rPr>
          <w:rFonts w:ascii="arial, sans-serif" w:eastAsia="Times New Roman" w:hAnsi="arial, sans-serif" w:cs="Times New Roman"/>
          <w:b/>
          <w:bCs/>
          <w:color w:val="51514D"/>
          <w:kern w:val="0"/>
          <w:bdr w:val="none" w:sz="0" w:space="0" w:color="auto" w:frame="1"/>
          <w14:ligatures w14:val="none"/>
        </w:rPr>
        <w:t>Conventional Mortgages: Purchases or Refinances</w:t>
      </w:r>
      <w:r w:rsidRPr="002B7B6F">
        <w:rPr>
          <w:rFonts w:ascii="arial, sans-serif" w:eastAsia="Times New Roman" w:hAnsi="arial, sans-serif" w:cs="Times New Roman"/>
          <w:color w:val="51514D"/>
          <w:kern w:val="0"/>
          <w14:ligatures w14:val="none"/>
        </w:rPr>
        <w:br/>
        <w:t xml:space="preserve">Uninsurable purchases and refinances offer a </w:t>
      </w:r>
      <w:proofErr w:type="gramStart"/>
      <w:r w:rsidRPr="002B7B6F">
        <w:rPr>
          <w:rFonts w:ascii="arial, sans-serif" w:eastAsia="Times New Roman" w:hAnsi="arial, sans-serif" w:cs="Times New Roman"/>
          <w:color w:val="51514D"/>
          <w:kern w:val="0"/>
          <w14:ligatures w14:val="none"/>
        </w:rPr>
        <w:t>30 year</w:t>
      </w:r>
      <w:proofErr w:type="gramEnd"/>
      <w:r w:rsidRPr="002B7B6F">
        <w:rPr>
          <w:rFonts w:ascii="arial, sans-serif" w:eastAsia="Times New Roman" w:hAnsi="arial, sans-serif" w:cs="Times New Roman"/>
          <w:color w:val="51514D"/>
          <w:kern w:val="0"/>
          <w14:ligatures w14:val="none"/>
        </w:rPr>
        <w:t xml:space="preserve"> amortization, with the exception of 2nd position mortgages behind an existing Meridian 1st mortgage which have a maximum amortization of 25 years.</w:t>
      </w:r>
    </w:p>
    <w:p w14:paraId="6C33BD7E" w14:textId="77777777" w:rsidR="002B7B6F" w:rsidRPr="002B7B6F" w:rsidRDefault="002B7B6F" w:rsidP="002B7B6F">
      <w:pPr>
        <w:numPr>
          <w:ilvl w:val="0"/>
          <w:numId w:val="2"/>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Insurable Mortgages must qualify at the greater of 5.25% Benchmark or Contract Rate plus 2%, over 25 years</w:t>
      </w:r>
    </w:p>
    <w:p w14:paraId="17F979E5" w14:textId="77777777" w:rsidR="002B7B6F" w:rsidRPr="002B7B6F" w:rsidRDefault="002B7B6F" w:rsidP="002B7B6F">
      <w:pPr>
        <w:spacing w:beforeAutospacing="1"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br/>
      </w:r>
      <w:r w:rsidRPr="002B7B6F">
        <w:rPr>
          <w:rFonts w:ascii="arial, sans-serif" w:eastAsia="Times New Roman" w:hAnsi="arial, sans-serif" w:cs="Times New Roman"/>
          <w:b/>
          <w:bCs/>
          <w:color w:val="51514D"/>
          <w:kern w:val="0"/>
          <w:bdr w:val="none" w:sz="0" w:space="0" w:color="auto" w:frame="1"/>
          <w14:ligatures w14:val="none"/>
        </w:rPr>
        <w:t>Flex Line</w:t>
      </w:r>
    </w:p>
    <w:p w14:paraId="58C6080D" w14:textId="77777777" w:rsidR="002B7B6F" w:rsidRPr="002B7B6F" w:rsidRDefault="002B7B6F" w:rsidP="002B7B6F">
      <w:pPr>
        <w:numPr>
          <w:ilvl w:val="0"/>
          <w:numId w:val="3"/>
        </w:numPr>
        <w:spacing w:beforeAutospacing="1"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All </w:t>
      </w:r>
      <w:r w:rsidRPr="002B7B6F">
        <w:rPr>
          <w:rFonts w:ascii="arial, sans-serif" w:eastAsia="Times New Roman" w:hAnsi="arial, sans-serif" w:cs="Times New Roman"/>
          <w:color w:val="FF5600"/>
          <w:kern w:val="0"/>
          <w:bdr w:val="none" w:sz="0" w:space="0" w:color="auto" w:frame="1"/>
          <w14:ligatures w14:val="none"/>
        </w:rPr>
        <w:t>Flex Line</w:t>
      </w:r>
      <w:r w:rsidRPr="002B7B6F">
        <w:rPr>
          <w:rFonts w:ascii="arial, sans-serif" w:eastAsia="Times New Roman" w:hAnsi="arial, sans-serif" w:cs="Times New Roman"/>
          <w:color w:val="51514D"/>
          <w:kern w:val="0"/>
          <w14:ligatures w14:val="none"/>
        </w:rPr>
        <w:t> arrangements must be qualified at the greater of the 5.25% Benchmark rate or the mortgage contract rate plus 2%.  Example:  Mortgage amount = $200</w:t>
      </w:r>
      <w:proofErr w:type="gramStart"/>
      <w:r w:rsidRPr="002B7B6F">
        <w:rPr>
          <w:rFonts w:ascii="arial, sans-serif" w:eastAsia="Times New Roman" w:hAnsi="arial, sans-serif" w:cs="Times New Roman"/>
          <w:color w:val="51514D"/>
          <w:kern w:val="0"/>
          <w14:ligatures w14:val="none"/>
        </w:rPr>
        <w:t>K;  HELOC</w:t>
      </w:r>
      <w:proofErr w:type="gramEnd"/>
      <w:r w:rsidRPr="002B7B6F">
        <w:rPr>
          <w:rFonts w:ascii="arial, sans-serif" w:eastAsia="Times New Roman" w:hAnsi="arial, sans-serif" w:cs="Times New Roman"/>
          <w:color w:val="51514D"/>
          <w:kern w:val="0"/>
          <w14:ligatures w14:val="none"/>
        </w:rPr>
        <w:t xml:space="preserve"> initial limit = $100K --- Qualifying rate for each application is the </w:t>
      </w:r>
      <w:r w:rsidRPr="002B7B6F">
        <w:rPr>
          <w:rFonts w:ascii="arial, sans-serif" w:eastAsia="Times New Roman" w:hAnsi="arial, sans-serif" w:cs="Times New Roman"/>
          <w:b/>
          <w:bCs/>
          <w:color w:val="51514D"/>
          <w:kern w:val="0"/>
          <w:bdr w:val="none" w:sz="0" w:space="0" w:color="auto" w:frame="1"/>
          <w14:ligatures w14:val="none"/>
        </w:rPr>
        <w:t>mortgage rate plus 2% OR the 5.25% Benchmark rate (whichever is greater)</w:t>
      </w:r>
    </w:p>
    <w:p w14:paraId="402FCDF6"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G.D.S and T.D.S ratios</w:t>
      </w:r>
    </w:p>
    <w:p w14:paraId="04FD3E26" w14:textId="77777777" w:rsidR="002B7B6F" w:rsidRPr="002B7B6F" w:rsidRDefault="002B7B6F" w:rsidP="002B7B6F">
      <w:pPr>
        <w:spacing w:beforeAutospacing="1"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Ratios are not to exceed </w:t>
      </w:r>
      <w:r w:rsidRPr="002B7B6F">
        <w:rPr>
          <w:rFonts w:ascii="arial, sans-serif" w:eastAsia="Times New Roman" w:hAnsi="arial, sans-serif" w:cs="Times New Roman"/>
          <w:b/>
          <w:bCs/>
          <w:color w:val="51514D"/>
          <w:kern w:val="0"/>
          <w:bdr w:val="none" w:sz="0" w:space="0" w:color="auto" w:frame="1"/>
          <w14:ligatures w14:val="none"/>
        </w:rPr>
        <w:t>39%</w:t>
      </w:r>
      <w:r w:rsidRPr="002B7B6F">
        <w:rPr>
          <w:rFonts w:ascii="arial, sans-serif" w:eastAsia="Times New Roman" w:hAnsi="arial, sans-serif" w:cs="Times New Roman"/>
          <w:color w:val="51514D"/>
          <w:kern w:val="0"/>
          <w14:ligatures w14:val="none"/>
        </w:rPr>
        <w:t> and </w:t>
      </w:r>
      <w:r w:rsidRPr="002B7B6F">
        <w:rPr>
          <w:rFonts w:ascii="arial, sans-serif" w:eastAsia="Times New Roman" w:hAnsi="arial, sans-serif" w:cs="Times New Roman"/>
          <w:b/>
          <w:bCs/>
          <w:color w:val="51514D"/>
          <w:kern w:val="0"/>
          <w:bdr w:val="none" w:sz="0" w:space="0" w:color="auto" w:frame="1"/>
          <w14:ligatures w14:val="none"/>
        </w:rPr>
        <w:t>44%</w:t>
      </w:r>
      <w:r w:rsidRPr="002B7B6F">
        <w:rPr>
          <w:rFonts w:ascii="arial, sans-serif" w:eastAsia="Times New Roman" w:hAnsi="arial, sans-serif" w:cs="Times New Roman"/>
          <w:color w:val="51514D"/>
          <w:kern w:val="0"/>
          <w14:ligatures w14:val="none"/>
        </w:rPr>
        <w:t> respectively (regardless of high ratio insurer guidelines)</w:t>
      </w:r>
    </w:p>
    <w:p w14:paraId="0245DAE0"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Monthly payment for credit cards &amp; lines of credit</w:t>
      </w:r>
    </w:p>
    <w:p w14:paraId="4CEA7726" w14:textId="77777777" w:rsidR="002B7B6F" w:rsidRPr="002B7B6F" w:rsidRDefault="002B7B6F" w:rsidP="002B7B6F">
      <w:pPr>
        <w:spacing w:beforeAutospacing="1"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b/>
          <w:bCs/>
          <w:color w:val="51514D"/>
          <w:kern w:val="0"/>
          <w:bdr w:val="none" w:sz="0" w:space="0" w:color="auto" w:frame="1"/>
          <w14:ligatures w14:val="none"/>
        </w:rPr>
        <w:t>High Ratio &amp; Conventional</w:t>
      </w:r>
    </w:p>
    <w:p w14:paraId="59E9DA5A" w14:textId="77777777" w:rsidR="002B7B6F" w:rsidRPr="002B7B6F" w:rsidRDefault="002B7B6F" w:rsidP="002B7B6F">
      <w:pPr>
        <w:numPr>
          <w:ilvl w:val="0"/>
          <w:numId w:val="4"/>
        </w:numPr>
        <w:spacing w:beforeAutospacing="1"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For</w:t>
      </w:r>
      <w:r w:rsidRPr="002B7B6F">
        <w:rPr>
          <w:rFonts w:ascii="arial, sans-serif" w:eastAsia="Times New Roman" w:hAnsi="arial, sans-serif" w:cs="Times New Roman"/>
          <w:b/>
          <w:bCs/>
          <w:color w:val="51514D"/>
          <w:kern w:val="0"/>
          <w:bdr w:val="none" w:sz="0" w:space="0" w:color="auto" w:frame="1"/>
          <w14:ligatures w14:val="none"/>
        </w:rPr>
        <w:t> unsecured Lines of Credit and Credit Cards</w:t>
      </w:r>
      <w:r w:rsidRPr="002B7B6F">
        <w:rPr>
          <w:rFonts w:ascii="arial, sans-serif" w:eastAsia="Times New Roman" w:hAnsi="arial, sans-serif" w:cs="Times New Roman"/>
          <w:color w:val="51514D"/>
          <w:kern w:val="0"/>
          <w14:ligatures w14:val="none"/>
        </w:rPr>
        <w:t>, the payment used for debt servicing will be the greater of 3% of the outstanding balance or the payment reported on the credit bureau.</w:t>
      </w:r>
    </w:p>
    <w:p w14:paraId="7B6A8E9A" w14:textId="77777777" w:rsidR="002B7B6F" w:rsidRPr="002B7B6F" w:rsidRDefault="002B7B6F" w:rsidP="002B7B6F">
      <w:pPr>
        <w:numPr>
          <w:ilvl w:val="0"/>
          <w:numId w:val="4"/>
        </w:numPr>
        <w:spacing w:beforeAutospacing="1"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For</w:t>
      </w:r>
      <w:r w:rsidRPr="002B7B6F">
        <w:rPr>
          <w:rFonts w:ascii="arial, sans-serif" w:eastAsia="Times New Roman" w:hAnsi="arial, sans-serif" w:cs="Times New Roman"/>
          <w:b/>
          <w:bCs/>
          <w:color w:val="51514D"/>
          <w:kern w:val="0"/>
          <w:bdr w:val="none" w:sz="0" w:space="0" w:color="auto" w:frame="1"/>
          <w14:ligatures w14:val="none"/>
        </w:rPr>
        <w:t> Secured Lines of Credit</w:t>
      </w:r>
      <w:r w:rsidRPr="002B7B6F">
        <w:rPr>
          <w:rFonts w:ascii="arial, sans-serif" w:eastAsia="Times New Roman" w:hAnsi="arial, sans-serif" w:cs="Times New Roman"/>
          <w:color w:val="51514D"/>
          <w:kern w:val="0"/>
          <w14:ligatures w14:val="none"/>
        </w:rPr>
        <w:t xml:space="preserve">, the payment used for debt servicing will be based on the approved limit amortized over 25 years at the </w:t>
      </w:r>
      <w:proofErr w:type="gramStart"/>
      <w:r w:rsidRPr="002B7B6F">
        <w:rPr>
          <w:rFonts w:ascii="arial, sans-serif" w:eastAsia="Times New Roman" w:hAnsi="arial, sans-serif" w:cs="Times New Roman"/>
          <w:color w:val="51514D"/>
          <w:kern w:val="0"/>
          <w14:ligatures w14:val="none"/>
        </w:rPr>
        <w:t>5 year</w:t>
      </w:r>
      <w:proofErr w:type="gramEnd"/>
      <w:r w:rsidRPr="002B7B6F">
        <w:rPr>
          <w:rFonts w:ascii="arial, sans-serif" w:eastAsia="Times New Roman" w:hAnsi="arial, sans-serif" w:cs="Times New Roman"/>
          <w:color w:val="51514D"/>
          <w:kern w:val="0"/>
          <w14:ligatures w14:val="none"/>
        </w:rPr>
        <w:t xml:space="preserve"> contract rate</w:t>
      </w:r>
    </w:p>
    <w:p w14:paraId="41ED96F7" w14:textId="77777777" w:rsidR="002B7B6F" w:rsidRPr="002B7B6F" w:rsidRDefault="002B7B6F" w:rsidP="002B7B6F">
      <w:pPr>
        <w:numPr>
          <w:ilvl w:val="0"/>
          <w:numId w:val="4"/>
        </w:numPr>
        <w:spacing w:beforeAutospacing="1"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b/>
          <w:bCs/>
          <w:color w:val="51514D"/>
          <w:kern w:val="0"/>
          <w:bdr w:val="none" w:sz="0" w:space="0" w:color="auto" w:frame="1"/>
          <w14:ligatures w14:val="none"/>
        </w:rPr>
        <w:t>Student Lines of Credit</w:t>
      </w:r>
      <w:r w:rsidRPr="002B7B6F">
        <w:rPr>
          <w:rFonts w:ascii="arial, sans-serif" w:eastAsia="Times New Roman" w:hAnsi="arial, sans-serif" w:cs="Times New Roman"/>
          <w:color w:val="51514D"/>
          <w:kern w:val="0"/>
          <w14:ligatures w14:val="none"/>
        </w:rPr>
        <w:t> – Greater of 3% of the outstanding balance or the payment reported on the credit bureau</w:t>
      </w:r>
    </w:p>
    <w:p w14:paraId="52C566A8" w14:textId="77777777" w:rsidR="002B7B6F" w:rsidRPr="002B7B6F" w:rsidRDefault="002B7B6F" w:rsidP="002B7B6F">
      <w:pPr>
        <w:numPr>
          <w:ilvl w:val="0"/>
          <w:numId w:val="4"/>
        </w:numPr>
        <w:spacing w:beforeAutospacing="1"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b/>
          <w:bCs/>
          <w:color w:val="51514D"/>
          <w:kern w:val="0"/>
          <w:bdr w:val="none" w:sz="0" w:space="0" w:color="auto" w:frame="1"/>
          <w14:ligatures w14:val="none"/>
        </w:rPr>
        <w:t>Student Loans on repayment</w:t>
      </w:r>
      <w:r w:rsidRPr="002B7B6F">
        <w:rPr>
          <w:rFonts w:ascii="arial, sans-serif" w:eastAsia="Times New Roman" w:hAnsi="arial, sans-serif" w:cs="Times New Roman"/>
          <w:color w:val="51514D"/>
          <w:kern w:val="0"/>
          <w14:ligatures w14:val="none"/>
        </w:rPr>
        <w:t> – monthly contract payment as disclosed on the credit bureau</w:t>
      </w:r>
    </w:p>
    <w:p w14:paraId="7A002E91" w14:textId="77777777" w:rsidR="002B7B6F" w:rsidRPr="002B7B6F" w:rsidRDefault="002B7B6F" w:rsidP="002B7B6F">
      <w:pPr>
        <w:numPr>
          <w:ilvl w:val="0"/>
          <w:numId w:val="4"/>
        </w:numPr>
        <w:spacing w:beforeAutospacing="1"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b/>
          <w:bCs/>
          <w:color w:val="51514D"/>
          <w:kern w:val="0"/>
          <w:bdr w:val="none" w:sz="0" w:space="0" w:color="auto" w:frame="1"/>
          <w14:ligatures w14:val="none"/>
        </w:rPr>
        <w:t>Government Student Loans not on repayment</w:t>
      </w:r>
      <w:r w:rsidRPr="002B7B6F">
        <w:rPr>
          <w:rFonts w:ascii="arial, sans-serif" w:eastAsia="Times New Roman" w:hAnsi="arial, sans-serif" w:cs="Times New Roman"/>
          <w:color w:val="51514D"/>
          <w:kern w:val="0"/>
          <w14:ligatures w14:val="none"/>
        </w:rPr>
        <w:t> – future monthly contract payment as per the </w:t>
      </w:r>
      <w:hyperlink r:id="rId5" w:tgtFrame="_blank" w:history="1">
        <w:r w:rsidRPr="002B7B6F">
          <w:rPr>
            <w:rFonts w:ascii="arial, sans-serif" w:eastAsia="Times New Roman" w:hAnsi="arial, sans-serif" w:cs="Times New Roman"/>
            <w:color w:val="00567D"/>
            <w:kern w:val="0"/>
            <w:u w:val="single"/>
            <w:bdr w:val="none" w:sz="0" w:space="0" w:color="auto" w:frame="1"/>
            <w14:ligatures w14:val="none"/>
          </w:rPr>
          <w:t>Government Loan Repayment Estimator</w:t>
        </w:r>
      </w:hyperlink>
    </w:p>
    <w:p w14:paraId="74077452"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lastRenderedPageBreak/>
        <w:t>Credit Bureau reports</w:t>
      </w:r>
    </w:p>
    <w:p w14:paraId="5D067389" w14:textId="77777777" w:rsidR="002B7B6F" w:rsidRPr="002B7B6F" w:rsidRDefault="002B7B6F" w:rsidP="002B7B6F">
      <w:pPr>
        <w:numPr>
          <w:ilvl w:val="0"/>
          <w:numId w:val="5"/>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A current credit bureau (less than 30 days old) is required for all borrowers, co-borrowers and guarantors.</w:t>
      </w:r>
    </w:p>
    <w:p w14:paraId="5B8B3173" w14:textId="77777777" w:rsidR="002B7B6F" w:rsidRPr="002B7B6F" w:rsidRDefault="002B7B6F" w:rsidP="002B7B6F">
      <w:pPr>
        <w:numPr>
          <w:ilvl w:val="0"/>
          <w:numId w:val="5"/>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xml:space="preserve">All credit bureaus must be fully </w:t>
      </w:r>
      <w:proofErr w:type="gramStart"/>
      <w:r w:rsidRPr="002B7B6F">
        <w:rPr>
          <w:rFonts w:ascii="arial, sans-serif" w:eastAsia="Times New Roman" w:hAnsi="arial, sans-serif" w:cs="Times New Roman"/>
          <w:color w:val="51514D"/>
          <w:kern w:val="0"/>
          <w14:ligatures w14:val="none"/>
        </w:rPr>
        <w:t>scrutinized</w:t>
      </w:r>
      <w:proofErr w:type="gramEnd"/>
      <w:r w:rsidRPr="002B7B6F">
        <w:rPr>
          <w:rFonts w:ascii="arial, sans-serif" w:eastAsia="Times New Roman" w:hAnsi="arial, sans-serif" w:cs="Times New Roman"/>
          <w:color w:val="51514D"/>
          <w:kern w:val="0"/>
          <w14:ligatures w14:val="none"/>
        </w:rPr>
        <w:t xml:space="preserve"> and any discrepancies or anomalies identified, confirmed and documented by the submitting agent / broker.</w:t>
      </w:r>
    </w:p>
    <w:p w14:paraId="05F4EB16" w14:textId="77777777" w:rsidR="002B7B6F" w:rsidRPr="002B7B6F" w:rsidRDefault="002B7B6F" w:rsidP="002B7B6F">
      <w:pPr>
        <w:numPr>
          <w:ilvl w:val="0"/>
          <w:numId w:val="5"/>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Credit bureau information must be consistent with the applications submitted.</w:t>
      </w:r>
    </w:p>
    <w:p w14:paraId="1FEB6A75" w14:textId="77777777" w:rsidR="002B7B6F" w:rsidRPr="002B7B6F" w:rsidRDefault="002B7B6F" w:rsidP="002B7B6F">
      <w:pPr>
        <w:numPr>
          <w:ilvl w:val="0"/>
          <w:numId w:val="5"/>
        </w:numPr>
        <w:spacing w:beforeAutospacing="1"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Where any applicant does not have a beacon score (</w:t>
      </w:r>
      <w:proofErr w:type="spellStart"/>
      <w:r w:rsidRPr="002B7B6F">
        <w:rPr>
          <w:rFonts w:ascii="arial, sans-serif" w:eastAsia="Times New Roman" w:hAnsi="arial, sans-serif" w:cs="Times New Roman"/>
          <w:color w:val="51514D"/>
          <w:kern w:val="0"/>
          <w14:ligatures w14:val="none"/>
        </w:rPr>
        <w:t>eg</w:t>
      </w:r>
      <w:proofErr w:type="spellEnd"/>
      <w:r w:rsidRPr="002B7B6F">
        <w:rPr>
          <w:rFonts w:ascii="arial, sans-serif" w:eastAsia="Times New Roman" w:hAnsi="arial, sans-serif" w:cs="Times New Roman"/>
          <w:color w:val="51514D"/>
          <w:kern w:val="0"/>
          <w14:ligatures w14:val="none"/>
        </w:rPr>
        <w:t>: beacon reject), please contact </w:t>
      </w:r>
      <w:hyperlink r:id="rId6" w:history="1">
        <w:r w:rsidRPr="002B7B6F">
          <w:rPr>
            <w:rFonts w:ascii="arial, sans-serif" w:eastAsia="Times New Roman" w:hAnsi="arial, sans-serif" w:cs="Times New Roman"/>
            <w:color w:val="00567D"/>
            <w:kern w:val="0"/>
            <w:u w:val="single"/>
            <w:bdr w:val="none" w:sz="0" w:space="0" w:color="auto" w:frame="1"/>
            <w14:ligatures w14:val="none"/>
          </w:rPr>
          <w:t>BrokerSupport@MeridianCU.ca</w:t>
        </w:r>
      </w:hyperlink>
      <w:r w:rsidRPr="002B7B6F">
        <w:rPr>
          <w:rFonts w:ascii="arial, sans-serif" w:eastAsia="Times New Roman" w:hAnsi="arial, sans-serif" w:cs="Times New Roman"/>
          <w:color w:val="51514D"/>
          <w:kern w:val="0"/>
          <w14:ligatures w14:val="none"/>
        </w:rPr>
        <w:t> to discuss your options</w:t>
      </w:r>
    </w:p>
    <w:p w14:paraId="255FDE93"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Bankruptcy/Consumer proposal</w:t>
      </w:r>
    </w:p>
    <w:p w14:paraId="69EA7F99" w14:textId="77777777" w:rsidR="002B7B6F" w:rsidRPr="002B7B6F" w:rsidRDefault="002B7B6F" w:rsidP="002B7B6F">
      <w:pPr>
        <w:spacing w:beforeAutospacing="1"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b/>
          <w:bCs/>
          <w:color w:val="51514D"/>
          <w:kern w:val="0"/>
          <w:bdr w:val="none" w:sz="0" w:space="0" w:color="auto" w:frame="1"/>
          <w14:ligatures w14:val="none"/>
        </w:rPr>
        <w:t>Bankruptcy/Consumer Proposal must be discharged for 2 years*</w:t>
      </w:r>
    </w:p>
    <w:p w14:paraId="642DF462" w14:textId="77777777" w:rsidR="002B7B6F" w:rsidRPr="002B7B6F" w:rsidRDefault="002B7B6F" w:rsidP="002B7B6F">
      <w:pPr>
        <w:numPr>
          <w:ilvl w:val="0"/>
          <w:numId w:val="6"/>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xml:space="preserve">Applicant’s credit bureau reports must be satisfactory – no derogatory ratings on trade lines established after discharge of bankruptcy / consumer </w:t>
      </w:r>
      <w:proofErr w:type="gramStart"/>
      <w:r w:rsidRPr="002B7B6F">
        <w:rPr>
          <w:rFonts w:ascii="arial, sans-serif" w:eastAsia="Times New Roman" w:hAnsi="arial, sans-serif" w:cs="Times New Roman"/>
          <w:color w:val="51514D"/>
          <w:kern w:val="0"/>
          <w14:ligatures w14:val="none"/>
        </w:rPr>
        <w:t>proposal;</w:t>
      </w:r>
      <w:proofErr w:type="gramEnd"/>
    </w:p>
    <w:p w14:paraId="520551B5" w14:textId="77777777" w:rsidR="002B7B6F" w:rsidRPr="002B7B6F" w:rsidRDefault="002B7B6F" w:rsidP="002B7B6F">
      <w:pPr>
        <w:numPr>
          <w:ilvl w:val="0"/>
          <w:numId w:val="6"/>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No Meridian debt was included in the bankruptcy.</w:t>
      </w:r>
    </w:p>
    <w:p w14:paraId="311C5B21" w14:textId="77777777" w:rsidR="002B7B6F" w:rsidRPr="002B7B6F" w:rsidRDefault="002B7B6F" w:rsidP="002B7B6F">
      <w:pPr>
        <w:numPr>
          <w:ilvl w:val="0"/>
          <w:numId w:val="6"/>
        </w:numPr>
        <w:spacing w:beforeAutospacing="1"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b/>
          <w:bCs/>
          <w:color w:val="51514D"/>
          <w:kern w:val="0"/>
          <w:bdr w:val="none" w:sz="0" w:space="0" w:color="auto" w:frame="1"/>
          <w14:ligatures w14:val="none"/>
        </w:rPr>
        <w:t>All applicants must have a two-year re-established credit history with a minimum of two major trade lines (credit via loan or major credit card)</w:t>
      </w:r>
    </w:p>
    <w:p w14:paraId="27E0DAAE" w14:textId="77777777" w:rsidR="002B7B6F" w:rsidRPr="002B7B6F" w:rsidRDefault="002B7B6F" w:rsidP="002B7B6F">
      <w:pPr>
        <w:numPr>
          <w:ilvl w:val="0"/>
          <w:numId w:val="6"/>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Maximum 90% Loan to Value</w:t>
      </w:r>
    </w:p>
    <w:p w14:paraId="783208F1" w14:textId="77777777" w:rsidR="002B7B6F" w:rsidRPr="002B7B6F" w:rsidRDefault="002B7B6F" w:rsidP="002B7B6F">
      <w:pPr>
        <w:numPr>
          <w:ilvl w:val="0"/>
          <w:numId w:val="6"/>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Reasonable explanation for the bankruptcy must be provided with all applications</w:t>
      </w:r>
    </w:p>
    <w:p w14:paraId="328E0D8C" w14:textId="77777777" w:rsidR="002B7B6F" w:rsidRPr="002B7B6F" w:rsidRDefault="002B7B6F" w:rsidP="002B7B6F">
      <w:pPr>
        <w:numPr>
          <w:ilvl w:val="0"/>
          <w:numId w:val="6"/>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No previous Real Estate to be included in Bankruptcy/Consumer Proposal</w:t>
      </w:r>
    </w:p>
    <w:p w14:paraId="0EAA816A"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w:t>
      </w:r>
    </w:p>
    <w:p w14:paraId="3E3372E9"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Bridge financing</w:t>
      </w:r>
    </w:p>
    <w:p w14:paraId="56CC1F59" w14:textId="77777777" w:rsidR="002B7B6F" w:rsidRPr="002B7B6F" w:rsidRDefault="002B7B6F" w:rsidP="002B7B6F">
      <w:pPr>
        <w:numPr>
          <w:ilvl w:val="0"/>
          <w:numId w:val="7"/>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Available and offered through Broker Channel </w:t>
      </w:r>
    </w:p>
    <w:p w14:paraId="6FDB76D7" w14:textId="77777777" w:rsidR="002B7B6F" w:rsidRPr="002B7B6F" w:rsidRDefault="002B7B6F" w:rsidP="002B7B6F">
      <w:pPr>
        <w:numPr>
          <w:ilvl w:val="0"/>
          <w:numId w:val="7"/>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If known at the time of submission, kindly note “bridge financing is required” </w:t>
      </w:r>
    </w:p>
    <w:p w14:paraId="516B0A52" w14:textId="77777777" w:rsidR="002B7B6F" w:rsidRPr="002B7B6F" w:rsidRDefault="002B7B6F" w:rsidP="002B7B6F">
      <w:pPr>
        <w:numPr>
          <w:ilvl w:val="0"/>
          <w:numId w:val="7"/>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Meridian requires notice of bridge financing requirement a minimum of 15 business day prior to the new Purchase close date </w:t>
      </w:r>
    </w:p>
    <w:p w14:paraId="1277BB24" w14:textId="77777777" w:rsidR="002B7B6F" w:rsidRPr="002B7B6F" w:rsidRDefault="002B7B6F" w:rsidP="002B7B6F">
      <w:pPr>
        <w:numPr>
          <w:ilvl w:val="0"/>
          <w:numId w:val="7"/>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Rate starts @ Meridian Prime + 2%</w:t>
      </w:r>
    </w:p>
    <w:p w14:paraId="16531545" w14:textId="77777777" w:rsidR="002B7B6F" w:rsidRPr="002B7B6F" w:rsidRDefault="002B7B6F" w:rsidP="002B7B6F">
      <w:pPr>
        <w:numPr>
          <w:ilvl w:val="0"/>
          <w:numId w:val="7"/>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Application fee of $250</w:t>
      </w:r>
    </w:p>
    <w:p w14:paraId="0C63AC98" w14:textId="77777777" w:rsidR="002B7B6F" w:rsidRPr="002B7B6F" w:rsidRDefault="002B7B6F" w:rsidP="002B7B6F">
      <w:pPr>
        <w:numPr>
          <w:ilvl w:val="0"/>
          <w:numId w:val="7"/>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Maximum 90 days bridge financing offered.</w:t>
      </w:r>
    </w:p>
    <w:p w14:paraId="66E1035B"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Qualifying mortgage properties</w:t>
      </w:r>
    </w:p>
    <w:p w14:paraId="614AA67A"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Meridian will consider the following types of property as acceptable for mortgage financing purposes under the Broker program.</w:t>
      </w:r>
    </w:p>
    <w:p w14:paraId="07E19028" w14:textId="77777777" w:rsidR="002B7B6F" w:rsidRPr="002B7B6F" w:rsidRDefault="002B7B6F" w:rsidP="002B7B6F">
      <w:pPr>
        <w:numPr>
          <w:ilvl w:val="0"/>
          <w:numId w:val="8"/>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Residential properties Owner Occupied.</w:t>
      </w:r>
    </w:p>
    <w:p w14:paraId="73640F57" w14:textId="77777777" w:rsidR="002B7B6F" w:rsidRPr="002B7B6F" w:rsidRDefault="002B7B6F" w:rsidP="002B7B6F">
      <w:pPr>
        <w:numPr>
          <w:ilvl w:val="0"/>
          <w:numId w:val="8"/>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Single family detached and semi-detached.</w:t>
      </w:r>
    </w:p>
    <w:p w14:paraId="60AD8160" w14:textId="77777777" w:rsidR="002B7B6F" w:rsidRPr="002B7B6F" w:rsidRDefault="002B7B6F" w:rsidP="002B7B6F">
      <w:pPr>
        <w:numPr>
          <w:ilvl w:val="0"/>
          <w:numId w:val="8"/>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Single family townhouses and row houses (freehold).</w:t>
      </w:r>
    </w:p>
    <w:p w14:paraId="7B493AFB" w14:textId="77777777" w:rsidR="002B7B6F" w:rsidRPr="002B7B6F" w:rsidRDefault="002B7B6F" w:rsidP="002B7B6F">
      <w:pPr>
        <w:numPr>
          <w:ilvl w:val="0"/>
          <w:numId w:val="8"/>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lastRenderedPageBreak/>
        <w:t>Single Family with conforming rental component, Duplex, triplex and 4-plex buildings. All Buildings with a rental component must meet all applicable municipal Fire Code Regulations and Zoning By-Laws.</w:t>
      </w:r>
    </w:p>
    <w:p w14:paraId="436899BB" w14:textId="77777777" w:rsidR="002B7B6F" w:rsidRPr="002B7B6F" w:rsidRDefault="002B7B6F" w:rsidP="002B7B6F">
      <w:pPr>
        <w:numPr>
          <w:ilvl w:val="0"/>
          <w:numId w:val="8"/>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All properties must have a minimum of 100 AMP service.</w:t>
      </w:r>
    </w:p>
    <w:p w14:paraId="1EDE8004" w14:textId="77777777" w:rsidR="002B7B6F" w:rsidRPr="002B7B6F" w:rsidRDefault="002B7B6F" w:rsidP="002B7B6F">
      <w:pPr>
        <w:numPr>
          <w:ilvl w:val="0"/>
          <w:numId w:val="8"/>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Properties on well water and septic tanks will be considered provided this is normal for the area.</w:t>
      </w:r>
    </w:p>
    <w:p w14:paraId="58E1CE34" w14:textId="77777777" w:rsidR="002B7B6F" w:rsidRPr="002B7B6F" w:rsidRDefault="002B7B6F" w:rsidP="002B7B6F">
      <w:pPr>
        <w:numPr>
          <w:ilvl w:val="0"/>
          <w:numId w:val="8"/>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xml:space="preserve">For properties situated on acreage (rural residential), appraisal report to include a maximum of 10 acres plus dwelling and no </w:t>
      </w:r>
      <w:proofErr w:type="gramStart"/>
      <w:r w:rsidRPr="002B7B6F">
        <w:rPr>
          <w:rFonts w:ascii="arial, sans-serif" w:eastAsia="Times New Roman" w:hAnsi="arial, sans-serif" w:cs="Times New Roman"/>
          <w:color w:val="51514D"/>
          <w:kern w:val="0"/>
          <w14:ligatures w14:val="none"/>
        </w:rPr>
        <w:t>out buildings</w:t>
      </w:r>
      <w:proofErr w:type="gramEnd"/>
      <w:r w:rsidRPr="002B7B6F">
        <w:rPr>
          <w:rFonts w:ascii="arial, sans-serif" w:eastAsia="Times New Roman" w:hAnsi="arial, sans-serif" w:cs="Times New Roman"/>
          <w:color w:val="51514D"/>
          <w:kern w:val="0"/>
          <w14:ligatures w14:val="none"/>
        </w:rPr>
        <w:t>.</w:t>
      </w:r>
    </w:p>
    <w:p w14:paraId="69B075EF" w14:textId="77777777" w:rsidR="002B7B6F" w:rsidRPr="002B7B6F" w:rsidRDefault="002B7B6F" w:rsidP="002B7B6F">
      <w:pPr>
        <w:numPr>
          <w:ilvl w:val="0"/>
          <w:numId w:val="8"/>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External income must service mortgage.</w:t>
      </w:r>
    </w:p>
    <w:p w14:paraId="31A931E2" w14:textId="77777777" w:rsidR="002B7B6F" w:rsidRPr="002B7B6F" w:rsidRDefault="002B7B6F" w:rsidP="002B7B6F">
      <w:pPr>
        <w:numPr>
          <w:ilvl w:val="0"/>
          <w:numId w:val="8"/>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Working farms/Hobby Farms do not qualify. Property must be within 50 km’s or urban centre (Pop. 15,000). </w:t>
      </w:r>
    </w:p>
    <w:p w14:paraId="42EB7FB2"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w:t>
      </w:r>
    </w:p>
    <w:p w14:paraId="5F8EAC46" w14:textId="77777777" w:rsidR="002B7B6F" w:rsidRPr="002B7B6F" w:rsidRDefault="002B7B6F" w:rsidP="002B7B6F">
      <w:pPr>
        <w:numPr>
          <w:ilvl w:val="0"/>
          <w:numId w:val="9"/>
        </w:numPr>
        <w:spacing w:beforeAutospacing="1"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b/>
          <w:bCs/>
          <w:color w:val="51514D"/>
          <w:kern w:val="0"/>
          <w:bdr w:val="none" w:sz="0" w:space="0" w:color="auto" w:frame="1"/>
          <w14:ligatures w14:val="none"/>
        </w:rPr>
        <w:t xml:space="preserve">Laneway/Carriage Homes must meet </w:t>
      </w:r>
      <w:proofErr w:type="gramStart"/>
      <w:r w:rsidRPr="002B7B6F">
        <w:rPr>
          <w:rFonts w:ascii="arial, sans-serif" w:eastAsia="Times New Roman" w:hAnsi="arial, sans-serif" w:cs="Times New Roman"/>
          <w:b/>
          <w:bCs/>
          <w:color w:val="51514D"/>
          <w:kern w:val="0"/>
          <w:bdr w:val="none" w:sz="0" w:space="0" w:color="auto" w:frame="1"/>
          <w14:ligatures w14:val="none"/>
        </w:rPr>
        <w:t>all of</w:t>
      </w:r>
      <w:proofErr w:type="gramEnd"/>
      <w:r w:rsidRPr="002B7B6F">
        <w:rPr>
          <w:rFonts w:ascii="arial, sans-serif" w:eastAsia="Times New Roman" w:hAnsi="arial, sans-serif" w:cs="Times New Roman"/>
          <w:b/>
          <w:bCs/>
          <w:color w:val="51514D"/>
          <w:kern w:val="0"/>
          <w:bdr w:val="none" w:sz="0" w:space="0" w:color="auto" w:frame="1"/>
          <w14:ligatures w14:val="none"/>
        </w:rPr>
        <w:t xml:space="preserve"> the following parameters: </w:t>
      </w:r>
    </w:p>
    <w:p w14:paraId="7F73E6BF" w14:textId="77777777" w:rsidR="002B7B6F" w:rsidRPr="002B7B6F" w:rsidRDefault="002B7B6F" w:rsidP="002B7B6F">
      <w:pPr>
        <w:numPr>
          <w:ilvl w:val="0"/>
          <w:numId w:val="9"/>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Main home and laneway home to be on same Property Identification Number (PIN)</w:t>
      </w:r>
    </w:p>
    <w:p w14:paraId="1C682E1E" w14:textId="77777777" w:rsidR="002B7B6F" w:rsidRPr="002B7B6F" w:rsidRDefault="002B7B6F" w:rsidP="002B7B6F">
      <w:pPr>
        <w:numPr>
          <w:ilvl w:val="0"/>
          <w:numId w:val="9"/>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Conforms to zoning (all applicable permits are in place). Appraiser to comment on conformity to zoning.</w:t>
      </w:r>
    </w:p>
    <w:p w14:paraId="63BDEA9F" w14:textId="77777777" w:rsidR="002B7B6F" w:rsidRPr="002B7B6F" w:rsidRDefault="002B7B6F" w:rsidP="002B7B6F">
      <w:pPr>
        <w:numPr>
          <w:ilvl w:val="0"/>
          <w:numId w:val="9"/>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Self-contained with a complete functional kitchen and bathroom and year-round heating source.</w:t>
      </w:r>
    </w:p>
    <w:p w14:paraId="07DEB8AC" w14:textId="77777777" w:rsidR="002B7B6F" w:rsidRPr="002B7B6F" w:rsidRDefault="002B7B6F" w:rsidP="002B7B6F">
      <w:pPr>
        <w:numPr>
          <w:ilvl w:val="0"/>
          <w:numId w:val="9"/>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Minimum 350 square feet and must not be the largest structure on property</w:t>
      </w:r>
    </w:p>
    <w:p w14:paraId="065F48F9" w14:textId="77777777" w:rsidR="002B7B6F" w:rsidRPr="002B7B6F" w:rsidRDefault="002B7B6F" w:rsidP="002B7B6F">
      <w:pPr>
        <w:numPr>
          <w:ilvl w:val="0"/>
          <w:numId w:val="9"/>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Has laneway / driveway access</w:t>
      </w:r>
    </w:p>
    <w:p w14:paraId="107F2B90" w14:textId="77777777" w:rsidR="002B7B6F" w:rsidRPr="002B7B6F" w:rsidRDefault="002B7B6F" w:rsidP="002B7B6F">
      <w:pPr>
        <w:numPr>
          <w:ilvl w:val="0"/>
          <w:numId w:val="9"/>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Unit to be located above or in the space designated for a detached garage. No other outbuildings</w:t>
      </w:r>
    </w:p>
    <w:p w14:paraId="79B6E224" w14:textId="77777777" w:rsidR="002B7B6F" w:rsidRPr="002B7B6F" w:rsidRDefault="002B7B6F" w:rsidP="002B7B6F">
      <w:pPr>
        <w:numPr>
          <w:ilvl w:val="0"/>
          <w:numId w:val="9"/>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Main house must be the applicants’ owner-occupied principal residence</w:t>
      </w:r>
    </w:p>
    <w:p w14:paraId="780E6D12" w14:textId="77777777" w:rsidR="002B7B6F" w:rsidRPr="002B7B6F" w:rsidRDefault="002B7B6F" w:rsidP="002B7B6F">
      <w:pPr>
        <w:numPr>
          <w:ilvl w:val="0"/>
          <w:numId w:val="9"/>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If the laneway home is rented, owner occupied rental income policy will apply</w:t>
      </w:r>
    </w:p>
    <w:p w14:paraId="5C7B3E41"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Home Insurance policy to cover main and laneway home</w:t>
      </w:r>
    </w:p>
    <w:p w14:paraId="7F10210C"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Non-Qualifying mortgage properties</w:t>
      </w:r>
    </w:p>
    <w:p w14:paraId="28D0B69B" w14:textId="77777777" w:rsidR="002B7B6F" w:rsidRPr="002B7B6F" w:rsidRDefault="002B7B6F" w:rsidP="002B7B6F">
      <w:pPr>
        <w:numPr>
          <w:ilvl w:val="0"/>
          <w:numId w:val="10"/>
        </w:numPr>
        <w:spacing w:beforeAutospacing="1"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b/>
          <w:bCs/>
          <w:color w:val="51514D"/>
          <w:kern w:val="0"/>
          <w:bdr w:val="none" w:sz="0" w:space="0" w:color="auto" w:frame="1"/>
          <w14:ligatures w14:val="none"/>
        </w:rPr>
        <w:t xml:space="preserve">Commercial, </w:t>
      </w:r>
      <w:proofErr w:type="gramStart"/>
      <w:r w:rsidRPr="002B7B6F">
        <w:rPr>
          <w:rFonts w:ascii="arial, sans-serif" w:eastAsia="Times New Roman" w:hAnsi="arial, sans-serif" w:cs="Times New Roman"/>
          <w:b/>
          <w:bCs/>
          <w:color w:val="51514D"/>
          <w:kern w:val="0"/>
          <w:bdr w:val="none" w:sz="0" w:space="0" w:color="auto" w:frame="1"/>
          <w14:ligatures w14:val="none"/>
        </w:rPr>
        <w:t>Mixed Use</w:t>
      </w:r>
      <w:proofErr w:type="gramEnd"/>
      <w:r w:rsidRPr="002B7B6F">
        <w:rPr>
          <w:rFonts w:ascii="arial, sans-serif" w:eastAsia="Times New Roman" w:hAnsi="arial, sans-serif" w:cs="Times New Roman"/>
          <w:b/>
          <w:bCs/>
          <w:color w:val="51514D"/>
          <w:kern w:val="0"/>
          <w:bdr w:val="none" w:sz="0" w:space="0" w:color="auto" w:frame="1"/>
          <w14:ligatures w14:val="none"/>
        </w:rPr>
        <w:t xml:space="preserve"> Properties or Properties in a Business or Holding Co name</w:t>
      </w:r>
      <w:r w:rsidRPr="002B7B6F">
        <w:rPr>
          <w:rFonts w:ascii="arial, sans-serif" w:eastAsia="Times New Roman" w:hAnsi="arial, sans-serif" w:cs="Times New Roman"/>
          <w:color w:val="51514D"/>
          <w:kern w:val="0"/>
          <w14:ligatures w14:val="none"/>
        </w:rPr>
        <w:t> - We do not process Commercial or Small Business applications through the Broker Channel. You can email </w:t>
      </w:r>
      <w:hyperlink r:id="rId7" w:history="1">
        <w:r w:rsidRPr="002B7B6F">
          <w:rPr>
            <w:rFonts w:ascii="arial, sans-serif" w:eastAsia="Times New Roman" w:hAnsi="arial, sans-serif" w:cs="Times New Roman"/>
            <w:b/>
            <w:bCs/>
            <w:color w:val="00567D"/>
            <w:kern w:val="0"/>
            <w:u w:val="single"/>
            <w:bdr w:val="none" w:sz="0" w:space="0" w:color="auto" w:frame="1"/>
            <w14:ligatures w14:val="none"/>
          </w:rPr>
          <w:t>businessreferrals@meridiancu.ca</w:t>
        </w:r>
      </w:hyperlink>
      <w:r w:rsidRPr="002B7B6F">
        <w:rPr>
          <w:rFonts w:ascii="arial, sans-serif" w:eastAsia="Times New Roman" w:hAnsi="arial, sans-serif" w:cs="Times New Roman"/>
          <w:color w:val="51514D"/>
          <w:kern w:val="0"/>
          <w14:ligatures w14:val="none"/>
        </w:rPr>
        <w:t> with the particulars regarding your deal and one of our Meridian partners will contact you as soon as possible. </w:t>
      </w:r>
      <w:r w:rsidRPr="002B7B6F">
        <w:rPr>
          <w:rFonts w:ascii="arial, sans-serif" w:eastAsia="Times New Roman" w:hAnsi="arial, sans-serif" w:cs="Times New Roman"/>
          <w:i/>
          <w:iCs/>
          <w:color w:val="51514D"/>
          <w:kern w:val="0"/>
          <w:bdr w:val="none" w:sz="0" w:space="0" w:color="auto" w:frame="1"/>
          <w14:ligatures w14:val="none"/>
        </w:rPr>
        <w:t>Meridian does not compensate brokers for commercial / small business referrals</w:t>
      </w:r>
      <w:r w:rsidRPr="002B7B6F">
        <w:rPr>
          <w:rFonts w:ascii="arial, sans-serif" w:eastAsia="Times New Roman" w:hAnsi="arial, sans-serif" w:cs="Times New Roman"/>
          <w:color w:val="51514D"/>
          <w:kern w:val="0"/>
          <w14:ligatures w14:val="none"/>
        </w:rPr>
        <w:t>.</w:t>
      </w:r>
    </w:p>
    <w:p w14:paraId="69FA2BB4" w14:textId="77777777" w:rsidR="002B7B6F" w:rsidRPr="002B7B6F" w:rsidRDefault="002B7B6F" w:rsidP="002B7B6F">
      <w:pPr>
        <w:numPr>
          <w:ilvl w:val="0"/>
          <w:numId w:val="10"/>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Co-operative Housing (Co-Ops) and Co-Ownerships</w:t>
      </w:r>
    </w:p>
    <w:p w14:paraId="3D6B7899" w14:textId="77777777" w:rsidR="002B7B6F" w:rsidRPr="002B7B6F" w:rsidRDefault="002B7B6F" w:rsidP="002B7B6F">
      <w:pPr>
        <w:numPr>
          <w:ilvl w:val="0"/>
          <w:numId w:val="10"/>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Raw / Vacant Land.</w:t>
      </w:r>
    </w:p>
    <w:p w14:paraId="5EFE681C" w14:textId="77777777" w:rsidR="002B7B6F" w:rsidRPr="002B7B6F" w:rsidRDefault="002B7B6F" w:rsidP="002B7B6F">
      <w:pPr>
        <w:numPr>
          <w:ilvl w:val="0"/>
          <w:numId w:val="10"/>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Leased Land / Life Leased properties.</w:t>
      </w:r>
    </w:p>
    <w:p w14:paraId="60ECF4E7" w14:textId="77777777" w:rsidR="002B7B6F" w:rsidRPr="002B7B6F" w:rsidRDefault="002B7B6F" w:rsidP="002B7B6F">
      <w:pPr>
        <w:numPr>
          <w:ilvl w:val="0"/>
          <w:numId w:val="10"/>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Rooming Houses, Student Housing/Rentals.</w:t>
      </w:r>
    </w:p>
    <w:p w14:paraId="7D7C2FFC" w14:textId="77777777" w:rsidR="002B7B6F" w:rsidRPr="002B7B6F" w:rsidRDefault="002B7B6F" w:rsidP="002B7B6F">
      <w:pPr>
        <w:numPr>
          <w:ilvl w:val="0"/>
          <w:numId w:val="10"/>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Bed &amp; Breakfast.</w:t>
      </w:r>
    </w:p>
    <w:p w14:paraId="2049D03C" w14:textId="77777777" w:rsidR="002B7B6F" w:rsidRPr="002B7B6F" w:rsidRDefault="002B7B6F" w:rsidP="002B7B6F">
      <w:pPr>
        <w:numPr>
          <w:ilvl w:val="0"/>
          <w:numId w:val="10"/>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Mobile Homes, Trailer and Resort-style properties (</w:t>
      </w:r>
      <w:proofErr w:type="spellStart"/>
      <w:r w:rsidRPr="002B7B6F">
        <w:rPr>
          <w:rFonts w:ascii="arial, sans-serif" w:eastAsia="Times New Roman" w:hAnsi="arial, sans-serif" w:cs="Times New Roman"/>
          <w:color w:val="51514D"/>
          <w:kern w:val="0"/>
          <w14:ligatures w14:val="none"/>
        </w:rPr>
        <w:t>eg</w:t>
      </w:r>
      <w:proofErr w:type="spellEnd"/>
      <w:r w:rsidRPr="002B7B6F">
        <w:rPr>
          <w:rFonts w:ascii="arial, sans-serif" w:eastAsia="Times New Roman" w:hAnsi="arial, sans-serif" w:cs="Times New Roman"/>
          <w:color w:val="51514D"/>
          <w:kern w:val="0"/>
          <w14:ligatures w14:val="none"/>
        </w:rPr>
        <w:t xml:space="preserve"> mobile home/adult lifestyle communities).</w:t>
      </w:r>
    </w:p>
    <w:p w14:paraId="4AC640AC" w14:textId="77777777" w:rsidR="002B7B6F" w:rsidRPr="002B7B6F" w:rsidRDefault="002B7B6F" w:rsidP="002B7B6F">
      <w:pPr>
        <w:numPr>
          <w:ilvl w:val="0"/>
          <w:numId w:val="10"/>
        </w:numPr>
        <w:spacing w:before="100" w:beforeAutospacing="1" w:after="100" w:afterAutospacing="1"/>
        <w:textAlignment w:val="baseline"/>
        <w:rPr>
          <w:rFonts w:ascii="arial, sans-serif" w:eastAsia="Times New Roman" w:hAnsi="arial, sans-serif" w:cs="Times New Roman"/>
          <w:color w:val="51514D"/>
          <w:kern w:val="0"/>
          <w14:ligatures w14:val="none"/>
        </w:rPr>
      </w:pPr>
      <w:proofErr w:type="gramStart"/>
      <w:r w:rsidRPr="002B7B6F">
        <w:rPr>
          <w:rFonts w:ascii="arial, sans-serif" w:eastAsia="Times New Roman" w:hAnsi="arial, sans-serif" w:cs="Times New Roman"/>
          <w:color w:val="51514D"/>
          <w:kern w:val="0"/>
          <w14:ligatures w14:val="none"/>
        </w:rPr>
        <w:lastRenderedPageBreak/>
        <w:t>Pre-fabricated</w:t>
      </w:r>
      <w:proofErr w:type="gramEnd"/>
      <w:r w:rsidRPr="002B7B6F">
        <w:rPr>
          <w:rFonts w:ascii="arial, sans-serif" w:eastAsia="Times New Roman" w:hAnsi="arial, sans-serif" w:cs="Times New Roman"/>
          <w:color w:val="51514D"/>
          <w:kern w:val="0"/>
          <w14:ligatures w14:val="none"/>
        </w:rPr>
        <w:t xml:space="preserve"> Homes, unless already fully affixed to the land and 100% of services in place.</w:t>
      </w:r>
    </w:p>
    <w:p w14:paraId="32ABED23" w14:textId="77777777" w:rsidR="002B7B6F" w:rsidRPr="002B7B6F" w:rsidRDefault="002B7B6F" w:rsidP="002B7B6F">
      <w:pPr>
        <w:numPr>
          <w:ilvl w:val="0"/>
          <w:numId w:val="10"/>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Previous Grow-Ops, whether remediated or not.</w:t>
      </w:r>
    </w:p>
    <w:p w14:paraId="08B52BB7" w14:textId="77777777" w:rsidR="002B7B6F" w:rsidRPr="002B7B6F" w:rsidRDefault="002B7B6F" w:rsidP="002B7B6F">
      <w:pPr>
        <w:numPr>
          <w:ilvl w:val="0"/>
          <w:numId w:val="10"/>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Hotel Condos.</w:t>
      </w:r>
    </w:p>
    <w:p w14:paraId="295AB059" w14:textId="77777777" w:rsidR="002B7B6F" w:rsidRPr="002B7B6F" w:rsidRDefault="002B7B6F" w:rsidP="002B7B6F">
      <w:pPr>
        <w:numPr>
          <w:ilvl w:val="0"/>
          <w:numId w:val="10"/>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Live/Work properties (regardless of % split between live &amp; work).</w:t>
      </w:r>
    </w:p>
    <w:p w14:paraId="172C07E6" w14:textId="77777777" w:rsidR="002B7B6F" w:rsidRPr="002B7B6F" w:rsidRDefault="002B7B6F" w:rsidP="002B7B6F">
      <w:pPr>
        <w:numPr>
          <w:ilvl w:val="0"/>
          <w:numId w:val="10"/>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Non-conventional construction (</w:t>
      </w:r>
      <w:proofErr w:type="spellStart"/>
      <w:r w:rsidRPr="002B7B6F">
        <w:rPr>
          <w:rFonts w:ascii="arial, sans-serif" w:eastAsia="Times New Roman" w:hAnsi="arial, sans-serif" w:cs="Times New Roman"/>
          <w:color w:val="51514D"/>
          <w:kern w:val="0"/>
          <w14:ligatures w14:val="none"/>
        </w:rPr>
        <w:t>eg</w:t>
      </w:r>
      <w:proofErr w:type="spellEnd"/>
      <w:r w:rsidRPr="002B7B6F">
        <w:rPr>
          <w:rFonts w:ascii="arial, sans-serif" w:eastAsia="Times New Roman" w:hAnsi="arial, sans-serif" w:cs="Times New Roman"/>
          <w:color w:val="51514D"/>
          <w:kern w:val="0"/>
          <w14:ligatures w14:val="none"/>
        </w:rPr>
        <w:t xml:space="preserve"> dome houses).</w:t>
      </w:r>
    </w:p>
    <w:p w14:paraId="0F37B390" w14:textId="77777777" w:rsidR="002B7B6F" w:rsidRPr="002B7B6F" w:rsidRDefault="002B7B6F" w:rsidP="002B7B6F">
      <w:pPr>
        <w:numPr>
          <w:ilvl w:val="0"/>
          <w:numId w:val="10"/>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Rental pools and resort properties.</w:t>
      </w:r>
    </w:p>
    <w:p w14:paraId="66F046D8" w14:textId="77777777" w:rsidR="002B7B6F" w:rsidRPr="002B7B6F" w:rsidRDefault="002B7B6F" w:rsidP="002B7B6F">
      <w:pPr>
        <w:numPr>
          <w:ilvl w:val="0"/>
          <w:numId w:val="10"/>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Hobby Farms, including those with horses or other livestock, or even if the land is farmed by someone else.</w:t>
      </w:r>
    </w:p>
    <w:p w14:paraId="2ADABAC4" w14:textId="77777777" w:rsidR="002B7B6F" w:rsidRPr="002B7B6F" w:rsidRDefault="002B7B6F" w:rsidP="002B7B6F">
      <w:pPr>
        <w:numPr>
          <w:ilvl w:val="0"/>
          <w:numId w:val="10"/>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Converted Churches/Schoolhouses,</w:t>
      </w:r>
    </w:p>
    <w:p w14:paraId="243BB311" w14:textId="77777777" w:rsidR="002B7B6F" w:rsidRPr="002B7B6F" w:rsidRDefault="002B7B6F" w:rsidP="002B7B6F">
      <w:pPr>
        <w:numPr>
          <w:ilvl w:val="0"/>
          <w:numId w:val="10"/>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Historically designated properties.</w:t>
      </w:r>
    </w:p>
    <w:p w14:paraId="2151600E" w14:textId="77777777" w:rsidR="002B7B6F" w:rsidRPr="002B7B6F" w:rsidRDefault="002B7B6F" w:rsidP="002B7B6F">
      <w:pPr>
        <w:numPr>
          <w:ilvl w:val="0"/>
          <w:numId w:val="10"/>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xml:space="preserve">Short-term (vacation) rental properties; </w:t>
      </w:r>
      <w:proofErr w:type="spellStart"/>
      <w:r w:rsidRPr="002B7B6F">
        <w:rPr>
          <w:rFonts w:ascii="arial, sans-serif" w:eastAsia="Times New Roman" w:hAnsi="arial, sans-serif" w:cs="Times New Roman"/>
          <w:color w:val="51514D"/>
          <w:kern w:val="0"/>
          <w14:ligatures w14:val="none"/>
        </w:rPr>
        <w:t>AirBnB</w:t>
      </w:r>
      <w:proofErr w:type="spellEnd"/>
      <w:r w:rsidRPr="002B7B6F">
        <w:rPr>
          <w:rFonts w:ascii="arial, sans-serif" w:eastAsia="Times New Roman" w:hAnsi="arial, sans-serif" w:cs="Times New Roman"/>
          <w:color w:val="51514D"/>
          <w:kern w:val="0"/>
          <w14:ligatures w14:val="none"/>
        </w:rPr>
        <w:t xml:space="preserve">, VRBO </w:t>
      </w:r>
      <w:proofErr w:type="spellStart"/>
      <w:r w:rsidRPr="002B7B6F">
        <w:rPr>
          <w:rFonts w:ascii="arial, sans-serif" w:eastAsia="Times New Roman" w:hAnsi="arial, sans-serif" w:cs="Times New Roman"/>
          <w:color w:val="51514D"/>
          <w:kern w:val="0"/>
          <w14:ligatures w14:val="none"/>
        </w:rPr>
        <w:t>etc</w:t>
      </w:r>
      <w:proofErr w:type="spellEnd"/>
    </w:p>
    <w:p w14:paraId="49DEBA80"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Minimum Square Footage</w:t>
      </w:r>
    </w:p>
    <w:p w14:paraId="00A589EF"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Live/work condos ineligible.</w:t>
      </w:r>
    </w:p>
    <w:p w14:paraId="69A94999"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w:t>
      </w:r>
    </w:p>
    <w:p w14:paraId="1E796021"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Outside of the GTA Condos of less than 550 Sq. Ft. will require high ratio insurance regardless of LTV</w:t>
      </w:r>
    </w:p>
    <w:p w14:paraId="3169A65C"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w:t>
      </w:r>
    </w:p>
    <w:p w14:paraId="3D1FDF21"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xml:space="preserve">Within GTA Condos of less than 550 Sq. Ft. can be entertained without High Ratio insurance </w:t>
      </w:r>
      <w:proofErr w:type="gramStart"/>
      <w:r w:rsidRPr="002B7B6F">
        <w:rPr>
          <w:rFonts w:ascii="arial, sans-serif" w:eastAsia="Times New Roman" w:hAnsi="arial, sans-serif" w:cs="Times New Roman"/>
          <w:color w:val="51514D"/>
          <w:kern w:val="0"/>
          <w14:ligatures w14:val="none"/>
        </w:rPr>
        <w:t>as long as</w:t>
      </w:r>
      <w:proofErr w:type="gramEnd"/>
      <w:r w:rsidRPr="002B7B6F">
        <w:rPr>
          <w:rFonts w:ascii="arial, sans-serif" w:eastAsia="Times New Roman" w:hAnsi="arial, sans-serif" w:cs="Times New Roman"/>
          <w:color w:val="51514D"/>
          <w:kern w:val="0"/>
          <w14:ligatures w14:val="none"/>
        </w:rPr>
        <w:t xml:space="preserve"> the following is met:</w:t>
      </w:r>
    </w:p>
    <w:p w14:paraId="0ABFC850"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Minimum beacon score of 680+</w:t>
      </w:r>
    </w:p>
    <w:p w14:paraId="7A7457F0"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Units must include a private (walled) 3 pc bathroom (min.) and in-unit designated kitchen/kitchenette area (not shared with any other units). </w:t>
      </w:r>
    </w:p>
    <w:p w14:paraId="5C5E78D6"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No more than 10 years old </w:t>
      </w:r>
    </w:p>
    <w:p w14:paraId="2F4EA41A"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No Condo conversions permitted</w:t>
      </w:r>
    </w:p>
    <w:p w14:paraId="76FA44AC"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w:t>
      </w:r>
    </w:p>
    <w:p w14:paraId="7A296268" w14:textId="77777777" w:rsidR="002B7B6F" w:rsidRPr="002B7B6F" w:rsidRDefault="002B7B6F" w:rsidP="002B7B6F">
      <w:pPr>
        <w:spacing w:beforeAutospacing="1"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u w:val="single"/>
          <w:bdr w:val="none" w:sz="0" w:space="0" w:color="auto" w:frame="1"/>
          <w14:ligatures w14:val="none"/>
        </w:rPr>
        <w:t>Non-Condo Properties Smaller than 550 Sq. Ft</w:t>
      </w:r>
      <w:r w:rsidRPr="002B7B6F">
        <w:rPr>
          <w:rFonts w:ascii="arial, sans-serif" w:eastAsia="Times New Roman" w:hAnsi="arial, sans-serif" w:cs="Times New Roman"/>
          <w:color w:val="51514D"/>
          <w:kern w:val="0"/>
          <w14:ligatures w14:val="none"/>
        </w:rPr>
        <w:t>.</w:t>
      </w:r>
    </w:p>
    <w:p w14:paraId="20B12D97"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Must have living space, kitchen, 3-piece bathroom and separate bedroom with a door</w:t>
      </w:r>
    </w:p>
    <w:p w14:paraId="482EAC6F"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Full appraisal required</w:t>
      </w:r>
    </w:p>
    <w:p w14:paraId="4199E91A"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High ratio insurance required regardless of LTV</w:t>
      </w:r>
    </w:p>
    <w:p w14:paraId="48906EED"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lastRenderedPageBreak/>
        <w:t> </w:t>
      </w:r>
    </w:p>
    <w:p w14:paraId="67FC43D3"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w:t>
      </w:r>
    </w:p>
    <w:p w14:paraId="53C2EBAA"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Loan to value ratios</w:t>
      </w:r>
    </w:p>
    <w:p w14:paraId="77D7B5D1"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The Loan-to-Value ratio is the sum of the mortgage loan together with all prior ranking mortgages, divided by the lesser of the appraised value or purchase price of the property. The total aggregate LTV must not exceed the maximum stated below.</w:t>
      </w:r>
    </w:p>
    <w:p w14:paraId="296703B2"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Meridian reserves the right to limit LTV regardless of these guidelines.</w:t>
      </w:r>
    </w:p>
    <w:tbl>
      <w:tblPr>
        <w:tblW w:w="17550" w:type="dxa"/>
        <w:tblCellMar>
          <w:left w:w="0" w:type="dxa"/>
          <w:right w:w="0" w:type="dxa"/>
        </w:tblCellMar>
        <w:tblLook w:val="04A0" w:firstRow="1" w:lastRow="0" w:firstColumn="1" w:lastColumn="0" w:noHBand="0" w:noVBand="1"/>
      </w:tblPr>
      <w:tblGrid>
        <w:gridCol w:w="9123"/>
        <w:gridCol w:w="8427"/>
      </w:tblGrid>
      <w:tr w:rsidR="002B7B6F" w:rsidRPr="002B7B6F" w14:paraId="4333435E" w14:textId="77777777" w:rsidTr="002B7B6F">
        <w:trPr>
          <w:tblHeader/>
        </w:trPr>
        <w:tc>
          <w:tcPr>
            <w:tcW w:w="6508" w:type="dxa"/>
            <w:tcBorders>
              <w:top w:val="nil"/>
              <w:left w:val="nil"/>
              <w:bottom w:val="nil"/>
              <w:right w:val="nil"/>
            </w:tcBorders>
            <w:shd w:val="clear" w:color="auto" w:fill="51514D"/>
            <w:tcMar>
              <w:top w:w="180" w:type="dxa"/>
              <w:left w:w="300" w:type="dxa"/>
              <w:bottom w:w="180" w:type="dxa"/>
              <w:right w:w="300" w:type="dxa"/>
            </w:tcMar>
            <w:vAlign w:val="bottom"/>
            <w:hideMark/>
          </w:tcPr>
          <w:p w14:paraId="70058560" w14:textId="77777777" w:rsidR="002B7B6F" w:rsidRPr="002B7B6F" w:rsidRDefault="002B7B6F" w:rsidP="002B7B6F">
            <w:pPr>
              <w:rPr>
                <w:rFonts w:ascii="inherit" w:eastAsia="Times New Roman" w:hAnsi="inherit" w:cs="Times New Roman"/>
                <w:color w:val="FEFEFE"/>
                <w:kern w:val="0"/>
                <w14:ligatures w14:val="none"/>
              </w:rPr>
            </w:pPr>
            <w:r w:rsidRPr="002B7B6F">
              <w:rPr>
                <w:rFonts w:ascii="inherit" w:eastAsia="Times New Roman" w:hAnsi="inherit" w:cs="Times New Roman"/>
                <w:color w:val="FEFEFE"/>
                <w:kern w:val="0"/>
                <w14:ligatures w14:val="none"/>
              </w:rPr>
              <w:t>Type of Security</w:t>
            </w:r>
          </w:p>
        </w:tc>
        <w:tc>
          <w:tcPr>
            <w:tcW w:w="6011" w:type="dxa"/>
            <w:tcBorders>
              <w:top w:val="nil"/>
              <w:left w:val="nil"/>
              <w:bottom w:val="nil"/>
              <w:right w:val="nil"/>
            </w:tcBorders>
            <w:shd w:val="clear" w:color="auto" w:fill="FEFEFE"/>
            <w:tcMar>
              <w:top w:w="180" w:type="dxa"/>
              <w:left w:w="300" w:type="dxa"/>
              <w:bottom w:w="180" w:type="dxa"/>
              <w:right w:w="300" w:type="dxa"/>
            </w:tcMar>
            <w:vAlign w:val="bottom"/>
            <w:hideMark/>
          </w:tcPr>
          <w:p w14:paraId="1EDA992E" w14:textId="77777777" w:rsidR="002B7B6F" w:rsidRPr="002B7B6F" w:rsidRDefault="002B7B6F" w:rsidP="002B7B6F">
            <w:pPr>
              <w:rPr>
                <w:rFonts w:ascii="inherit" w:eastAsia="Times New Roman" w:hAnsi="inherit" w:cs="Times New Roman"/>
                <w:color w:val="FEFEFE"/>
                <w:kern w:val="0"/>
                <w14:ligatures w14:val="none"/>
              </w:rPr>
            </w:pPr>
            <w:r w:rsidRPr="002B7B6F">
              <w:rPr>
                <w:rFonts w:ascii="inherit" w:eastAsia="Times New Roman" w:hAnsi="inherit" w:cs="Times New Roman"/>
                <w:color w:val="FEFEFE"/>
                <w:kern w:val="0"/>
                <w14:ligatures w14:val="none"/>
              </w:rPr>
              <w:t>Maximum LTV</w:t>
            </w:r>
          </w:p>
        </w:tc>
      </w:tr>
      <w:tr w:rsidR="002B7B6F" w:rsidRPr="002B7B6F" w14:paraId="7C43881B" w14:textId="77777777" w:rsidTr="002B7B6F">
        <w:tc>
          <w:tcPr>
            <w:tcW w:w="6508" w:type="dxa"/>
            <w:tcBorders>
              <w:top w:val="nil"/>
              <w:left w:val="nil"/>
              <w:bottom w:val="nil"/>
              <w:right w:val="nil"/>
            </w:tcBorders>
            <w:tcMar>
              <w:top w:w="180" w:type="dxa"/>
              <w:left w:w="300" w:type="dxa"/>
              <w:bottom w:w="180" w:type="dxa"/>
              <w:right w:w="300" w:type="dxa"/>
            </w:tcMar>
            <w:vAlign w:val="bottom"/>
            <w:hideMark/>
          </w:tcPr>
          <w:p w14:paraId="20AC35D5" w14:textId="77777777" w:rsidR="002B7B6F" w:rsidRPr="002B7B6F" w:rsidRDefault="002B7B6F" w:rsidP="002B7B6F">
            <w:pPr>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Mortgage - </w:t>
            </w:r>
            <w:r w:rsidRPr="002B7B6F">
              <w:rPr>
                <w:rFonts w:ascii="arial, sans-serif" w:eastAsia="Times New Roman" w:hAnsi="arial, sans-serif" w:cs="Times New Roman"/>
                <w:b/>
                <w:bCs/>
                <w:color w:val="51514D"/>
                <w:kern w:val="0"/>
                <w:bdr w:val="none" w:sz="0" w:space="0" w:color="auto" w:frame="1"/>
                <w14:ligatures w14:val="none"/>
              </w:rPr>
              <w:t>Owner Occupied</w:t>
            </w:r>
          </w:p>
        </w:tc>
        <w:tc>
          <w:tcPr>
            <w:tcW w:w="6011" w:type="dxa"/>
            <w:tcBorders>
              <w:top w:val="nil"/>
              <w:left w:val="nil"/>
              <w:bottom w:val="nil"/>
              <w:right w:val="nil"/>
            </w:tcBorders>
            <w:tcMar>
              <w:top w:w="180" w:type="dxa"/>
              <w:left w:w="300" w:type="dxa"/>
              <w:bottom w:w="180" w:type="dxa"/>
              <w:right w:w="300" w:type="dxa"/>
            </w:tcMar>
            <w:vAlign w:val="bottom"/>
            <w:hideMark/>
          </w:tcPr>
          <w:p w14:paraId="0999E734"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Up to 95% high ratio (purchases only)</w:t>
            </w:r>
          </w:p>
          <w:p w14:paraId="7047598E"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Up to 80% Conventional </w:t>
            </w:r>
          </w:p>
        </w:tc>
      </w:tr>
      <w:tr w:rsidR="002B7B6F" w:rsidRPr="002B7B6F" w14:paraId="02071DDE" w14:textId="77777777" w:rsidTr="002B7B6F">
        <w:tc>
          <w:tcPr>
            <w:tcW w:w="6508" w:type="dxa"/>
            <w:tcBorders>
              <w:top w:val="nil"/>
              <w:left w:val="nil"/>
              <w:bottom w:val="nil"/>
              <w:right w:val="nil"/>
            </w:tcBorders>
            <w:shd w:val="clear" w:color="auto" w:fill="F1F1F1"/>
            <w:tcMar>
              <w:top w:w="180" w:type="dxa"/>
              <w:left w:w="300" w:type="dxa"/>
              <w:bottom w:w="180" w:type="dxa"/>
              <w:right w:w="300" w:type="dxa"/>
            </w:tcMar>
            <w:vAlign w:val="bottom"/>
            <w:hideMark/>
          </w:tcPr>
          <w:p w14:paraId="45C966D3" w14:textId="77777777" w:rsidR="002B7B6F" w:rsidRPr="002B7B6F" w:rsidRDefault="002B7B6F" w:rsidP="002B7B6F">
            <w:pPr>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Flex Line Mortgage - </w:t>
            </w:r>
            <w:r w:rsidRPr="002B7B6F">
              <w:rPr>
                <w:rFonts w:ascii="arial, sans-serif" w:eastAsia="Times New Roman" w:hAnsi="arial, sans-serif" w:cs="Times New Roman"/>
                <w:b/>
                <w:bCs/>
                <w:color w:val="51514D"/>
                <w:kern w:val="0"/>
                <w:bdr w:val="none" w:sz="0" w:space="0" w:color="auto" w:frame="1"/>
                <w14:ligatures w14:val="none"/>
              </w:rPr>
              <w:t>Owner Occupied</w:t>
            </w:r>
          </w:p>
        </w:tc>
        <w:tc>
          <w:tcPr>
            <w:tcW w:w="6011" w:type="dxa"/>
            <w:tcBorders>
              <w:top w:val="nil"/>
              <w:left w:val="nil"/>
              <w:bottom w:val="nil"/>
              <w:right w:val="nil"/>
            </w:tcBorders>
            <w:shd w:val="clear" w:color="auto" w:fill="F1F1F1"/>
            <w:tcMar>
              <w:top w:w="180" w:type="dxa"/>
              <w:left w:w="300" w:type="dxa"/>
              <w:bottom w:w="180" w:type="dxa"/>
              <w:right w:w="300" w:type="dxa"/>
            </w:tcMar>
            <w:vAlign w:val="bottom"/>
            <w:hideMark/>
          </w:tcPr>
          <w:p w14:paraId="5A7A7F99" w14:textId="77777777" w:rsidR="002B7B6F" w:rsidRPr="002B7B6F" w:rsidRDefault="002B7B6F" w:rsidP="002B7B6F">
            <w:pPr>
              <w:spacing w:beforeAutospacing="1"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000000"/>
                <w:kern w:val="0"/>
                <w:bdr w:val="none" w:sz="0" w:space="0" w:color="auto" w:frame="1"/>
                <w14:ligatures w14:val="none"/>
              </w:rPr>
              <w:t>Up to 80% </w:t>
            </w:r>
            <w:r w:rsidRPr="002B7B6F">
              <w:rPr>
                <w:rFonts w:ascii="arial, sans-serif" w:eastAsia="Times New Roman" w:hAnsi="arial, sans-serif" w:cs="Times New Roman"/>
                <w:color w:val="51514D"/>
                <w:kern w:val="0"/>
                <w14:ligatures w14:val="none"/>
              </w:rPr>
              <w:t>Conventional total borrowing</w:t>
            </w:r>
          </w:p>
          <w:p w14:paraId="287DED58"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Up to 70% maximum HELOC borrowing limit</w:t>
            </w:r>
          </w:p>
        </w:tc>
      </w:tr>
    </w:tbl>
    <w:p w14:paraId="66117968"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Conventional financing - Sliding LTV scale</w:t>
      </w:r>
    </w:p>
    <w:tbl>
      <w:tblPr>
        <w:tblW w:w="17550" w:type="dxa"/>
        <w:tblCellMar>
          <w:left w:w="0" w:type="dxa"/>
          <w:right w:w="0" w:type="dxa"/>
        </w:tblCellMar>
        <w:tblLook w:val="04A0" w:firstRow="1" w:lastRow="0" w:firstColumn="1" w:lastColumn="0" w:noHBand="0" w:noVBand="1"/>
      </w:tblPr>
      <w:tblGrid>
        <w:gridCol w:w="3165"/>
        <w:gridCol w:w="1943"/>
        <w:gridCol w:w="5498"/>
        <w:gridCol w:w="6944"/>
      </w:tblGrid>
      <w:tr w:rsidR="002B7B6F" w:rsidRPr="002B7B6F" w14:paraId="6D834283" w14:textId="77777777" w:rsidTr="002B7B6F">
        <w:trPr>
          <w:tblHeader/>
        </w:trPr>
        <w:tc>
          <w:tcPr>
            <w:tcW w:w="0" w:type="auto"/>
            <w:tcBorders>
              <w:top w:val="nil"/>
              <w:left w:val="nil"/>
              <w:bottom w:val="nil"/>
              <w:right w:val="nil"/>
            </w:tcBorders>
            <w:shd w:val="clear" w:color="auto" w:fill="51514D"/>
            <w:tcMar>
              <w:top w:w="180" w:type="dxa"/>
              <w:left w:w="300" w:type="dxa"/>
              <w:bottom w:w="180" w:type="dxa"/>
              <w:right w:w="300" w:type="dxa"/>
            </w:tcMar>
            <w:vAlign w:val="bottom"/>
            <w:hideMark/>
          </w:tcPr>
          <w:p w14:paraId="476B679F" w14:textId="77777777" w:rsidR="002B7B6F" w:rsidRPr="002B7B6F" w:rsidRDefault="002B7B6F" w:rsidP="002B7B6F">
            <w:pPr>
              <w:rPr>
                <w:rFonts w:ascii="inherit" w:eastAsia="Times New Roman" w:hAnsi="inherit" w:cs="Times New Roman"/>
                <w:color w:val="FEFEFE"/>
                <w:kern w:val="0"/>
                <w14:ligatures w14:val="none"/>
              </w:rPr>
            </w:pPr>
            <w:r w:rsidRPr="002B7B6F">
              <w:rPr>
                <w:rFonts w:ascii="inherit" w:eastAsia="Times New Roman" w:hAnsi="inherit" w:cs="Times New Roman"/>
                <w:color w:val="FEFEFE"/>
                <w:kern w:val="0"/>
                <w14:ligatures w14:val="none"/>
              </w:rPr>
              <w:t>Type of Security</w:t>
            </w:r>
          </w:p>
        </w:tc>
        <w:tc>
          <w:tcPr>
            <w:tcW w:w="0" w:type="auto"/>
            <w:tcBorders>
              <w:top w:val="nil"/>
              <w:left w:val="nil"/>
              <w:bottom w:val="nil"/>
              <w:right w:val="nil"/>
            </w:tcBorders>
            <w:shd w:val="clear" w:color="auto" w:fill="51514D"/>
            <w:tcMar>
              <w:top w:w="180" w:type="dxa"/>
              <w:left w:w="300" w:type="dxa"/>
              <w:bottom w:w="180" w:type="dxa"/>
              <w:right w:w="300" w:type="dxa"/>
            </w:tcMar>
            <w:vAlign w:val="bottom"/>
            <w:hideMark/>
          </w:tcPr>
          <w:p w14:paraId="7E730B43" w14:textId="77777777" w:rsidR="002B7B6F" w:rsidRPr="002B7B6F" w:rsidRDefault="002B7B6F" w:rsidP="002B7B6F">
            <w:pPr>
              <w:rPr>
                <w:rFonts w:ascii="inherit" w:eastAsia="Times New Roman" w:hAnsi="inherit" w:cs="Times New Roman"/>
                <w:color w:val="FEFEFE"/>
                <w:kern w:val="0"/>
                <w14:ligatures w14:val="none"/>
              </w:rPr>
            </w:pPr>
            <w:r w:rsidRPr="002B7B6F">
              <w:rPr>
                <w:rFonts w:ascii="inherit" w:eastAsia="Times New Roman" w:hAnsi="inherit" w:cs="Times New Roman"/>
                <w:color w:val="FEFEFE"/>
                <w:kern w:val="0"/>
                <w14:ligatures w14:val="none"/>
              </w:rPr>
              <w:t>Beacon Score</w:t>
            </w:r>
          </w:p>
        </w:tc>
        <w:tc>
          <w:tcPr>
            <w:tcW w:w="0" w:type="auto"/>
            <w:tcBorders>
              <w:top w:val="nil"/>
              <w:left w:val="nil"/>
              <w:bottom w:val="nil"/>
              <w:right w:val="nil"/>
            </w:tcBorders>
            <w:shd w:val="clear" w:color="auto" w:fill="51514D"/>
            <w:tcMar>
              <w:top w:w="180" w:type="dxa"/>
              <w:left w:w="300" w:type="dxa"/>
              <w:bottom w:w="180" w:type="dxa"/>
              <w:right w:w="300" w:type="dxa"/>
            </w:tcMar>
            <w:vAlign w:val="bottom"/>
            <w:hideMark/>
          </w:tcPr>
          <w:p w14:paraId="1E83F4A4" w14:textId="77777777" w:rsidR="002B7B6F" w:rsidRPr="002B7B6F" w:rsidRDefault="002B7B6F" w:rsidP="002B7B6F">
            <w:pPr>
              <w:rPr>
                <w:rFonts w:ascii="inherit" w:eastAsia="Times New Roman" w:hAnsi="inherit" w:cs="Times New Roman"/>
                <w:color w:val="FEFEFE"/>
                <w:kern w:val="0"/>
                <w14:ligatures w14:val="none"/>
              </w:rPr>
            </w:pPr>
            <w:r w:rsidRPr="002B7B6F">
              <w:rPr>
                <w:rFonts w:ascii="inherit" w:eastAsia="Times New Roman" w:hAnsi="inherit" w:cs="Times New Roman"/>
                <w:color w:val="FEFEFE"/>
                <w:kern w:val="0"/>
                <w14:ligatures w14:val="none"/>
              </w:rPr>
              <w:t>LTVR - GTA </w:t>
            </w:r>
            <w:r w:rsidRPr="002B7B6F">
              <w:rPr>
                <w:rFonts w:ascii="inherit" w:eastAsia="Times New Roman" w:hAnsi="inherit" w:cs="Times New Roman"/>
                <w:color w:val="FEFEFE"/>
                <w:kern w:val="0"/>
                <w14:ligatures w14:val="none"/>
              </w:rPr>
              <w:br/>
              <w:t>(excluding condos)</w:t>
            </w:r>
          </w:p>
        </w:tc>
        <w:tc>
          <w:tcPr>
            <w:tcW w:w="0" w:type="auto"/>
            <w:tcBorders>
              <w:top w:val="nil"/>
              <w:left w:val="nil"/>
              <w:bottom w:val="nil"/>
              <w:right w:val="nil"/>
            </w:tcBorders>
            <w:shd w:val="clear" w:color="auto" w:fill="FEFEFE"/>
            <w:tcMar>
              <w:top w:w="180" w:type="dxa"/>
              <w:left w:w="300" w:type="dxa"/>
              <w:bottom w:w="180" w:type="dxa"/>
              <w:right w:w="300" w:type="dxa"/>
            </w:tcMar>
            <w:vAlign w:val="bottom"/>
            <w:hideMark/>
          </w:tcPr>
          <w:p w14:paraId="474CEF40" w14:textId="77777777" w:rsidR="002B7B6F" w:rsidRPr="002B7B6F" w:rsidRDefault="002B7B6F" w:rsidP="002B7B6F">
            <w:pPr>
              <w:rPr>
                <w:rFonts w:ascii="inherit" w:eastAsia="Times New Roman" w:hAnsi="inherit" w:cs="Times New Roman"/>
                <w:color w:val="FEFEFE"/>
                <w:kern w:val="0"/>
                <w14:ligatures w14:val="none"/>
              </w:rPr>
            </w:pPr>
            <w:r w:rsidRPr="002B7B6F">
              <w:rPr>
                <w:rFonts w:ascii="inherit" w:eastAsia="Times New Roman" w:hAnsi="inherit" w:cs="Times New Roman"/>
                <w:color w:val="FEFEFE"/>
                <w:kern w:val="0"/>
                <w14:ligatures w14:val="none"/>
              </w:rPr>
              <w:t>LTVR - all other markets</w:t>
            </w:r>
            <w:r w:rsidRPr="002B7B6F">
              <w:rPr>
                <w:rFonts w:ascii="inherit" w:eastAsia="Times New Roman" w:hAnsi="inherit" w:cs="Times New Roman"/>
                <w:color w:val="FEFEFE"/>
                <w:kern w:val="0"/>
                <w14:ligatures w14:val="none"/>
              </w:rPr>
              <w:br/>
              <w:t>(including GTA condos)</w:t>
            </w:r>
          </w:p>
        </w:tc>
      </w:tr>
      <w:tr w:rsidR="002B7B6F" w:rsidRPr="002B7B6F" w14:paraId="6FF1C036" w14:textId="77777777" w:rsidTr="002B7B6F">
        <w:tc>
          <w:tcPr>
            <w:tcW w:w="0" w:type="auto"/>
            <w:tcBorders>
              <w:top w:val="nil"/>
              <w:left w:val="nil"/>
              <w:bottom w:val="nil"/>
              <w:right w:val="nil"/>
            </w:tcBorders>
            <w:tcMar>
              <w:top w:w="180" w:type="dxa"/>
              <w:left w:w="300" w:type="dxa"/>
              <w:bottom w:w="180" w:type="dxa"/>
              <w:right w:w="300" w:type="dxa"/>
            </w:tcMar>
            <w:vAlign w:val="bottom"/>
            <w:hideMark/>
          </w:tcPr>
          <w:p w14:paraId="5F9B9ABE" w14:textId="77777777" w:rsidR="002B7B6F" w:rsidRPr="002B7B6F" w:rsidRDefault="002B7B6F" w:rsidP="002B7B6F">
            <w:pPr>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b/>
                <w:bCs/>
                <w:color w:val="51514D"/>
                <w:kern w:val="0"/>
                <w:bdr w:val="none" w:sz="0" w:space="0" w:color="auto" w:frame="1"/>
                <w14:ligatures w14:val="none"/>
              </w:rPr>
              <w:t>Owner Occupied</w:t>
            </w:r>
            <w:r w:rsidRPr="002B7B6F">
              <w:rPr>
                <w:rFonts w:ascii="arial, sans-serif" w:eastAsia="Times New Roman" w:hAnsi="arial, sans-serif" w:cs="Times New Roman"/>
                <w:color w:val="51514D"/>
                <w:kern w:val="0"/>
                <w14:ligatures w14:val="none"/>
              </w:rPr>
              <w:br/>
              <w:t>Residential up to 4 units </w:t>
            </w:r>
          </w:p>
        </w:tc>
        <w:tc>
          <w:tcPr>
            <w:tcW w:w="0" w:type="auto"/>
            <w:tcBorders>
              <w:top w:val="nil"/>
              <w:left w:val="nil"/>
              <w:bottom w:val="nil"/>
              <w:right w:val="nil"/>
            </w:tcBorders>
            <w:tcMar>
              <w:top w:w="180" w:type="dxa"/>
              <w:left w:w="300" w:type="dxa"/>
              <w:bottom w:w="180" w:type="dxa"/>
              <w:right w:w="300" w:type="dxa"/>
            </w:tcMar>
            <w:vAlign w:val="bottom"/>
            <w:hideMark/>
          </w:tcPr>
          <w:p w14:paraId="6F8C4E4D" w14:textId="77777777" w:rsidR="002B7B6F" w:rsidRPr="002B7B6F" w:rsidRDefault="002B7B6F" w:rsidP="002B7B6F">
            <w:pPr>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600+</w:t>
            </w:r>
          </w:p>
        </w:tc>
        <w:tc>
          <w:tcPr>
            <w:tcW w:w="0" w:type="auto"/>
            <w:tcBorders>
              <w:top w:val="nil"/>
              <w:left w:val="nil"/>
              <w:bottom w:val="nil"/>
              <w:right w:val="nil"/>
            </w:tcBorders>
            <w:tcMar>
              <w:top w:w="180" w:type="dxa"/>
              <w:left w:w="300" w:type="dxa"/>
              <w:bottom w:w="180" w:type="dxa"/>
              <w:right w:w="300" w:type="dxa"/>
            </w:tcMar>
            <w:vAlign w:val="bottom"/>
            <w:hideMark/>
          </w:tcPr>
          <w:p w14:paraId="74A4D3A9"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80% of the first $2.0MM, 50% of the remainder</w:t>
            </w:r>
          </w:p>
          <w:p w14:paraId="7258E59D" w14:textId="77777777" w:rsidR="002B7B6F" w:rsidRPr="002B7B6F" w:rsidRDefault="002B7B6F" w:rsidP="002B7B6F">
            <w:pPr>
              <w:numPr>
                <w:ilvl w:val="0"/>
                <w:numId w:val="11"/>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Maximum Mortgage amount of $2.25MM</w:t>
            </w:r>
          </w:p>
          <w:p w14:paraId="576DB58A" w14:textId="77777777" w:rsidR="002B7B6F" w:rsidRPr="002B7B6F" w:rsidRDefault="002B7B6F" w:rsidP="002B7B6F">
            <w:pPr>
              <w:numPr>
                <w:ilvl w:val="0"/>
                <w:numId w:val="11"/>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Maximum LOC amount of $1.25MM</w:t>
            </w:r>
          </w:p>
        </w:tc>
        <w:tc>
          <w:tcPr>
            <w:tcW w:w="0" w:type="auto"/>
            <w:tcBorders>
              <w:top w:val="nil"/>
              <w:left w:val="nil"/>
              <w:bottom w:val="nil"/>
              <w:right w:val="nil"/>
            </w:tcBorders>
            <w:tcMar>
              <w:top w:w="180" w:type="dxa"/>
              <w:left w:w="300" w:type="dxa"/>
              <w:bottom w:w="180" w:type="dxa"/>
              <w:right w:w="300" w:type="dxa"/>
            </w:tcMar>
            <w:vAlign w:val="bottom"/>
            <w:hideMark/>
          </w:tcPr>
          <w:p w14:paraId="26DA5291" w14:textId="77777777" w:rsidR="002B7B6F" w:rsidRPr="002B7B6F" w:rsidRDefault="002B7B6F" w:rsidP="002B7B6F">
            <w:pPr>
              <w:spacing w:beforeAutospacing="1"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br/>
            </w:r>
            <w:r w:rsidRPr="002B7B6F">
              <w:rPr>
                <w:rFonts w:ascii="arial, sans-serif" w:eastAsia="Times New Roman" w:hAnsi="arial, sans-serif" w:cs="Times New Roman"/>
                <w:color w:val="000000"/>
                <w:kern w:val="0"/>
                <w:bdr w:val="none" w:sz="0" w:space="0" w:color="auto" w:frame="1"/>
                <w14:ligatures w14:val="none"/>
              </w:rPr>
              <w:t>80 % of the first $1MM, </w:t>
            </w:r>
            <w:r w:rsidRPr="002B7B6F">
              <w:rPr>
                <w:rFonts w:ascii="arial, sans-serif" w:eastAsia="Times New Roman" w:hAnsi="arial, sans-serif" w:cs="Times New Roman"/>
                <w:color w:val="51514D"/>
                <w:kern w:val="0"/>
                <w14:ligatures w14:val="none"/>
              </w:rPr>
              <w:t>50% of the remainder</w:t>
            </w:r>
          </w:p>
          <w:p w14:paraId="209E3994" w14:textId="77777777" w:rsidR="002B7B6F" w:rsidRPr="002B7B6F" w:rsidRDefault="002B7B6F" w:rsidP="002B7B6F">
            <w:pPr>
              <w:numPr>
                <w:ilvl w:val="0"/>
                <w:numId w:val="12"/>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Maximum Mortgage amount of $2MM</w:t>
            </w:r>
          </w:p>
          <w:p w14:paraId="71139F61" w14:textId="77777777" w:rsidR="002B7B6F" w:rsidRPr="002B7B6F" w:rsidRDefault="002B7B6F" w:rsidP="002B7B6F">
            <w:pPr>
              <w:numPr>
                <w:ilvl w:val="0"/>
                <w:numId w:val="12"/>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Maximum LOC amount of $1MM</w:t>
            </w:r>
          </w:p>
          <w:p w14:paraId="18D64A6C" w14:textId="77777777" w:rsidR="002B7B6F" w:rsidRPr="002B7B6F" w:rsidRDefault="002B7B6F" w:rsidP="002B7B6F">
            <w:pPr>
              <w:numPr>
                <w:ilvl w:val="0"/>
                <w:numId w:val="12"/>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Condo mortgages over $1MM on a case-by-case basis</w:t>
            </w:r>
          </w:p>
        </w:tc>
      </w:tr>
    </w:tbl>
    <w:p w14:paraId="2867D38D"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w:t>
      </w:r>
    </w:p>
    <w:p w14:paraId="322B8C55"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High end property policy</w:t>
      </w:r>
    </w:p>
    <w:p w14:paraId="4BB376FD"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Meridian’s overall mortgage limit is capped at $2,250,000.</w:t>
      </w:r>
    </w:p>
    <w:p w14:paraId="3EE8A725" w14:textId="77777777" w:rsidR="002B7B6F" w:rsidRPr="002B7B6F" w:rsidRDefault="002B7B6F" w:rsidP="002B7B6F">
      <w:pPr>
        <w:spacing w:beforeAutospacing="1"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b/>
          <w:bCs/>
          <w:color w:val="51514D"/>
          <w:kern w:val="0"/>
          <w:bdr w:val="none" w:sz="0" w:space="0" w:color="auto" w:frame="1"/>
          <w14:ligatures w14:val="none"/>
        </w:rPr>
        <w:lastRenderedPageBreak/>
        <w:t>Appraisals:</w:t>
      </w:r>
      <w:r w:rsidRPr="002B7B6F">
        <w:rPr>
          <w:rFonts w:ascii="arial, sans-serif" w:eastAsia="Times New Roman" w:hAnsi="arial, sans-serif" w:cs="Times New Roman"/>
          <w:color w:val="51514D"/>
          <w:kern w:val="0"/>
          <w14:ligatures w14:val="none"/>
        </w:rPr>
        <w:t> Due to the difficulty of setting market values for luxury homes, 2 full appraisals from independent appraisers must be completed when:</w:t>
      </w:r>
    </w:p>
    <w:p w14:paraId="7E610B1B" w14:textId="77777777" w:rsidR="002B7B6F" w:rsidRPr="002B7B6F" w:rsidRDefault="002B7B6F" w:rsidP="002B7B6F">
      <w:pPr>
        <w:spacing w:beforeAutospacing="1"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In </w:t>
      </w:r>
      <w:r w:rsidRPr="002B7B6F">
        <w:rPr>
          <w:rFonts w:ascii="arial, sans-serif" w:eastAsia="Times New Roman" w:hAnsi="arial, sans-serif" w:cs="Times New Roman"/>
          <w:b/>
          <w:bCs/>
          <w:color w:val="51514D"/>
          <w:kern w:val="0"/>
          <w:bdr w:val="none" w:sz="0" w:space="0" w:color="auto" w:frame="1"/>
          <w14:ligatures w14:val="none"/>
        </w:rPr>
        <w:t>GTA</w:t>
      </w:r>
      <w:r w:rsidRPr="002B7B6F">
        <w:rPr>
          <w:rFonts w:ascii="arial, sans-serif" w:eastAsia="Times New Roman" w:hAnsi="arial, sans-serif" w:cs="Times New Roman"/>
          <w:color w:val="51514D"/>
          <w:kern w:val="0"/>
          <w14:ligatures w14:val="none"/>
        </w:rPr>
        <w:t>: the total mortgage aggregate is $2MM or higher OR $1.5MM or greater in total mortgage borrowings with any of the following: Exception to Sliding Scale or Properties with 2-4 units.</w:t>
      </w:r>
    </w:p>
    <w:p w14:paraId="6BF414C0" w14:textId="77777777" w:rsidR="002B7B6F" w:rsidRPr="002B7B6F" w:rsidRDefault="002B7B6F" w:rsidP="002B7B6F">
      <w:pPr>
        <w:spacing w:beforeAutospacing="1"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In </w:t>
      </w:r>
      <w:r w:rsidRPr="002B7B6F">
        <w:rPr>
          <w:rFonts w:ascii="arial, sans-serif" w:eastAsia="Times New Roman" w:hAnsi="arial, sans-serif" w:cs="Times New Roman"/>
          <w:b/>
          <w:bCs/>
          <w:color w:val="51514D"/>
          <w:kern w:val="0"/>
          <w:bdr w:val="none" w:sz="0" w:space="0" w:color="auto" w:frame="1"/>
          <w14:ligatures w14:val="none"/>
        </w:rPr>
        <w:t>non-GTA</w:t>
      </w:r>
      <w:r w:rsidRPr="002B7B6F">
        <w:rPr>
          <w:rFonts w:ascii="arial, sans-serif" w:eastAsia="Times New Roman" w:hAnsi="arial, sans-serif" w:cs="Times New Roman"/>
          <w:color w:val="51514D"/>
          <w:kern w:val="0"/>
          <w14:ligatures w14:val="none"/>
        </w:rPr>
        <w:t>, reduce the values to $1.5MM and $1.0MM respectively.</w:t>
      </w:r>
    </w:p>
    <w:p w14:paraId="0DCCF307"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Should the subject property be unique, or comparable sales are difficult to obtain for the purpose of deriving value, additional field review appraisals, desk review appraisals, and/or broker price opinions may be ordered to substantiate the property's value.</w:t>
      </w:r>
    </w:p>
    <w:p w14:paraId="0A940EF7"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When 2 appraisals are completed, Meridian will base the lending value on the lower of the two values.</w:t>
      </w:r>
    </w:p>
    <w:p w14:paraId="6D0ECEC7"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Appraisals</w:t>
      </w:r>
    </w:p>
    <w:p w14:paraId="6C1F9935"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xml:space="preserve">Most conventional mortgage &amp; Line of Credit requests must be supported by an appraisal. Brokers are responsible for the cost of the appraisal report.  Full appraisals must be ordered through Nationwide Appraisal Services (NAS), </w:t>
      </w:r>
      <w:proofErr w:type="spellStart"/>
      <w:r w:rsidRPr="002B7B6F">
        <w:rPr>
          <w:rFonts w:ascii="arial, sans-serif" w:eastAsia="Times New Roman" w:hAnsi="arial, sans-serif" w:cs="Times New Roman"/>
          <w:color w:val="51514D"/>
          <w:kern w:val="0"/>
          <w14:ligatures w14:val="none"/>
        </w:rPr>
        <w:t>Solidifi</w:t>
      </w:r>
      <w:proofErr w:type="spellEnd"/>
      <w:r w:rsidRPr="002B7B6F">
        <w:rPr>
          <w:rFonts w:ascii="arial, sans-serif" w:eastAsia="Times New Roman" w:hAnsi="arial, sans-serif" w:cs="Times New Roman"/>
          <w:color w:val="51514D"/>
          <w:kern w:val="0"/>
          <w14:ligatures w14:val="none"/>
        </w:rPr>
        <w:t>, or RPS Real Property Solutions (RPS).</w:t>
      </w:r>
    </w:p>
    <w:p w14:paraId="13457C45" w14:textId="77777777" w:rsidR="002B7B6F" w:rsidRPr="002B7B6F" w:rsidRDefault="002B7B6F" w:rsidP="002B7B6F">
      <w:pPr>
        <w:spacing w:beforeAutospacing="1"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b/>
          <w:bCs/>
          <w:color w:val="51514D"/>
          <w:kern w:val="0"/>
          <w:bdr w:val="none" w:sz="0" w:space="0" w:color="auto" w:frame="1"/>
          <w14:ligatures w14:val="none"/>
        </w:rPr>
        <w:t>AVM valuations and Market Rent appraisals must be ordered through Nationwide Appraisal Services (NAS)</w:t>
      </w:r>
      <w:r w:rsidRPr="002B7B6F">
        <w:rPr>
          <w:rFonts w:ascii="arial, sans-serif" w:eastAsia="Times New Roman" w:hAnsi="arial, sans-serif" w:cs="Times New Roman"/>
          <w:color w:val="51514D"/>
          <w:kern w:val="0"/>
          <w14:ligatures w14:val="none"/>
        </w:rPr>
        <w:t xml:space="preserve">. Ensure you select </w:t>
      </w:r>
      <w:proofErr w:type="gramStart"/>
      <w:r w:rsidRPr="002B7B6F">
        <w:rPr>
          <w:rFonts w:ascii="arial, sans-serif" w:eastAsia="Times New Roman" w:hAnsi="arial, sans-serif" w:cs="Times New Roman"/>
          <w:color w:val="51514D"/>
          <w:kern w:val="0"/>
          <w14:ligatures w14:val="none"/>
        </w:rPr>
        <w:t>either  REAVS</w:t>
      </w:r>
      <w:proofErr w:type="gramEnd"/>
      <w:r w:rsidRPr="002B7B6F">
        <w:rPr>
          <w:rFonts w:ascii="arial, sans-serif" w:eastAsia="Times New Roman" w:hAnsi="arial, sans-serif" w:cs="Times New Roman"/>
          <w:color w:val="51514D"/>
          <w:kern w:val="0"/>
          <w14:ligatures w14:val="none"/>
        </w:rPr>
        <w:t xml:space="preserve"> or MPAC as these are the </w:t>
      </w:r>
      <w:r w:rsidRPr="002B7B6F">
        <w:rPr>
          <w:rFonts w:ascii="arial, sans-serif" w:eastAsia="Times New Roman" w:hAnsi="arial, sans-serif" w:cs="Times New Roman"/>
          <w:b/>
          <w:bCs/>
          <w:color w:val="51514D"/>
          <w:kern w:val="0"/>
          <w:bdr w:val="none" w:sz="0" w:space="0" w:color="auto" w:frame="1"/>
          <w14:ligatures w14:val="none"/>
        </w:rPr>
        <w:t>exclusive AVM types that are accepted.</w:t>
      </w:r>
    </w:p>
    <w:p w14:paraId="6BBD19D6"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xml:space="preserve">Please note that if the purchase prices </w:t>
      </w:r>
      <w:proofErr w:type="gramStart"/>
      <w:r w:rsidRPr="002B7B6F">
        <w:rPr>
          <w:rFonts w:ascii="arial, sans-serif" w:eastAsia="Times New Roman" w:hAnsi="arial, sans-serif" w:cs="Times New Roman"/>
          <w:color w:val="51514D"/>
          <w:kern w:val="0"/>
          <w14:ligatures w14:val="none"/>
        </w:rPr>
        <w:t>falls</w:t>
      </w:r>
      <w:proofErr w:type="gramEnd"/>
      <w:r w:rsidRPr="002B7B6F">
        <w:rPr>
          <w:rFonts w:ascii="arial, sans-serif" w:eastAsia="Times New Roman" w:hAnsi="arial, sans-serif" w:cs="Times New Roman"/>
          <w:color w:val="51514D"/>
          <w:kern w:val="0"/>
          <w14:ligatures w14:val="none"/>
        </w:rPr>
        <w:t xml:space="preserve"> outside of the low to high range of an AVM, a desktop or full appraisal will be required.</w:t>
      </w:r>
    </w:p>
    <w:p w14:paraId="50951E7A"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xml:space="preserve">For properties situated on acreage (rural residential), appraisal report to include a maximum of 10 acres plus dwelling and no </w:t>
      </w:r>
      <w:proofErr w:type="gramStart"/>
      <w:r w:rsidRPr="002B7B6F">
        <w:rPr>
          <w:rFonts w:ascii="arial, sans-serif" w:eastAsia="Times New Roman" w:hAnsi="arial, sans-serif" w:cs="Times New Roman"/>
          <w:color w:val="51514D"/>
          <w:kern w:val="0"/>
          <w14:ligatures w14:val="none"/>
        </w:rPr>
        <w:t>out buildings</w:t>
      </w:r>
      <w:proofErr w:type="gramEnd"/>
      <w:r w:rsidRPr="002B7B6F">
        <w:rPr>
          <w:rFonts w:ascii="arial, sans-serif" w:eastAsia="Times New Roman" w:hAnsi="arial, sans-serif" w:cs="Times New Roman"/>
          <w:color w:val="51514D"/>
          <w:kern w:val="0"/>
          <w14:ligatures w14:val="none"/>
        </w:rPr>
        <w:t>.</w:t>
      </w:r>
    </w:p>
    <w:p w14:paraId="03BF1234"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Meridian may require additional information regarding the subject property as deemed necessary.</w:t>
      </w:r>
    </w:p>
    <w:p w14:paraId="542A0D3C" w14:textId="77777777" w:rsidR="002B7B6F" w:rsidRPr="002B7B6F" w:rsidRDefault="002B7B6F" w:rsidP="002B7B6F">
      <w:pPr>
        <w:numPr>
          <w:ilvl w:val="0"/>
          <w:numId w:val="13"/>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Appraisal reports not initially addressed to Meridian will require an exception approval as well as a transmittal letter.</w:t>
      </w:r>
    </w:p>
    <w:p w14:paraId="6C4AA769" w14:textId="77777777" w:rsidR="002B7B6F" w:rsidRPr="002B7B6F" w:rsidRDefault="002B7B6F" w:rsidP="002B7B6F">
      <w:pPr>
        <w:spacing w:beforeAutospacing="1"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b/>
          <w:bCs/>
          <w:color w:val="51514D"/>
          <w:kern w:val="0"/>
          <w:bdr w:val="none" w:sz="0" w:space="0" w:color="auto" w:frame="1"/>
          <w14:ligatures w14:val="none"/>
        </w:rPr>
        <w:t>Full appraisal is required for the following:</w:t>
      </w:r>
    </w:p>
    <w:p w14:paraId="07056793" w14:textId="77777777" w:rsidR="002B7B6F" w:rsidRPr="002B7B6F" w:rsidRDefault="002B7B6F" w:rsidP="002B7B6F">
      <w:pPr>
        <w:numPr>
          <w:ilvl w:val="0"/>
          <w:numId w:val="14"/>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Properties purchased under power of sale</w:t>
      </w:r>
    </w:p>
    <w:p w14:paraId="7563329D" w14:textId="77777777" w:rsidR="002B7B6F" w:rsidRPr="002B7B6F" w:rsidRDefault="002B7B6F" w:rsidP="002B7B6F">
      <w:pPr>
        <w:numPr>
          <w:ilvl w:val="0"/>
          <w:numId w:val="14"/>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xml:space="preserve">Property values </w:t>
      </w:r>
      <w:proofErr w:type="gramStart"/>
      <w:r w:rsidRPr="002B7B6F">
        <w:rPr>
          <w:rFonts w:ascii="arial, sans-serif" w:eastAsia="Times New Roman" w:hAnsi="arial, sans-serif" w:cs="Times New Roman"/>
          <w:color w:val="51514D"/>
          <w:kern w:val="0"/>
          <w14:ligatures w14:val="none"/>
        </w:rPr>
        <w:t>in excess of</w:t>
      </w:r>
      <w:proofErr w:type="gramEnd"/>
      <w:r w:rsidRPr="002B7B6F">
        <w:rPr>
          <w:rFonts w:ascii="arial, sans-serif" w:eastAsia="Times New Roman" w:hAnsi="arial, sans-serif" w:cs="Times New Roman"/>
          <w:color w:val="51514D"/>
          <w:kern w:val="0"/>
          <w14:ligatures w14:val="none"/>
        </w:rPr>
        <w:t xml:space="preserve"> thresholds as defined as:</w:t>
      </w:r>
    </w:p>
    <w:p w14:paraId="7999A46C" w14:textId="77777777" w:rsidR="002B7B6F" w:rsidRPr="002B7B6F" w:rsidRDefault="002B7B6F" w:rsidP="002B7B6F">
      <w:pPr>
        <w:numPr>
          <w:ilvl w:val="1"/>
          <w:numId w:val="14"/>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$1,500,000 GTA (City of Toronto, Etobicoke, Scarborough, Vaughan, Markham, Richmond Hill)</w:t>
      </w:r>
    </w:p>
    <w:p w14:paraId="1645B8F3" w14:textId="77777777" w:rsidR="002B7B6F" w:rsidRPr="002B7B6F" w:rsidRDefault="002B7B6F" w:rsidP="002B7B6F">
      <w:pPr>
        <w:numPr>
          <w:ilvl w:val="1"/>
          <w:numId w:val="14"/>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xml:space="preserve">$1,000,000 </w:t>
      </w:r>
      <w:proofErr w:type="gramStart"/>
      <w:r w:rsidRPr="002B7B6F">
        <w:rPr>
          <w:rFonts w:ascii="arial, sans-serif" w:eastAsia="Times New Roman" w:hAnsi="arial, sans-serif" w:cs="Times New Roman"/>
          <w:color w:val="51514D"/>
          <w:kern w:val="0"/>
          <w14:ligatures w14:val="none"/>
        </w:rPr>
        <w:t>Non-GTA</w:t>
      </w:r>
      <w:proofErr w:type="gramEnd"/>
    </w:p>
    <w:p w14:paraId="0BD5038B" w14:textId="77777777" w:rsidR="002B7B6F" w:rsidRPr="002B7B6F" w:rsidRDefault="002B7B6F" w:rsidP="002B7B6F">
      <w:pPr>
        <w:numPr>
          <w:ilvl w:val="1"/>
          <w:numId w:val="14"/>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lastRenderedPageBreak/>
        <w:t xml:space="preserve">Mortgage borrowing </w:t>
      </w:r>
      <w:proofErr w:type="gramStart"/>
      <w:r w:rsidRPr="002B7B6F">
        <w:rPr>
          <w:rFonts w:ascii="arial, sans-serif" w:eastAsia="Times New Roman" w:hAnsi="arial, sans-serif" w:cs="Times New Roman"/>
          <w:color w:val="51514D"/>
          <w:kern w:val="0"/>
          <w14:ligatures w14:val="none"/>
        </w:rPr>
        <w:t>in excess of</w:t>
      </w:r>
      <w:proofErr w:type="gramEnd"/>
      <w:r w:rsidRPr="002B7B6F">
        <w:rPr>
          <w:rFonts w:ascii="arial, sans-serif" w:eastAsia="Times New Roman" w:hAnsi="arial, sans-serif" w:cs="Times New Roman"/>
          <w:color w:val="51514D"/>
          <w:kern w:val="0"/>
          <w14:ligatures w14:val="none"/>
        </w:rPr>
        <w:t xml:space="preserve"> above thresholds may require 2 appraisals</w:t>
      </w:r>
    </w:p>
    <w:p w14:paraId="05F5A6FE" w14:textId="77777777" w:rsidR="002B7B6F" w:rsidRPr="002B7B6F" w:rsidRDefault="002B7B6F" w:rsidP="002B7B6F">
      <w:pPr>
        <w:numPr>
          <w:ilvl w:val="0"/>
          <w:numId w:val="14"/>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Multi-unit dwellings (2-4 units)</w:t>
      </w:r>
    </w:p>
    <w:p w14:paraId="3C141A4B" w14:textId="77777777" w:rsidR="002B7B6F" w:rsidRPr="002B7B6F" w:rsidRDefault="002B7B6F" w:rsidP="002B7B6F">
      <w:pPr>
        <w:numPr>
          <w:ilvl w:val="0"/>
          <w:numId w:val="14"/>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Private purchases</w:t>
      </w:r>
    </w:p>
    <w:p w14:paraId="6A4175AD" w14:textId="77777777" w:rsidR="002B7B6F" w:rsidRPr="002B7B6F" w:rsidRDefault="002B7B6F" w:rsidP="002B7B6F">
      <w:pPr>
        <w:numPr>
          <w:ilvl w:val="0"/>
          <w:numId w:val="14"/>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Non arm’s length transactions</w:t>
      </w:r>
    </w:p>
    <w:p w14:paraId="6C4C6428" w14:textId="77777777" w:rsidR="002B7B6F" w:rsidRPr="002B7B6F" w:rsidRDefault="002B7B6F" w:rsidP="002B7B6F">
      <w:pPr>
        <w:numPr>
          <w:ilvl w:val="0"/>
          <w:numId w:val="14"/>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Laneway/Carriage Homes</w:t>
      </w:r>
    </w:p>
    <w:p w14:paraId="49AB4B77" w14:textId="77777777" w:rsidR="002B7B6F" w:rsidRPr="002B7B6F" w:rsidRDefault="002B7B6F" w:rsidP="002B7B6F">
      <w:pPr>
        <w:numPr>
          <w:ilvl w:val="0"/>
          <w:numId w:val="14"/>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All zonings other than residential or rural/agricultural (rural valuations are limited to house and a maximum of 10 acres, no value given for outbuildings or excess acreage)</w:t>
      </w:r>
    </w:p>
    <w:p w14:paraId="4B7AF483" w14:textId="77777777" w:rsidR="002B7B6F" w:rsidRPr="002B7B6F" w:rsidRDefault="002B7B6F" w:rsidP="002B7B6F">
      <w:pPr>
        <w:numPr>
          <w:ilvl w:val="0"/>
          <w:numId w:val="14"/>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Sales through non-established brokerages such as Property Guys</w:t>
      </w:r>
    </w:p>
    <w:p w14:paraId="47032F17" w14:textId="77777777" w:rsidR="002B7B6F" w:rsidRPr="002B7B6F" w:rsidRDefault="002B7B6F" w:rsidP="002B7B6F">
      <w:pPr>
        <w:numPr>
          <w:ilvl w:val="0"/>
          <w:numId w:val="14"/>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All properties over 10 acres</w:t>
      </w:r>
    </w:p>
    <w:p w14:paraId="6032559A" w14:textId="77777777" w:rsidR="002B7B6F" w:rsidRPr="002B7B6F" w:rsidRDefault="002B7B6F" w:rsidP="002B7B6F">
      <w:pPr>
        <w:numPr>
          <w:ilvl w:val="0"/>
          <w:numId w:val="14"/>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No MLS listing</w:t>
      </w:r>
    </w:p>
    <w:p w14:paraId="060AE365"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A full appraisal may be requested at Meridian's full discretion.</w:t>
      </w:r>
    </w:p>
    <w:p w14:paraId="6AC24320"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Automated Valuation Model (AVM)</w:t>
      </w:r>
    </w:p>
    <w:p w14:paraId="39960DA0"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Meridian is saving your clients money by offering a more flexible appraisal policy. Most conventional mortgage &amp; Line of Credit requests must be supported by an appraisal. However, in some cases an Automated Valuation Model (AVM) Report may be considered in lieu of a full appraisal dependent on purchase price, beacon score and LTV (see below). Full Appraisal may be required at Underwriter’s discretion or where the purchase price does not fall within the low to high range of the AVM report.</w:t>
      </w:r>
    </w:p>
    <w:p w14:paraId="4C957549" w14:textId="77777777" w:rsidR="002B7B6F" w:rsidRPr="002B7B6F" w:rsidRDefault="002B7B6F" w:rsidP="002B7B6F">
      <w:pPr>
        <w:spacing w:beforeAutospacing="1"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b/>
          <w:bCs/>
          <w:color w:val="51514D"/>
          <w:kern w:val="0"/>
          <w:bdr w:val="none" w:sz="0" w:space="0" w:color="auto" w:frame="1"/>
          <w14:ligatures w14:val="none"/>
        </w:rPr>
        <w:t>Property valuation requirements: For Owner Occupied principal residences, regardless of value, if LTV is less than 50% and beacon score is 600 or above, we'll move to AVM instead of full appraisal.</w:t>
      </w:r>
    </w:p>
    <w:tbl>
      <w:tblPr>
        <w:tblW w:w="17550" w:type="dxa"/>
        <w:tblCellMar>
          <w:left w:w="0" w:type="dxa"/>
          <w:right w:w="0" w:type="dxa"/>
        </w:tblCellMar>
        <w:tblLook w:val="04A0" w:firstRow="1" w:lastRow="0" w:firstColumn="1" w:lastColumn="0" w:noHBand="0" w:noVBand="1"/>
      </w:tblPr>
      <w:tblGrid>
        <w:gridCol w:w="5850"/>
        <w:gridCol w:w="5850"/>
        <w:gridCol w:w="5850"/>
      </w:tblGrid>
      <w:tr w:rsidR="002B7B6F" w:rsidRPr="002B7B6F" w14:paraId="65F9ECBF" w14:textId="77777777" w:rsidTr="002B7B6F">
        <w:trPr>
          <w:tblHeader/>
        </w:trPr>
        <w:tc>
          <w:tcPr>
            <w:tcW w:w="0" w:type="auto"/>
            <w:tcBorders>
              <w:top w:val="nil"/>
              <w:left w:val="nil"/>
              <w:bottom w:val="nil"/>
              <w:right w:val="nil"/>
            </w:tcBorders>
            <w:shd w:val="clear" w:color="auto" w:fill="51514D"/>
            <w:tcMar>
              <w:top w:w="180" w:type="dxa"/>
              <w:left w:w="300" w:type="dxa"/>
              <w:bottom w:w="180" w:type="dxa"/>
              <w:right w:w="300" w:type="dxa"/>
            </w:tcMar>
            <w:vAlign w:val="bottom"/>
            <w:hideMark/>
          </w:tcPr>
          <w:p w14:paraId="1CC15A46" w14:textId="77777777" w:rsidR="002B7B6F" w:rsidRPr="002B7B6F" w:rsidRDefault="002B7B6F" w:rsidP="002B7B6F">
            <w:pPr>
              <w:rPr>
                <w:rFonts w:ascii="inherit" w:eastAsia="Times New Roman" w:hAnsi="inherit" w:cs="Times New Roman"/>
                <w:color w:val="FEFEFE"/>
                <w:kern w:val="0"/>
                <w14:ligatures w14:val="none"/>
              </w:rPr>
            </w:pPr>
            <w:r w:rsidRPr="002B7B6F">
              <w:rPr>
                <w:rFonts w:ascii="inherit" w:eastAsia="Times New Roman" w:hAnsi="inherit" w:cs="Times New Roman"/>
                <w:color w:val="FEFEFE"/>
                <w:kern w:val="0"/>
                <w14:ligatures w14:val="none"/>
              </w:rPr>
              <w:t> </w:t>
            </w:r>
          </w:p>
        </w:tc>
        <w:tc>
          <w:tcPr>
            <w:tcW w:w="0" w:type="auto"/>
            <w:tcBorders>
              <w:top w:val="nil"/>
              <w:left w:val="nil"/>
              <w:bottom w:val="nil"/>
              <w:right w:val="nil"/>
            </w:tcBorders>
            <w:shd w:val="clear" w:color="auto" w:fill="51514D"/>
            <w:tcMar>
              <w:top w:w="180" w:type="dxa"/>
              <w:left w:w="300" w:type="dxa"/>
              <w:bottom w:w="180" w:type="dxa"/>
              <w:right w:w="300" w:type="dxa"/>
            </w:tcMar>
            <w:vAlign w:val="bottom"/>
            <w:hideMark/>
          </w:tcPr>
          <w:p w14:paraId="40B0E05C" w14:textId="77777777" w:rsidR="002B7B6F" w:rsidRPr="002B7B6F" w:rsidRDefault="002B7B6F" w:rsidP="002B7B6F">
            <w:pPr>
              <w:rPr>
                <w:rFonts w:ascii="inherit" w:eastAsia="Times New Roman" w:hAnsi="inherit" w:cs="Times New Roman"/>
                <w:color w:val="FEFEFE"/>
                <w:kern w:val="0"/>
                <w14:ligatures w14:val="none"/>
              </w:rPr>
            </w:pPr>
            <w:r w:rsidRPr="002B7B6F">
              <w:rPr>
                <w:rFonts w:ascii="inherit" w:eastAsia="Times New Roman" w:hAnsi="inherit" w:cs="Times New Roman"/>
                <w:color w:val="FEFEFE"/>
                <w:kern w:val="0"/>
                <w14:ligatures w14:val="none"/>
              </w:rPr>
              <w:t>AVM</w:t>
            </w:r>
          </w:p>
        </w:tc>
        <w:tc>
          <w:tcPr>
            <w:tcW w:w="0" w:type="auto"/>
            <w:tcBorders>
              <w:top w:val="nil"/>
              <w:left w:val="nil"/>
              <w:bottom w:val="nil"/>
              <w:right w:val="nil"/>
            </w:tcBorders>
            <w:shd w:val="clear" w:color="auto" w:fill="FEFEFE"/>
            <w:tcMar>
              <w:top w:w="180" w:type="dxa"/>
              <w:left w:w="300" w:type="dxa"/>
              <w:bottom w:w="180" w:type="dxa"/>
              <w:right w:w="300" w:type="dxa"/>
            </w:tcMar>
            <w:vAlign w:val="bottom"/>
            <w:hideMark/>
          </w:tcPr>
          <w:p w14:paraId="5C9BF459" w14:textId="77777777" w:rsidR="002B7B6F" w:rsidRPr="002B7B6F" w:rsidRDefault="002B7B6F" w:rsidP="002B7B6F">
            <w:pPr>
              <w:rPr>
                <w:rFonts w:ascii="inherit" w:eastAsia="Times New Roman" w:hAnsi="inherit" w:cs="Times New Roman"/>
                <w:color w:val="FEFEFE"/>
                <w:kern w:val="0"/>
                <w14:ligatures w14:val="none"/>
              </w:rPr>
            </w:pPr>
            <w:r w:rsidRPr="002B7B6F">
              <w:rPr>
                <w:rFonts w:ascii="inherit" w:eastAsia="Times New Roman" w:hAnsi="inherit" w:cs="Times New Roman"/>
                <w:color w:val="FEFEFE"/>
                <w:kern w:val="0"/>
                <w14:ligatures w14:val="none"/>
              </w:rPr>
              <w:t>Full Appraisal</w:t>
            </w:r>
          </w:p>
        </w:tc>
      </w:tr>
      <w:tr w:rsidR="002B7B6F" w:rsidRPr="002B7B6F" w14:paraId="4B970A18" w14:textId="77777777" w:rsidTr="002B7B6F">
        <w:tc>
          <w:tcPr>
            <w:tcW w:w="5850" w:type="dxa"/>
            <w:tcBorders>
              <w:top w:val="nil"/>
              <w:left w:val="nil"/>
              <w:bottom w:val="nil"/>
              <w:right w:val="nil"/>
            </w:tcBorders>
            <w:tcMar>
              <w:top w:w="180" w:type="dxa"/>
              <w:left w:w="300" w:type="dxa"/>
              <w:bottom w:w="180" w:type="dxa"/>
              <w:right w:w="300" w:type="dxa"/>
            </w:tcMar>
            <w:vAlign w:val="bottom"/>
            <w:hideMark/>
          </w:tcPr>
          <w:p w14:paraId="3FFC433D" w14:textId="77777777" w:rsidR="002B7B6F" w:rsidRPr="002B7B6F" w:rsidRDefault="002B7B6F" w:rsidP="002B7B6F">
            <w:pPr>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u w:val="single"/>
                <w:bdr w:val="none" w:sz="0" w:space="0" w:color="auto" w:frame="1"/>
                <w14:ligatures w14:val="none"/>
              </w:rPr>
              <w:t>Purchase</w:t>
            </w:r>
            <w:r w:rsidRPr="002B7B6F">
              <w:rPr>
                <w:rFonts w:ascii="arial, sans-serif" w:eastAsia="Times New Roman" w:hAnsi="arial, sans-serif" w:cs="Times New Roman"/>
                <w:color w:val="51514D"/>
                <w:kern w:val="0"/>
                <w14:ligatures w14:val="none"/>
              </w:rPr>
              <w:br/>
              <w:t>Owner Occupied</w:t>
            </w:r>
          </w:p>
        </w:tc>
        <w:tc>
          <w:tcPr>
            <w:tcW w:w="5850" w:type="dxa"/>
            <w:tcBorders>
              <w:top w:val="nil"/>
              <w:left w:val="nil"/>
              <w:bottom w:val="nil"/>
              <w:right w:val="nil"/>
            </w:tcBorders>
            <w:tcMar>
              <w:top w:w="180" w:type="dxa"/>
              <w:left w:w="300" w:type="dxa"/>
              <w:bottom w:w="180" w:type="dxa"/>
              <w:right w:w="300" w:type="dxa"/>
            </w:tcMar>
            <w:vAlign w:val="bottom"/>
            <w:hideMark/>
          </w:tcPr>
          <w:p w14:paraId="4BAC4B8F"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Up to 80% LTV</w:t>
            </w:r>
          </w:p>
          <w:p w14:paraId="2BDB82F8" w14:textId="77777777" w:rsidR="002B7B6F" w:rsidRPr="002B7B6F" w:rsidRDefault="002B7B6F" w:rsidP="002B7B6F">
            <w:pPr>
              <w:numPr>
                <w:ilvl w:val="0"/>
                <w:numId w:val="15"/>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640+ beacon scores</w:t>
            </w:r>
          </w:p>
          <w:p w14:paraId="1F3C2BA7"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Up to 70% LTV</w:t>
            </w:r>
          </w:p>
          <w:p w14:paraId="62636B0D" w14:textId="77777777" w:rsidR="002B7B6F" w:rsidRPr="002B7B6F" w:rsidRDefault="002B7B6F" w:rsidP="002B7B6F">
            <w:pPr>
              <w:numPr>
                <w:ilvl w:val="0"/>
                <w:numId w:val="16"/>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600-639 beacon scores</w:t>
            </w:r>
          </w:p>
          <w:p w14:paraId="1B0EB335"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w:t>
            </w:r>
          </w:p>
        </w:tc>
        <w:tc>
          <w:tcPr>
            <w:tcW w:w="5850" w:type="dxa"/>
            <w:tcBorders>
              <w:top w:val="nil"/>
              <w:left w:val="nil"/>
              <w:bottom w:val="nil"/>
              <w:right w:val="nil"/>
            </w:tcBorders>
            <w:tcMar>
              <w:top w:w="180" w:type="dxa"/>
              <w:left w:w="300" w:type="dxa"/>
              <w:bottom w:w="180" w:type="dxa"/>
              <w:right w:w="300" w:type="dxa"/>
            </w:tcMar>
            <w:vAlign w:val="bottom"/>
            <w:hideMark/>
          </w:tcPr>
          <w:p w14:paraId="1DFDB7CC" w14:textId="77777777" w:rsidR="002B7B6F" w:rsidRPr="002B7B6F" w:rsidRDefault="002B7B6F" w:rsidP="002B7B6F">
            <w:pPr>
              <w:numPr>
                <w:ilvl w:val="0"/>
                <w:numId w:val="17"/>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LTVs greater than parameters based on beacon score</w:t>
            </w:r>
          </w:p>
          <w:p w14:paraId="2980C1C9" w14:textId="77777777" w:rsidR="002B7B6F" w:rsidRPr="002B7B6F" w:rsidRDefault="002B7B6F" w:rsidP="002B7B6F">
            <w:pPr>
              <w:numPr>
                <w:ilvl w:val="0"/>
                <w:numId w:val="17"/>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All properties/scenarios listed above</w:t>
            </w:r>
          </w:p>
        </w:tc>
      </w:tr>
      <w:tr w:rsidR="002B7B6F" w:rsidRPr="002B7B6F" w14:paraId="3F04359A" w14:textId="77777777" w:rsidTr="002B7B6F">
        <w:tc>
          <w:tcPr>
            <w:tcW w:w="5850" w:type="dxa"/>
            <w:tcBorders>
              <w:top w:val="nil"/>
              <w:left w:val="nil"/>
              <w:bottom w:val="nil"/>
              <w:right w:val="nil"/>
            </w:tcBorders>
            <w:shd w:val="clear" w:color="auto" w:fill="F1F1F1"/>
            <w:tcMar>
              <w:top w:w="180" w:type="dxa"/>
              <w:left w:w="300" w:type="dxa"/>
              <w:bottom w:w="180" w:type="dxa"/>
              <w:right w:w="300" w:type="dxa"/>
            </w:tcMar>
            <w:vAlign w:val="bottom"/>
            <w:hideMark/>
          </w:tcPr>
          <w:p w14:paraId="7C6B1EE5" w14:textId="77777777" w:rsidR="002B7B6F" w:rsidRPr="002B7B6F" w:rsidRDefault="002B7B6F" w:rsidP="002B7B6F">
            <w:pPr>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u w:val="single"/>
                <w:bdr w:val="none" w:sz="0" w:space="0" w:color="auto" w:frame="1"/>
                <w14:ligatures w14:val="none"/>
              </w:rPr>
              <w:t>Refinance</w:t>
            </w:r>
            <w:r w:rsidRPr="002B7B6F">
              <w:rPr>
                <w:rFonts w:ascii="arial, sans-serif" w:eastAsia="Times New Roman" w:hAnsi="arial, sans-serif" w:cs="Times New Roman"/>
                <w:color w:val="51514D"/>
                <w:kern w:val="0"/>
                <w14:ligatures w14:val="none"/>
              </w:rPr>
              <w:br/>
              <w:t>Owner Occupied</w:t>
            </w:r>
            <w:r w:rsidRPr="002B7B6F">
              <w:rPr>
                <w:rFonts w:ascii="arial, sans-serif" w:eastAsia="Times New Roman" w:hAnsi="arial, sans-serif" w:cs="Times New Roman"/>
                <w:color w:val="51514D"/>
                <w:kern w:val="0"/>
                <w14:ligatures w14:val="none"/>
              </w:rPr>
              <w:br/>
              <w:t>(mortgage refinance or combination of mortgage/HELOC)</w:t>
            </w:r>
          </w:p>
        </w:tc>
        <w:tc>
          <w:tcPr>
            <w:tcW w:w="5850" w:type="dxa"/>
            <w:tcBorders>
              <w:top w:val="nil"/>
              <w:left w:val="nil"/>
              <w:bottom w:val="nil"/>
              <w:right w:val="nil"/>
            </w:tcBorders>
            <w:shd w:val="clear" w:color="auto" w:fill="F1F1F1"/>
            <w:tcMar>
              <w:top w:w="180" w:type="dxa"/>
              <w:left w:w="300" w:type="dxa"/>
              <w:bottom w:w="180" w:type="dxa"/>
              <w:right w:w="300" w:type="dxa"/>
            </w:tcMar>
            <w:vAlign w:val="bottom"/>
            <w:hideMark/>
          </w:tcPr>
          <w:p w14:paraId="348D31C6"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Up to 70% LTV</w:t>
            </w:r>
          </w:p>
          <w:p w14:paraId="27BB5911" w14:textId="77777777" w:rsidR="002B7B6F" w:rsidRPr="002B7B6F" w:rsidRDefault="002B7B6F" w:rsidP="002B7B6F">
            <w:pPr>
              <w:numPr>
                <w:ilvl w:val="0"/>
                <w:numId w:val="18"/>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640+ beacon scores</w:t>
            </w:r>
          </w:p>
          <w:p w14:paraId="59549660"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lastRenderedPageBreak/>
              <w:t>Up to 65% LTV</w:t>
            </w:r>
          </w:p>
          <w:p w14:paraId="1D19B95E" w14:textId="77777777" w:rsidR="002B7B6F" w:rsidRPr="002B7B6F" w:rsidRDefault="002B7B6F" w:rsidP="002B7B6F">
            <w:pPr>
              <w:numPr>
                <w:ilvl w:val="0"/>
                <w:numId w:val="19"/>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600-639 beacon scores</w:t>
            </w:r>
          </w:p>
        </w:tc>
        <w:tc>
          <w:tcPr>
            <w:tcW w:w="5850" w:type="dxa"/>
            <w:tcBorders>
              <w:top w:val="nil"/>
              <w:left w:val="nil"/>
              <w:bottom w:val="nil"/>
              <w:right w:val="nil"/>
            </w:tcBorders>
            <w:shd w:val="clear" w:color="auto" w:fill="F1F1F1"/>
            <w:tcMar>
              <w:top w:w="180" w:type="dxa"/>
              <w:left w:w="300" w:type="dxa"/>
              <w:bottom w:w="180" w:type="dxa"/>
              <w:right w:w="300" w:type="dxa"/>
            </w:tcMar>
            <w:vAlign w:val="bottom"/>
            <w:hideMark/>
          </w:tcPr>
          <w:p w14:paraId="7EE9127A" w14:textId="77777777" w:rsidR="002B7B6F" w:rsidRPr="002B7B6F" w:rsidRDefault="002B7B6F" w:rsidP="002B7B6F">
            <w:pPr>
              <w:numPr>
                <w:ilvl w:val="0"/>
                <w:numId w:val="20"/>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lastRenderedPageBreak/>
              <w:t>LTVs greater than parameters based on beacon scores</w:t>
            </w:r>
          </w:p>
          <w:p w14:paraId="4E76CF86" w14:textId="77777777" w:rsidR="002B7B6F" w:rsidRPr="002B7B6F" w:rsidRDefault="002B7B6F" w:rsidP="002B7B6F">
            <w:pPr>
              <w:numPr>
                <w:ilvl w:val="0"/>
                <w:numId w:val="20"/>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All properties/scenarios listed above</w:t>
            </w:r>
          </w:p>
        </w:tc>
      </w:tr>
    </w:tbl>
    <w:p w14:paraId="1F891A55"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Property taxes</w:t>
      </w:r>
    </w:p>
    <w:p w14:paraId="69C3E9FF"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Property taxes are to be determined via the most recent property tax bill, municipal records or listing. For new builds, one of the following methods may be used to determine property tax:</w:t>
      </w:r>
    </w:p>
    <w:p w14:paraId="1BF4C18B" w14:textId="77777777" w:rsidR="002B7B6F" w:rsidRPr="002B7B6F" w:rsidRDefault="002B7B6F" w:rsidP="002B7B6F">
      <w:pPr>
        <w:numPr>
          <w:ilvl w:val="0"/>
          <w:numId w:val="21"/>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Builder's estimate (letter given to purchaser from Builder)</w:t>
      </w:r>
    </w:p>
    <w:p w14:paraId="17B1A62C" w14:textId="77777777" w:rsidR="002B7B6F" w:rsidRPr="002B7B6F" w:rsidRDefault="002B7B6F" w:rsidP="002B7B6F">
      <w:pPr>
        <w:numPr>
          <w:ilvl w:val="0"/>
          <w:numId w:val="21"/>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Average of property tax from two comparable MLS listings</w:t>
      </w:r>
    </w:p>
    <w:p w14:paraId="1540B410" w14:textId="77777777" w:rsidR="002B7B6F" w:rsidRPr="002B7B6F" w:rsidRDefault="002B7B6F" w:rsidP="002B7B6F">
      <w:pPr>
        <w:numPr>
          <w:ilvl w:val="0"/>
          <w:numId w:val="21"/>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Appraisal</w:t>
      </w:r>
    </w:p>
    <w:p w14:paraId="6E4887A0"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In absence of one of the above methods, 0.75% of the purchase price is to be used.</w:t>
      </w:r>
    </w:p>
    <w:p w14:paraId="6F87FFB5"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Down payments</w:t>
      </w:r>
    </w:p>
    <w:p w14:paraId="4F69A2E3"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xml:space="preserve">Meridian requires a full </w:t>
      </w:r>
      <w:proofErr w:type="gramStart"/>
      <w:r w:rsidRPr="002B7B6F">
        <w:rPr>
          <w:rFonts w:ascii="arial, sans-serif" w:eastAsia="Times New Roman" w:hAnsi="arial, sans-serif" w:cs="Times New Roman"/>
          <w:color w:val="51514D"/>
          <w:kern w:val="0"/>
          <w14:ligatures w14:val="none"/>
        </w:rPr>
        <w:t>90 day</w:t>
      </w:r>
      <w:proofErr w:type="gramEnd"/>
      <w:r w:rsidRPr="002B7B6F">
        <w:rPr>
          <w:rFonts w:ascii="arial, sans-serif" w:eastAsia="Times New Roman" w:hAnsi="arial, sans-serif" w:cs="Times New Roman"/>
          <w:color w:val="51514D"/>
          <w:kern w:val="0"/>
          <w14:ligatures w14:val="none"/>
        </w:rPr>
        <w:t xml:space="preserve"> audit trail for the Borrowers sources of down payment, For those gifted by a donor, we require a statement confirming the availability of the funds. The donor must be an immediate family member (defined as Mother, Father, Child, Brother, Sister, Grandparent, Legal Guardian, or Legal Dependent).</w:t>
      </w:r>
    </w:p>
    <w:p w14:paraId="229ABA1B"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In addition to down payment confirmation, 1.5% closing costs are to be confirmed for all high ratio and conventional purchases.</w:t>
      </w:r>
    </w:p>
    <w:p w14:paraId="24E256E8"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For Purchase applications, we do not allow for second mortgages to be placed behind the requested Meridian first mortgage.</w:t>
      </w:r>
    </w:p>
    <w:p w14:paraId="1A2CC57F"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Where the down payment will be coming from the sale of an existing property, Meridian requires that the existing home be sold firm with all conditions met 15 days prior to closing.  </w:t>
      </w:r>
    </w:p>
    <w:p w14:paraId="42A149FD"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Title insurance</w:t>
      </w:r>
    </w:p>
    <w:p w14:paraId="40A0593C"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First Canadian Title, Stewart Title or Title Plus is mandatory on all commitments.</w:t>
      </w:r>
    </w:p>
    <w:p w14:paraId="628C22F8"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Switches / Transfers / Assignments / Pre-approvals</w:t>
      </w:r>
    </w:p>
    <w:p w14:paraId="35266B92" w14:textId="77777777" w:rsidR="002B7B6F" w:rsidRPr="002B7B6F" w:rsidRDefault="002B7B6F" w:rsidP="002B7B6F">
      <w:pPr>
        <w:numPr>
          <w:ilvl w:val="0"/>
          <w:numId w:val="22"/>
        </w:numPr>
        <w:spacing w:beforeAutospacing="1"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lastRenderedPageBreak/>
        <w:t>Meridian will accept transfer of First Position Standard Charge (non-collateral) mortgages which meet ALL Insurable criteria. For full guidelines click on link: </w:t>
      </w:r>
      <w:hyperlink r:id="rId8" w:history="1">
        <w:r w:rsidRPr="002B7B6F">
          <w:rPr>
            <w:rFonts w:ascii="arial, sans-serif" w:eastAsia="Times New Roman" w:hAnsi="arial, sans-serif" w:cs="Times New Roman"/>
            <w:color w:val="00567D"/>
            <w:kern w:val="0"/>
            <w:u w:val="single"/>
            <w:bdr w:val="none" w:sz="0" w:space="0" w:color="auto" w:frame="1"/>
            <w14:ligatures w14:val="none"/>
          </w:rPr>
          <w:t>Mortgage Transfer Program</w:t>
        </w:r>
      </w:hyperlink>
    </w:p>
    <w:p w14:paraId="1DF993F6" w14:textId="77777777" w:rsidR="002B7B6F" w:rsidRPr="002B7B6F" w:rsidRDefault="002B7B6F" w:rsidP="002B7B6F">
      <w:pPr>
        <w:numPr>
          <w:ilvl w:val="0"/>
          <w:numId w:val="22"/>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If the mortgage does not meet all criteria they are treated as refinances with full appraisals and with the clients supplying the lawyer, at their cost.</w:t>
      </w:r>
    </w:p>
    <w:p w14:paraId="0AAE08A1" w14:textId="77777777" w:rsidR="002B7B6F" w:rsidRPr="002B7B6F" w:rsidRDefault="002B7B6F" w:rsidP="002B7B6F">
      <w:pPr>
        <w:numPr>
          <w:ilvl w:val="0"/>
          <w:numId w:val="22"/>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Meridian does not lend on purchases where the property being purchased is via an Assignment of Offer to Purchase.</w:t>
      </w:r>
    </w:p>
    <w:p w14:paraId="518DCE2C" w14:textId="77777777" w:rsidR="002B7B6F" w:rsidRPr="002B7B6F" w:rsidRDefault="002B7B6F" w:rsidP="002B7B6F">
      <w:pPr>
        <w:numPr>
          <w:ilvl w:val="0"/>
          <w:numId w:val="22"/>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Meridian does not underwrite pre-approvals at all; rate holds are for 120 days only.</w:t>
      </w:r>
    </w:p>
    <w:p w14:paraId="482B44FA"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Power of Attorney</w:t>
      </w:r>
    </w:p>
    <w:p w14:paraId="3F02003D"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POA signatures are not acceptable.</w:t>
      </w:r>
    </w:p>
    <w:p w14:paraId="4AD000B2"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Rate buy down</w:t>
      </w:r>
    </w:p>
    <w:p w14:paraId="28B79305"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Brokers have the option for rate buy down to a maximum of 15 bps rate reduction on any Term. Each 5bps buy down will cost 20bps reduction in commissions.</w:t>
      </w:r>
    </w:p>
    <w:p w14:paraId="258FDEF1" w14:textId="77777777" w:rsidR="002B7B6F" w:rsidRPr="002B7B6F" w:rsidRDefault="002B7B6F" w:rsidP="002B7B6F">
      <w:pPr>
        <w:numPr>
          <w:ilvl w:val="0"/>
          <w:numId w:val="23"/>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Interest Rate Buy downs are permitted however in all cases the borrower must qualify for the mortgage under normal Gross Debt Service (GDS) and Total Debt Service (TDS) ratio requirement at current rates for the term.</w:t>
      </w:r>
    </w:p>
    <w:p w14:paraId="1B6878E7" w14:textId="77777777" w:rsidR="002B7B6F" w:rsidRPr="002B7B6F" w:rsidRDefault="002B7B6F" w:rsidP="002B7B6F">
      <w:pPr>
        <w:numPr>
          <w:ilvl w:val="0"/>
          <w:numId w:val="23"/>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Rate buy down request must accompany the application to the underwriting unit.</w:t>
      </w:r>
    </w:p>
    <w:p w14:paraId="11F2F5FC" w14:textId="77777777" w:rsidR="002B7B6F" w:rsidRPr="002B7B6F" w:rsidRDefault="002B7B6F" w:rsidP="002B7B6F">
      <w:pPr>
        <w:numPr>
          <w:ilvl w:val="0"/>
          <w:numId w:val="23"/>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Buy down cost will be deducted from final broker commission fee.</w:t>
      </w:r>
    </w:p>
    <w:p w14:paraId="30D383A3"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Rate Holds</w:t>
      </w:r>
    </w:p>
    <w:p w14:paraId="3D6DDBCE" w14:textId="77777777" w:rsidR="002B7B6F" w:rsidRPr="002B7B6F" w:rsidRDefault="002B7B6F" w:rsidP="002B7B6F">
      <w:pPr>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bdr w:val="none" w:sz="0" w:space="0" w:color="auto" w:frame="1"/>
          <w:shd w:val="clear" w:color="auto" w:fill="FEFEFE"/>
          <w14:ligatures w14:val="none"/>
        </w:rPr>
        <w:t xml:space="preserve">Meridian’s rate commitment period is 120 days for both Purchases (re-sale &amp; </w:t>
      </w:r>
      <w:proofErr w:type="gramStart"/>
      <w:r w:rsidRPr="002B7B6F">
        <w:rPr>
          <w:rFonts w:ascii="arial, sans-serif" w:eastAsia="Times New Roman" w:hAnsi="arial, sans-serif" w:cs="Times New Roman"/>
          <w:color w:val="51514D"/>
          <w:kern w:val="0"/>
          <w:bdr w:val="none" w:sz="0" w:space="0" w:color="auto" w:frame="1"/>
          <w:shd w:val="clear" w:color="auto" w:fill="FEFEFE"/>
          <w14:ligatures w14:val="none"/>
        </w:rPr>
        <w:t>new-builds</w:t>
      </w:r>
      <w:proofErr w:type="gramEnd"/>
      <w:r w:rsidRPr="002B7B6F">
        <w:rPr>
          <w:rFonts w:ascii="arial, sans-serif" w:eastAsia="Times New Roman" w:hAnsi="arial, sans-serif" w:cs="Times New Roman"/>
          <w:color w:val="51514D"/>
          <w:kern w:val="0"/>
          <w:bdr w:val="none" w:sz="0" w:space="0" w:color="auto" w:frame="1"/>
          <w:shd w:val="clear" w:color="auto" w:fill="FEFEFE"/>
          <w14:ligatures w14:val="none"/>
        </w:rPr>
        <w:t>) and Refinances. Brokers will submit a Rate Hold for a specific mortgage product and term.</w:t>
      </w:r>
    </w:p>
    <w:p w14:paraId="3A9654A3" w14:textId="77777777" w:rsidR="002B7B6F" w:rsidRPr="002B7B6F" w:rsidRDefault="002B7B6F" w:rsidP="002B7B6F">
      <w:pPr>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bdr w:val="none" w:sz="0" w:space="0" w:color="auto" w:frame="1"/>
          <w:shd w:val="clear" w:color="auto" w:fill="FEFEFE"/>
          <w14:ligatures w14:val="none"/>
        </w:rPr>
        <w:t>Quick overview and tips for submitting a Rate Hold request:</w:t>
      </w:r>
    </w:p>
    <w:p w14:paraId="3439D326" w14:textId="77777777" w:rsidR="002B7B6F" w:rsidRPr="002B7B6F" w:rsidRDefault="002B7B6F" w:rsidP="002B7B6F">
      <w:pPr>
        <w:numPr>
          <w:ilvl w:val="0"/>
          <w:numId w:val="24"/>
        </w:numP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bdr w:val="none" w:sz="0" w:space="0" w:color="auto" w:frame="1"/>
          <w:shd w:val="clear" w:color="auto" w:fill="FEFEFE"/>
          <w14:ligatures w14:val="none"/>
        </w:rPr>
        <w:t>We do not underwrite pre-approvals or review rate hold requests for eligibility.</w:t>
      </w:r>
    </w:p>
    <w:p w14:paraId="29661BCB" w14:textId="77777777" w:rsidR="002B7B6F" w:rsidRPr="002B7B6F" w:rsidRDefault="002B7B6F" w:rsidP="002B7B6F">
      <w:pPr>
        <w:numPr>
          <w:ilvl w:val="0"/>
          <w:numId w:val="24"/>
        </w:numP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b/>
          <w:bCs/>
          <w:color w:val="51514D"/>
          <w:kern w:val="0"/>
          <w:bdr w:val="none" w:sz="0" w:space="0" w:color="auto" w:frame="1"/>
          <w:shd w:val="clear" w:color="auto" w:fill="FEFEFE"/>
          <w14:ligatures w14:val="none"/>
        </w:rPr>
        <w:t xml:space="preserve">Ensure that the Deal Purpose (Purchase/Refi/ETO/Transfer </w:t>
      </w:r>
      <w:proofErr w:type="spellStart"/>
      <w:r w:rsidRPr="002B7B6F">
        <w:rPr>
          <w:rFonts w:ascii="arial, sans-serif" w:eastAsia="Times New Roman" w:hAnsi="arial, sans-serif" w:cs="Times New Roman"/>
          <w:b/>
          <w:bCs/>
          <w:color w:val="51514D"/>
          <w:kern w:val="0"/>
          <w:bdr w:val="none" w:sz="0" w:space="0" w:color="auto" w:frame="1"/>
          <w:shd w:val="clear" w:color="auto" w:fill="FEFEFE"/>
          <w14:ligatures w14:val="none"/>
        </w:rPr>
        <w:t>etc</w:t>
      </w:r>
      <w:proofErr w:type="spellEnd"/>
      <w:r w:rsidRPr="002B7B6F">
        <w:rPr>
          <w:rFonts w:ascii="arial, sans-serif" w:eastAsia="Times New Roman" w:hAnsi="arial, sans-serif" w:cs="Times New Roman"/>
          <w:b/>
          <w:bCs/>
          <w:color w:val="51514D"/>
          <w:kern w:val="0"/>
          <w:bdr w:val="none" w:sz="0" w:space="0" w:color="auto" w:frame="1"/>
          <w:shd w:val="clear" w:color="auto" w:fill="FEFEFE"/>
          <w14:ligatures w14:val="none"/>
        </w:rPr>
        <w:t>), Amortization, Term, Mortgage Amount and approximate LTV are entered accurately</w:t>
      </w:r>
      <w:r w:rsidRPr="002B7B6F">
        <w:rPr>
          <w:rFonts w:ascii="arial, sans-serif" w:eastAsia="Times New Roman" w:hAnsi="arial, sans-serif" w:cs="Times New Roman"/>
          <w:color w:val="51514D"/>
          <w:kern w:val="0"/>
          <w:bdr w:val="none" w:sz="0" w:space="0" w:color="auto" w:frame="1"/>
          <w:shd w:val="clear" w:color="auto" w:fill="FEFEFE"/>
          <w14:ligatures w14:val="none"/>
        </w:rPr>
        <w:t>.</w:t>
      </w:r>
    </w:p>
    <w:p w14:paraId="4D44FD0F" w14:textId="77777777" w:rsidR="002B7B6F" w:rsidRPr="002B7B6F" w:rsidRDefault="002B7B6F" w:rsidP="002B7B6F">
      <w:pPr>
        <w:numPr>
          <w:ilvl w:val="0"/>
          <w:numId w:val="24"/>
        </w:numP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bdr w:val="none" w:sz="0" w:space="0" w:color="auto" w:frame="1"/>
          <w:shd w:val="clear" w:color="auto" w:fill="FEFEFE"/>
          <w14:ligatures w14:val="none"/>
        </w:rPr>
        <w:t>When submitting a rate hold request, you must select "Preapproval" for application type.  Confirm in the note section, the product, term and rate you are holding. You will receive a decline notification - this is normal.</w:t>
      </w:r>
    </w:p>
    <w:p w14:paraId="6AACF8C5" w14:textId="77777777" w:rsidR="002B7B6F" w:rsidRPr="002B7B6F" w:rsidRDefault="002B7B6F" w:rsidP="002B7B6F">
      <w:pPr>
        <w:numPr>
          <w:ilvl w:val="0"/>
          <w:numId w:val="24"/>
        </w:numP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bdr w:val="none" w:sz="0" w:space="0" w:color="auto" w:frame="1"/>
          <w:shd w:val="clear" w:color="auto" w:fill="FEFEFE"/>
          <w14:ligatures w14:val="none"/>
        </w:rPr>
        <w:t>An automated response will also be sent by email (no-reply@meridiancu.ca) confirming your rate hold. </w:t>
      </w:r>
    </w:p>
    <w:p w14:paraId="08D092FC" w14:textId="77777777" w:rsidR="002B7B6F" w:rsidRPr="002B7B6F" w:rsidRDefault="002B7B6F" w:rsidP="002B7B6F">
      <w:pPr>
        <w:numPr>
          <w:ilvl w:val="0"/>
          <w:numId w:val="24"/>
        </w:numP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bdr w:val="none" w:sz="0" w:space="0" w:color="auto" w:frame="1"/>
          <w:shd w:val="clear" w:color="auto" w:fill="FEFEFE"/>
          <w14:ligatures w14:val="none"/>
        </w:rPr>
        <w:t>No credit bureau is required to submit a rate hold.</w:t>
      </w:r>
    </w:p>
    <w:p w14:paraId="44A372DC" w14:textId="77777777" w:rsidR="002B7B6F" w:rsidRPr="002B7B6F" w:rsidRDefault="002B7B6F" w:rsidP="002B7B6F">
      <w:pPr>
        <w:numPr>
          <w:ilvl w:val="0"/>
          <w:numId w:val="24"/>
        </w:numP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bdr w:val="none" w:sz="0" w:space="0" w:color="auto" w:frame="1"/>
          <w:shd w:val="clear" w:color="auto" w:fill="FEFEFE"/>
          <w14:ligatures w14:val="none"/>
        </w:rPr>
        <w:t>No premiums are added to rates.</w:t>
      </w:r>
    </w:p>
    <w:p w14:paraId="4D7A4D4B" w14:textId="77777777" w:rsidR="002B7B6F" w:rsidRPr="002B7B6F" w:rsidRDefault="002B7B6F" w:rsidP="002B7B6F">
      <w:pPr>
        <w:numPr>
          <w:ilvl w:val="0"/>
          <w:numId w:val="24"/>
        </w:numP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bdr w:val="none" w:sz="0" w:space="0" w:color="auto" w:frame="1"/>
          <w:shd w:val="clear" w:color="auto" w:fill="FEFEFE"/>
          <w14:ligatures w14:val="none"/>
        </w:rPr>
        <w:t>When you submit the live deal, re-submit ensure you select </w:t>
      </w:r>
      <w:r w:rsidRPr="002B7B6F">
        <w:rPr>
          <w:rFonts w:ascii="arial, sans-serif" w:eastAsia="Times New Roman" w:hAnsi="arial, sans-serif" w:cs="Times New Roman"/>
          <w:b/>
          <w:bCs/>
          <w:color w:val="51514D"/>
          <w:kern w:val="0"/>
          <w:bdr w:val="none" w:sz="0" w:space="0" w:color="auto" w:frame="1"/>
          <w:shd w:val="clear" w:color="auto" w:fill="FEFEFE"/>
          <w14:ligatures w14:val="none"/>
        </w:rPr>
        <w:t>"Approval"</w:t>
      </w:r>
      <w:r w:rsidRPr="002B7B6F">
        <w:rPr>
          <w:rFonts w:ascii="arial, sans-serif" w:eastAsia="Times New Roman" w:hAnsi="arial, sans-serif" w:cs="Times New Roman"/>
          <w:color w:val="51514D"/>
          <w:kern w:val="0"/>
          <w:bdr w:val="none" w:sz="0" w:space="0" w:color="auto" w:frame="1"/>
          <w:shd w:val="clear" w:color="auto" w:fill="FEFEFE"/>
          <w14:ligatures w14:val="none"/>
        </w:rPr>
        <w:t xml:space="preserve"> as your application type and update the application information for the product </w:t>
      </w:r>
      <w:proofErr w:type="gramStart"/>
      <w:r w:rsidRPr="002B7B6F">
        <w:rPr>
          <w:rFonts w:ascii="arial, sans-serif" w:eastAsia="Times New Roman" w:hAnsi="arial, sans-serif" w:cs="Times New Roman"/>
          <w:color w:val="51514D"/>
          <w:kern w:val="0"/>
          <w:bdr w:val="none" w:sz="0" w:space="0" w:color="auto" w:frame="1"/>
          <w:shd w:val="clear" w:color="auto" w:fill="FEFEFE"/>
          <w14:ligatures w14:val="none"/>
        </w:rPr>
        <w:t>and  borrowers</w:t>
      </w:r>
      <w:proofErr w:type="gramEnd"/>
      <w:r w:rsidRPr="002B7B6F">
        <w:rPr>
          <w:rFonts w:ascii="arial, sans-serif" w:eastAsia="Times New Roman" w:hAnsi="arial, sans-serif" w:cs="Times New Roman"/>
          <w:color w:val="51514D"/>
          <w:kern w:val="0"/>
          <w:bdr w:val="none" w:sz="0" w:space="0" w:color="auto" w:frame="1"/>
          <w:shd w:val="clear" w:color="auto" w:fill="FEFEFE"/>
          <w14:ligatures w14:val="none"/>
        </w:rPr>
        <w:t>.</w:t>
      </w:r>
    </w:p>
    <w:p w14:paraId="67F41B3F" w14:textId="77777777" w:rsidR="002B7B6F" w:rsidRPr="002B7B6F" w:rsidRDefault="002B7B6F" w:rsidP="002B7B6F">
      <w:pPr>
        <w:numPr>
          <w:ilvl w:val="0"/>
          <w:numId w:val="24"/>
        </w:numP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bdr w:val="none" w:sz="0" w:space="0" w:color="auto" w:frame="1"/>
          <w:shd w:val="clear" w:color="auto" w:fill="FEFEFE"/>
          <w14:ligatures w14:val="none"/>
        </w:rPr>
        <w:lastRenderedPageBreak/>
        <w:t>Only one valid rate hold can be held, if multiple rate holds are submitted, the most recent rate hold will override any previous rate hold submissions.</w:t>
      </w:r>
    </w:p>
    <w:p w14:paraId="1AC63A66" w14:textId="77777777" w:rsidR="002B7B6F" w:rsidRPr="002B7B6F" w:rsidRDefault="002B7B6F" w:rsidP="002B7B6F">
      <w:pPr>
        <w:numPr>
          <w:ilvl w:val="0"/>
          <w:numId w:val="24"/>
        </w:numP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bdr w:val="none" w:sz="0" w:space="0" w:color="auto" w:frame="1"/>
          <w:shd w:val="clear" w:color="auto" w:fill="FEFEFE"/>
          <w14:ligatures w14:val="none"/>
        </w:rPr>
        <w:t>If any of the below criteria are not met, the application will receive prevailing rates as of the live deal submission date.</w:t>
      </w:r>
    </w:p>
    <w:p w14:paraId="41BB0DDB" w14:textId="77777777" w:rsidR="002B7B6F" w:rsidRPr="002B7B6F" w:rsidRDefault="002B7B6F" w:rsidP="002B7B6F">
      <w:pPr>
        <w:numPr>
          <w:ilvl w:val="0"/>
          <w:numId w:val="24"/>
        </w:numP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bdr w:val="none" w:sz="0" w:space="0" w:color="auto" w:frame="1"/>
          <w:shd w:val="clear" w:color="auto" w:fill="FEFEFE"/>
          <w14:ligatures w14:val="none"/>
        </w:rPr>
        <w:t xml:space="preserve">Rate holds are not available for Purchase Plus Improvements deals. For these applications, the </w:t>
      </w:r>
      <w:proofErr w:type="gramStart"/>
      <w:r w:rsidRPr="002B7B6F">
        <w:rPr>
          <w:rFonts w:ascii="arial, sans-serif" w:eastAsia="Times New Roman" w:hAnsi="arial, sans-serif" w:cs="Times New Roman"/>
          <w:color w:val="51514D"/>
          <w:kern w:val="0"/>
          <w:bdr w:val="none" w:sz="0" w:space="0" w:color="auto" w:frame="1"/>
          <w:shd w:val="clear" w:color="auto" w:fill="FEFEFE"/>
          <w14:ligatures w14:val="none"/>
        </w:rPr>
        <w:t>120 day</w:t>
      </w:r>
      <w:proofErr w:type="gramEnd"/>
      <w:r w:rsidRPr="002B7B6F">
        <w:rPr>
          <w:rFonts w:ascii="arial, sans-serif" w:eastAsia="Times New Roman" w:hAnsi="arial, sans-serif" w:cs="Times New Roman"/>
          <w:color w:val="51514D"/>
          <w:kern w:val="0"/>
          <w:bdr w:val="none" w:sz="0" w:space="0" w:color="auto" w:frame="1"/>
          <w:shd w:val="clear" w:color="auto" w:fill="FEFEFE"/>
          <w14:ligatures w14:val="none"/>
        </w:rPr>
        <w:t xml:space="preserve"> rate commitment period begins on date of live deal submission.</w:t>
      </w:r>
    </w:p>
    <w:p w14:paraId="400F6A3E" w14:textId="77777777" w:rsidR="002B7B6F" w:rsidRPr="002B7B6F" w:rsidRDefault="002B7B6F" w:rsidP="002B7B6F">
      <w:pPr>
        <w:numPr>
          <w:ilvl w:val="0"/>
          <w:numId w:val="24"/>
        </w:numP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bdr w:val="none" w:sz="0" w:space="0" w:color="auto" w:frame="1"/>
          <w:shd w:val="clear" w:color="auto" w:fill="FEFEFE"/>
          <w14:ligatures w14:val="none"/>
        </w:rPr>
        <w:t>Collapsed / declined applications for any reason other than rate hold - does not constitute a rate hold.</w:t>
      </w:r>
    </w:p>
    <w:p w14:paraId="2A6BA4A4" w14:textId="77777777" w:rsidR="002B7B6F" w:rsidRPr="002B7B6F" w:rsidRDefault="002B7B6F" w:rsidP="002B7B6F">
      <w:pPr>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bdr w:val="none" w:sz="0" w:space="0" w:color="auto" w:frame="1"/>
          <w:shd w:val="clear" w:color="auto" w:fill="FEFEFE"/>
          <w14:ligatures w14:val="none"/>
        </w:rPr>
        <w:t xml:space="preserve">Rate Holds are available for live deals which meet </w:t>
      </w:r>
      <w:proofErr w:type="gramStart"/>
      <w:r w:rsidRPr="002B7B6F">
        <w:rPr>
          <w:rFonts w:ascii="arial, sans-serif" w:eastAsia="Times New Roman" w:hAnsi="arial, sans-serif" w:cs="Times New Roman"/>
          <w:color w:val="51514D"/>
          <w:kern w:val="0"/>
          <w:bdr w:val="none" w:sz="0" w:space="0" w:color="auto" w:frame="1"/>
          <w:shd w:val="clear" w:color="auto" w:fill="FEFEFE"/>
          <w14:ligatures w14:val="none"/>
        </w:rPr>
        <w:t>all of</w:t>
      </w:r>
      <w:proofErr w:type="gramEnd"/>
      <w:r w:rsidRPr="002B7B6F">
        <w:rPr>
          <w:rFonts w:ascii="arial, sans-serif" w:eastAsia="Times New Roman" w:hAnsi="arial, sans-serif" w:cs="Times New Roman"/>
          <w:color w:val="51514D"/>
          <w:kern w:val="0"/>
          <w:bdr w:val="none" w:sz="0" w:space="0" w:color="auto" w:frame="1"/>
          <w:shd w:val="clear" w:color="auto" w:fill="FEFEFE"/>
          <w14:ligatures w14:val="none"/>
        </w:rPr>
        <w:t xml:space="preserve"> the following conditions:</w:t>
      </w:r>
    </w:p>
    <w:p w14:paraId="7E97F26E" w14:textId="77777777" w:rsidR="002B7B6F" w:rsidRPr="002B7B6F" w:rsidRDefault="002B7B6F" w:rsidP="002B7B6F">
      <w:pPr>
        <w:numPr>
          <w:ilvl w:val="0"/>
          <w:numId w:val="25"/>
        </w:numP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bdr w:val="none" w:sz="0" w:space="0" w:color="auto" w:frame="1"/>
          <w:shd w:val="clear" w:color="auto" w:fill="FEFEFE"/>
          <w14:ligatures w14:val="none"/>
        </w:rPr>
        <w:t>Mortgage must be fully approved and funded within 120 days of the Rate Hold request.</w:t>
      </w:r>
    </w:p>
    <w:p w14:paraId="263C5169" w14:textId="77777777" w:rsidR="002B7B6F" w:rsidRPr="002B7B6F" w:rsidRDefault="002B7B6F" w:rsidP="002B7B6F">
      <w:pPr>
        <w:numPr>
          <w:ilvl w:val="0"/>
          <w:numId w:val="25"/>
        </w:numP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bdr w:val="none" w:sz="0" w:space="0" w:color="auto" w:frame="1"/>
          <w:shd w:val="clear" w:color="auto" w:fill="FEFEFE"/>
          <w14:ligatures w14:val="none"/>
        </w:rPr>
        <w:t>The requested mortgage amount for your live deal must remain the same. A 10% maximum variance (higher or lower) is permitted.</w:t>
      </w:r>
    </w:p>
    <w:p w14:paraId="730BEEC0" w14:textId="77777777" w:rsidR="002B7B6F" w:rsidRPr="002B7B6F" w:rsidRDefault="002B7B6F" w:rsidP="002B7B6F">
      <w:pPr>
        <w:numPr>
          <w:ilvl w:val="0"/>
          <w:numId w:val="25"/>
        </w:numP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b/>
          <w:bCs/>
          <w:color w:val="51514D"/>
          <w:kern w:val="0"/>
          <w:bdr w:val="none" w:sz="0" w:space="0" w:color="auto" w:frame="1"/>
          <w:shd w:val="clear" w:color="auto" w:fill="FEFEFE"/>
          <w14:ligatures w14:val="none"/>
        </w:rPr>
        <w:t>The selected product and term length for your live deal must remain the same</w:t>
      </w:r>
      <w:r w:rsidRPr="002B7B6F">
        <w:rPr>
          <w:rFonts w:ascii="arial, sans-serif" w:eastAsia="Times New Roman" w:hAnsi="arial, sans-serif" w:cs="Times New Roman"/>
          <w:color w:val="51514D"/>
          <w:kern w:val="0"/>
          <w:bdr w:val="none" w:sz="0" w:space="0" w:color="auto" w:frame="1"/>
          <w:shd w:val="clear" w:color="auto" w:fill="FEFEFE"/>
          <w14:ligatures w14:val="none"/>
        </w:rPr>
        <w:t>.</w:t>
      </w:r>
    </w:p>
    <w:p w14:paraId="2BD33223" w14:textId="77777777" w:rsidR="002B7B6F" w:rsidRPr="002B7B6F" w:rsidRDefault="002B7B6F" w:rsidP="002B7B6F">
      <w:pPr>
        <w:numPr>
          <w:ilvl w:val="0"/>
          <w:numId w:val="25"/>
        </w:numP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bdr w:val="none" w:sz="0" w:space="0" w:color="auto" w:frame="1"/>
          <w:shd w:val="clear" w:color="auto" w:fill="FEFEFE"/>
          <w14:ligatures w14:val="none"/>
        </w:rPr>
        <w:t>Mortgage application must meet the applicable criteria for the rate &amp; product selected.</w:t>
      </w:r>
    </w:p>
    <w:p w14:paraId="60374241"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Prepayment privileges</w:t>
      </w:r>
    </w:p>
    <w:p w14:paraId="42F593C6"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 xml:space="preserve">Members </w:t>
      </w:r>
      <w:proofErr w:type="gramStart"/>
      <w:r w:rsidRPr="002B7B6F">
        <w:rPr>
          <w:rFonts w:ascii="arial, sans-serif" w:eastAsia="Times New Roman" w:hAnsi="arial, sans-serif" w:cs="Times New Roman"/>
          <w:color w:val="51514D"/>
          <w:kern w:val="0"/>
          <w14:ligatures w14:val="none"/>
        </w:rPr>
        <w:t>are able to</w:t>
      </w:r>
      <w:proofErr w:type="gramEnd"/>
      <w:r w:rsidRPr="002B7B6F">
        <w:rPr>
          <w:rFonts w:ascii="arial, sans-serif" w:eastAsia="Times New Roman" w:hAnsi="arial, sans-serif" w:cs="Times New Roman"/>
          <w:color w:val="51514D"/>
          <w:kern w:val="0"/>
          <w14:ligatures w14:val="none"/>
        </w:rPr>
        <w:t xml:space="preserve"> take advantage of our 20 / 20 prepayment privilege which allows them to increase the regular payment by up to 20% per year or to make lump sum payments (min $100) on their payment date to a max of 20% per year. The aggregate of the 2 prepayment options cannot exceed 20% per calendar year.</w:t>
      </w:r>
    </w:p>
    <w:p w14:paraId="6232FCCD" w14:textId="77777777" w:rsidR="002B7B6F" w:rsidRPr="002B7B6F" w:rsidRDefault="002B7B6F" w:rsidP="002B7B6F">
      <w:pPr>
        <w:spacing w:beforeAutospacing="1"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i/>
          <w:iCs/>
          <w:color w:val="51514D"/>
          <w:kern w:val="0"/>
          <w:bdr w:val="none" w:sz="0" w:space="0" w:color="auto" w:frame="1"/>
          <w14:ligatures w14:val="none"/>
        </w:rPr>
        <w:t>The penalty calculation is based on the Floor/Posted rate for the existing mortgage and the Posted rate at the time of the payout for the years left to maturity</w:t>
      </w:r>
    </w:p>
    <w:p w14:paraId="59193790"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Variable Rate Mortgages (VRM)</w:t>
      </w:r>
    </w:p>
    <w:p w14:paraId="37756927"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Features of the Variable Rate Mortgage (VRM)</w:t>
      </w:r>
    </w:p>
    <w:p w14:paraId="2E4FCED7" w14:textId="77777777" w:rsidR="002B7B6F" w:rsidRPr="002B7B6F" w:rsidRDefault="002B7B6F" w:rsidP="002B7B6F">
      <w:pPr>
        <w:numPr>
          <w:ilvl w:val="0"/>
          <w:numId w:val="26"/>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Refinance with Meridian Credit Union by a blend and extend (blending of decrement)</w:t>
      </w:r>
    </w:p>
    <w:p w14:paraId="46BEE77F" w14:textId="77777777" w:rsidR="002B7B6F" w:rsidRPr="002B7B6F" w:rsidRDefault="002B7B6F" w:rsidP="002B7B6F">
      <w:pPr>
        <w:numPr>
          <w:ilvl w:val="0"/>
          <w:numId w:val="26"/>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Port the mortgage to another property.</w:t>
      </w:r>
    </w:p>
    <w:p w14:paraId="24C3C15D" w14:textId="77777777" w:rsidR="002B7B6F" w:rsidRPr="002B7B6F" w:rsidRDefault="002B7B6F" w:rsidP="002B7B6F">
      <w:pPr>
        <w:numPr>
          <w:ilvl w:val="0"/>
          <w:numId w:val="26"/>
        </w:numPr>
        <w:spacing w:beforeAutospacing="1"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i/>
          <w:iCs/>
          <w:color w:val="51514D"/>
          <w:kern w:val="0"/>
          <w:bdr w:val="none" w:sz="0" w:space="0" w:color="auto" w:frame="1"/>
          <w14:ligatures w14:val="none"/>
        </w:rPr>
        <w:t>VRM Mortgages are eligible for payout prior to maturity with a 3 months’ interest prepayment charge.</w:t>
      </w:r>
    </w:p>
    <w:p w14:paraId="04DDD88B"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Documentation requirements</w:t>
      </w:r>
    </w:p>
    <w:p w14:paraId="4DC8F21C"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Application documents are to be uploaded to the Document Portal.</w:t>
      </w:r>
    </w:p>
    <w:p w14:paraId="30FCFD0E" w14:textId="77777777" w:rsidR="002B7B6F" w:rsidRPr="002B7B6F" w:rsidRDefault="002B7B6F" w:rsidP="002B7B6F">
      <w:pPr>
        <w:spacing w:beforeAutospacing="1"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Meridian requires the following documents </w:t>
      </w:r>
      <w:r w:rsidRPr="002B7B6F">
        <w:rPr>
          <w:rFonts w:ascii="arial, sans-serif" w:eastAsia="Times New Roman" w:hAnsi="arial, sans-serif" w:cs="Times New Roman"/>
          <w:b/>
          <w:bCs/>
          <w:color w:val="51514D"/>
          <w:kern w:val="0"/>
          <w:bdr w:val="none" w:sz="0" w:space="0" w:color="auto" w:frame="1"/>
          <w14:ligatures w14:val="none"/>
        </w:rPr>
        <w:t>up front</w:t>
      </w:r>
      <w:r w:rsidRPr="002B7B6F">
        <w:rPr>
          <w:rFonts w:ascii="arial, sans-serif" w:eastAsia="Times New Roman" w:hAnsi="arial, sans-serif" w:cs="Times New Roman"/>
          <w:i/>
          <w:iCs/>
          <w:color w:val="51514D"/>
          <w:kern w:val="0"/>
          <w:bdr w:val="none" w:sz="0" w:space="0" w:color="auto" w:frame="1"/>
          <w14:ligatures w14:val="none"/>
        </w:rPr>
        <w:t> </w:t>
      </w:r>
      <w:r w:rsidRPr="002B7B6F">
        <w:rPr>
          <w:rFonts w:ascii="arial, sans-serif" w:eastAsia="Times New Roman" w:hAnsi="arial, sans-serif" w:cs="Times New Roman"/>
          <w:color w:val="51514D"/>
          <w:kern w:val="0"/>
          <w14:ligatures w14:val="none"/>
        </w:rPr>
        <w:t>for all applications:</w:t>
      </w:r>
    </w:p>
    <w:p w14:paraId="7484D69A" w14:textId="77777777" w:rsidR="002B7B6F" w:rsidRPr="002B7B6F" w:rsidRDefault="002B7B6F" w:rsidP="002B7B6F">
      <w:pPr>
        <w:numPr>
          <w:ilvl w:val="0"/>
          <w:numId w:val="27"/>
        </w:numPr>
        <w:spacing w:beforeAutospacing="1"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lastRenderedPageBreak/>
        <w:t>Income documents as set out in the</w:t>
      </w:r>
      <w:r w:rsidRPr="002B7B6F">
        <w:rPr>
          <w:rFonts w:ascii="arial, sans-serif" w:eastAsia="Times New Roman" w:hAnsi="arial, sans-serif" w:cs="Times New Roman"/>
          <w:color w:val="E2F4FB"/>
          <w:kern w:val="0"/>
          <w:bdr w:val="none" w:sz="0" w:space="0" w:color="auto" w:frame="1"/>
          <w14:ligatures w14:val="none"/>
        </w:rPr>
        <w:t> </w:t>
      </w:r>
      <w:hyperlink r:id="rId9" w:history="1">
        <w:r w:rsidRPr="002B7B6F">
          <w:rPr>
            <w:rFonts w:ascii="arial, sans-serif" w:eastAsia="Times New Roman" w:hAnsi="arial, sans-serif" w:cs="Times New Roman"/>
            <w:color w:val="00567D"/>
            <w:kern w:val="0"/>
            <w:u w:val="single"/>
            <w:bdr w:val="none" w:sz="0" w:space="0" w:color="auto" w:frame="1"/>
            <w14:ligatures w14:val="none"/>
          </w:rPr>
          <w:t>Income Confirmation</w:t>
        </w:r>
      </w:hyperlink>
      <w:r w:rsidRPr="002B7B6F">
        <w:rPr>
          <w:rFonts w:ascii="arial, sans-serif" w:eastAsia="Times New Roman" w:hAnsi="arial, sans-serif" w:cs="Times New Roman"/>
          <w:color w:val="00567D"/>
          <w:kern w:val="0"/>
          <w:bdr w:val="none" w:sz="0" w:space="0" w:color="auto" w:frame="1"/>
          <w14:ligatures w14:val="none"/>
        </w:rPr>
        <w:t> </w:t>
      </w:r>
      <w:r w:rsidRPr="002B7B6F">
        <w:rPr>
          <w:rFonts w:ascii="arial, sans-serif" w:eastAsia="Times New Roman" w:hAnsi="arial, sans-serif" w:cs="Times New Roman"/>
          <w:color w:val="51514D"/>
          <w:kern w:val="0"/>
          <w14:ligatures w14:val="none"/>
        </w:rPr>
        <w:t>page</w:t>
      </w:r>
    </w:p>
    <w:p w14:paraId="2729CDF4" w14:textId="77777777" w:rsidR="002B7B6F" w:rsidRPr="002B7B6F" w:rsidRDefault="002B7B6F" w:rsidP="002B7B6F">
      <w:pPr>
        <w:numPr>
          <w:ilvl w:val="0"/>
          <w:numId w:val="27"/>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Purchase Agreement &amp; MLS (where applicable for Purchases)</w:t>
      </w:r>
    </w:p>
    <w:p w14:paraId="09CED4CC" w14:textId="77777777" w:rsidR="002B7B6F" w:rsidRPr="002B7B6F" w:rsidRDefault="002B7B6F" w:rsidP="002B7B6F">
      <w:pPr>
        <w:numPr>
          <w:ilvl w:val="0"/>
          <w:numId w:val="27"/>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Down Payment confirmation (for Purchases)</w:t>
      </w:r>
    </w:p>
    <w:p w14:paraId="5EC650B4" w14:textId="77777777" w:rsidR="002B7B6F" w:rsidRPr="002B7B6F" w:rsidRDefault="002B7B6F" w:rsidP="002B7B6F">
      <w:pPr>
        <w:numPr>
          <w:ilvl w:val="0"/>
          <w:numId w:val="27"/>
        </w:numPr>
        <w:spacing w:before="100" w:beforeAutospacing="1" w:after="100" w:afterAutospacing="1"/>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Separation Agreement (where applicable for existing and new to separate)</w:t>
      </w:r>
    </w:p>
    <w:p w14:paraId="7912E4E0"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Consent Forms</w:t>
      </w:r>
    </w:p>
    <w:p w14:paraId="64E35D42"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Meridian does not provide Consent Forms for brokers to obtain information on behalf of Members.</w:t>
      </w:r>
    </w:p>
    <w:p w14:paraId="017D9ECC" w14:textId="77777777" w:rsidR="002B7B6F" w:rsidRPr="002B7B6F" w:rsidRDefault="002B7B6F" w:rsidP="002B7B6F">
      <w:pPr>
        <w:spacing w:before="100" w:beforeAutospacing="1" w:after="100"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Meridian requires signed Consent from all applicants prior to underwriting</w:t>
      </w:r>
    </w:p>
    <w:p w14:paraId="4B41A837" w14:textId="77777777" w:rsidR="002B7B6F" w:rsidRPr="002B7B6F" w:rsidRDefault="002B7B6F" w:rsidP="002B7B6F">
      <w:pPr>
        <w:spacing w:before="100" w:beforeAutospacing="1" w:after="100" w:afterAutospacing="1"/>
        <w:jc w:val="center"/>
        <w:textAlignment w:val="baseline"/>
        <w:outlineLvl w:val="1"/>
        <w:rPr>
          <w:rFonts w:ascii="arial, sans-serif" w:eastAsia="Times New Roman" w:hAnsi="arial, sans-serif" w:cs="Times New Roman"/>
          <w:b/>
          <w:bCs/>
          <w:color w:val="00567D"/>
          <w:kern w:val="0"/>
          <w:sz w:val="36"/>
          <w:szCs w:val="36"/>
          <w14:ligatures w14:val="none"/>
        </w:rPr>
      </w:pPr>
      <w:r w:rsidRPr="002B7B6F">
        <w:rPr>
          <w:rFonts w:ascii="arial, sans-serif" w:eastAsia="Times New Roman" w:hAnsi="arial, sans-serif" w:cs="Times New Roman"/>
          <w:b/>
          <w:bCs/>
          <w:color w:val="00567D"/>
          <w:kern w:val="0"/>
          <w:sz w:val="36"/>
          <w:szCs w:val="36"/>
          <w14:ligatures w14:val="none"/>
        </w:rPr>
        <w:t xml:space="preserve">Portability / </w:t>
      </w:r>
      <w:proofErr w:type="spellStart"/>
      <w:r w:rsidRPr="002B7B6F">
        <w:rPr>
          <w:rFonts w:ascii="arial, sans-serif" w:eastAsia="Times New Roman" w:hAnsi="arial, sans-serif" w:cs="Times New Roman"/>
          <w:b/>
          <w:bCs/>
          <w:color w:val="00567D"/>
          <w:kern w:val="0"/>
          <w:sz w:val="36"/>
          <w:szCs w:val="36"/>
          <w14:ligatures w14:val="none"/>
        </w:rPr>
        <w:t>Assumability</w:t>
      </w:r>
      <w:proofErr w:type="spellEnd"/>
    </w:p>
    <w:p w14:paraId="30DF10FC" w14:textId="77777777" w:rsidR="002B7B6F" w:rsidRPr="002B7B6F" w:rsidRDefault="002B7B6F" w:rsidP="002B7B6F">
      <w:pPr>
        <w:spacing w:beforeAutospacing="1" w:afterAutospacing="1"/>
        <w:jc w:val="center"/>
        <w:textAlignment w:val="baseline"/>
        <w:rPr>
          <w:rFonts w:ascii="arial, sans-serif" w:eastAsia="Times New Roman" w:hAnsi="arial, sans-serif" w:cs="Times New Roman"/>
          <w:color w:val="51514D"/>
          <w:kern w:val="0"/>
          <w14:ligatures w14:val="none"/>
        </w:rPr>
      </w:pPr>
      <w:r w:rsidRPr="002B7B6F">
        <w:rPr>
          <w:rFonts w:ascii="arial, sans-serif" w:eastAsia="Times New Roman" w:hAnsi="arial, sans-serif" w:cs="Times New Roman"/>
          <w:color w:val="51514D"/>
          <w:kern w:val="0"/>
          <w14:ligatures w14:val="none"/>
        </w:rPr>
        <w:t>Meridian’s mortgages are portable to another residential property in Ontario</w:t>
      </w:r>
      <w:r w:rsidRPr="002B7B6F">
        <w:rPr>
          <w:rFonts w:ascii="arial, sans-serif" w:eastAsia="Times New Roman" w:hAnsi="arial, sans-serif" w:cs="Times New Roman"/>
          <w:color w:val="51514D"/>
          <w:kern w:val="0"/>
          <w14:ligatures w14:val="none"/>
        </w:rPr>
        <w:br/>
        <w:t>Meridian’s mortgages are assumable </w:t>
      </w:r>
      <w:r w:rsidRPr="002B7B6F">
        <w:rPr>
          <w:rFonts w:ascii="arial, sans-serif" w:eastAsia="Times New Roman" w:hAnsi="arial, sans-serif" w:cs="Times New Roman"/>
          <w:color w:val="51514D"/>
          <w:kern w:val="0"/>
          <w:u w:val="single"/>
          <w:bdr w:val="none" w:sz="0" w:space="0" w:color="auto" w:frame="1"/>
          <w14:ligatures w14:val="none"/>
        </w:rPr>
        <w:t>with qualification</w:t>
      </w:r>
    </w:p>
    <w:p w14:paraId="2044E3C6" w14:textId="77777777" w:rsidR="00F67C8A" w:rsidRDefault="00F67C8A"/>
    <w:sectPr w:rsidR="00F67C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sans-serif">
    <w:altName w:val="Arial"/>
    <w:panose1 w:val="020B0604020202020204"/>
    <w:charset w:val="00"/>
    <w:family w:val="roman"/>
    <w:notTrueType/>
    <w:pitch w:val="default"/>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3891"/>
    <w:multiLevelType w:val="multilevel"/>
    <w:tmpl w:val="8BBC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93C42"/>
    <w:multiLevelType w:val="multilevel"/>
    <w:tmpl w:val="DFDA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90172C"/>
    <w:multiLevelType w:val="multilevel"/>
    <w:tmpl w:val="44D4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C1168"/>
    <w:multiLevelType w:val="multilevel"/>
    <w:tmpl w:val="0EDA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621DC"/>
    <w:multiLevelType w:val="multilevel"/>
    <w:tmpl w:val="3A36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DB3233"/>
    <w:multiLevelType w:val="multilevel"/>
    <w:tmpl w:val="25F0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CB4B44"/>
    <w:multiLevelType w:val="multilevel"/>
    <w:tmpl w:val="4310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5E6ED1"/>
    <w:multiLevelType w:val="multilevel"/>
    <w:tmpl w:val="1684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9F42A4"/>
    <w:multiLevelType w:val="multilevel"/>
    <w:tmpl w:val="B072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3C3AE6"/>
    <w:multiLevelType w:val="multilevel"/>
    <w:tmpl w:val="921E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D65266"/>
    <w:multiLevelType w:val="multilevel"/>
    <w:tmpl w:val="D062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8B6E32"/>
    <w:multiLevelType w:val="multilevel"/>
    <w:tmpl w:val="A268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D3002F"/>
    <w:multiLevelType w:val="multilevel"/>
    <w:tmpl w:val="70A6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524E9B"/>
    <w:multiLevelType w:val="multilevel"/>
    <w:tmpl w:val="9682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103371"/>
    <w:multiLevelType w:val="multilevel"/>
    <w:tmpl w:val="4EFA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9A44EE"/>
    <w:multiLevelType w:val="multilevel"/>
    <w:tmpl w:val="47E2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F71CFB"/>
    <w:multiLevelType w:val="multilevel"/>
    <w:tmpl w:val="DA6CE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BB4C26"/>
    <w:multiLevelType w:val="multilevel"/>
    <w:tmpl w:val="3446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B34BCE"/>
    <w:multiLevelType w:val="multilevel"/>
    <w:tmpl w:val="AEB2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840139"/>
    <w:multiLevelType w:val="multilevel"/>
    <w:tmpl w:val="1F44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382A15"/>
    <w:multiLevelType w:val="multilevel"/>
    <w:tmpl w:val="2BFE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1727A0"/>
    <w:multiLevelType w:val="multilevel"/>
    <w:tmpl w:val="BA22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B42944"/>
    <w:multiLevelType w:val="multilevel"/>
    <w:tmpl w:val="908C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FC557F"/>
    <w:multiLevelType w:val="multilevel"/>
    <w:tmpl w:val="6BC4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B72472"/>
    <w:multiLevelType w:val="multilevel"/>
    <w:tmpl w:val="BC90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5200BA"/>
    <w:multiLevelType w:val="multilevel"/>
    <w:tmpl w:val="3CA8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363A20"/>
    <w:multiLevelType w:val="multilevel"/>
    <w:tmpl w:val="2CFE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9024930">
    <w:abstractNumId w:val="24"/>
  </w:num>
  <w:num w:numId="2" w16cid:durableId="1732726499">
    <w:abstractNumId w:val="4"/>
  </w:num>
  <w:num w:numId="3" w16cid:durableId="1389381554">
    <w:abstractNumId w:val="7"/>
  </w:num>
  <w:num w:numId="4" w16cid:durableId="2088184591">
    <w:abstractNumId w:val="19"/>
  </w:num>
  <w:num w:numId="5" w16cid:durableId="1817063681">
    <w:abstractNumId w:val="6"/>
  </w:num>
  <w:num w:numId="6" w16cid:durableId="1999847972">
    <w:abstractNumId w:val="23"/>
  </w:num>
  <w:num w:numId="7" w16cid:durableId="44377475">
    <w:abstractNumId w:val="9"/>
  </w:num>
  <w:num w:numId="8" w16cid:durableId="406734380">
    <w:abstractNumId w:val="3"/>
  </w:num>
  <w:num w:numId="9" w16cid:durableId="438641891">
    <w:abstractNumId w:val="11"/>
  </w:num>
  <w:num w:numId="10" w16cid:durableId="1046681721">
    <w:abstractNumId w:val="0"/>
  </w:num>
  <w:num w:numId="11" w16cid:durableId="1935551947">
    <w:abstractNumId w:val="12"/>
  </w:num>
  <w:num w:numId="12" w16cid:durableId="1714771399">
    <w:abstractNumId w:val="26"/>
  </w:num>
  <w:num w:numId="13" w16cid:durableId="1162740350">
    <w:abstractNumId w:val="17"/>
  </w:num>
  <w:num w:numId="14" w16cid:durableId="1212233931">
    <w:abstractNumId w:val="16"/>
  </w:num>
  <w:num w:numId="15" w16cid:durableId="835152341">
    <w:abstractNumId w:val="18"/>
  </w:num>
  <w:num w:numId="16" w16cid:durableId="1532110415">
    <w:abstractNumId w:val="15"/>
  </w:num>
  <w:num w:numId="17" w16cid:durableId="595208421">
    <w:abstractNumId w:val="13"/>
  </w:num>
  <w:num w:numId="18" w16cid:durableId="491414094">
    <w:abstractNumId w:val="5"/>
  </w:num>
  <w:num w:numId="19" w16cid:durableId="693464112">
    <w:abstractNumId w:val="2"/>
  </w:num>
  <w:num w:numId="20" w16cid:durableId="606740028">
    <w:abstractNumId w:val="8"/>
  </w:num>
  <w:num w:numId="21" w16cid:durableId="1598904933">
    <w:abstractNumId w:val="20"/>
  </w:num>
  <w:num w:numId="22" w16cid:durableId="444272062">
    <w:abstractNumId w:val="22"/>
  </w:num>
  <w:num w:numId="23" w16cid:durableId="606470936">
    <w:abstractNumId w:val="21"/>
  </w:num>
  <w:num w:numId="24" w16cid:durableId="1712221009">
    <w:abstractNumId w:val="10"/>
  </w:num>
  <w:num w:numId="25" w16cid:durableId="1976064708">
    <w:abstractNumId w:val="14"/>
  </w:num>
  <w:num w:numId="26" w16cid:durableId="782262684">
    <w:abstractNumId w:val="25"/>
  </w:num>
  <w:num w:numId="27" w16cid:durableId="1617710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B6F"/>
    <w:rsid w:val="00053FB9"/>
    <w:rsid w:val="002B7B6F"/>
    <w:rsid w:val="003F0610"/>
    <w:rsid w:val="004E474F"/>
    <w:rsid w:val="00544B6E"/>
    <w:rsid w:val="00F67C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13CA7CA"/>
  <w15:chartTrackingRefBased/>
  <w15:docId w15:val="{14D3FECF-F624-2C4F-AF5C-7FCA5F1F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7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B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B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B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B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B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7B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B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B6F"/>
    <w:rPr>
      <w:rFonts w:eastAsiaTheme="majorEastAsia" w:cstheme="majorBidi"/>
      <w:color w:val="272727" w:themeColor="text1" w:themeTint="D8"/>
    </w:rPr>
  </w:style>
  <w:style w:type="paragraph" w:styleId="Title">
    <w:name w:val="Title"/>
    <w:basedOn w:val="Normal"/>
    <w:next w:val="Normal"/>
    <w:link w:val="TitleChar"/>
    <w:uiPriority w:val="10"/>
    <w:qFormat/>
    <w:rsid w:val="002B7B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B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B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7B6F"/>
    <w:rPr>
      <w:i/>
      <w:iCs/>
      <w:color w:val="404040" w:themeColor="text1" w:themeTint="BF"/>
    </w:rPr>
  </w:style>
  <w:style w:type="paragraph" w:styleId="ListParagraph">
    <w:name w:val="List Paragraph"/>
    <w:basedOn w:val="Normal"/>
    <w:uiPriority w:val="34"/>
    <w:qFormat/>
    <w:rsid w:val="002B7B6F"/>
    <w:pPr>
      <w:ind w:left="720"/>
      <w:contextualSpacing/>
    </w:pPr>
  </w:style>
  <w:style w:type="character" w:styleId="IntenseEmphasis">
    <w:name w:val="Intense Emphasis"/>
    <w:basedOn w:val="DefaultParagraphFont"/>
    <w:uiPriority w:val="21"/>
    <w:qFormat/>
    <w:rsid w:val="002B7B6F"/>
    <w:rPr>
      <w:i/>
      <w:iCs/>
      <w:color w:val="0F4761" w:themeColor="accent1" w:themeShade="BF"/>
    </w:rPr>
  </w:style>
  <w:style w:type="paragraph" w:styleId="IntenseQuote">
    <w:name w:val="Intense Quote"/>
    <w:basedOn w:val="Normal"/>
    <w:next w:val="Normal"/>
    <w:link w:val="IntenseQuoteChar"/>
    <w:uiPriority w:val="30"/>
    <w:qFormat/>
    <w:rsid w:val="002B7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B6F"/>
    <w:rPr>
      <w:i/>
      <w:iCs/>
      <w:color w:val="0F4761" w:themeColor="accent1" w:themeShade="BF"/>
    </w:rPr>
  </w:style>
  <w:style w:type="character" w:styleId="IntenseReference">
    <w:name w:val="Intense Reference"/>
    <w:basedOn w:val="DefaultParagraphFont"/>
    <w:uiPriority w:val="32"/>
    <w:qFormat/>
    <w:rsid w:val="002B7B6F"/>
    <w:rPr>
      <w:b/>
      <w:bCs/>
      <w:smallCaps/>
      <w:color w:val="0F4761" w:themeColor="accent1" w:themeShade="BF"/>
      <w:spacing w:val="5"/>
    </w:rPr>
  </w:style>
  <w:style w:type="paragraph" w:styleId="NormalWeb">
    <w:name w:val="Normal (Web)"/>
    <w:basedOn w:val="Normal"/>
    <w:uiPriority w:val="99"/>
    <w:semiHidden/>
    <w:unhideWhenUsed/>
    <w:rsid w:val="002B7B6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7B6F"/>
    <w:rPr>
      <w:b/>
      <w:bCs/>
    </w:rPr>
  </w:style>
  <w:style w:type="character" w:styleId="Hyperlink">
    <w:name w:val="Hyperlink"/>
    <w:basedOn w:val="DefaultParagraphFont"/>
    <w:uiPriority w:val="99"/>
    <w:semiHidden/>
    <w:unhideWhenUsed/>
    <w:rsid w:val="002B7B6F"/>
    <w:rPr>
      <w:color w:val="0000FF"/>
      <w:u w:val="single"/>
    </w:rPr>
  </w:style>
  <w:style w:type="character" w:styleId="Emphasis">
    <w:name w:val="Emphasis"/>
    <w:basedOn w:val="DefaultParagraphFont"/>
    <w:uiPriority w:val="20"/>
    <w:qFormat/>
    <w:rsid w:val="002B7B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392206">
      <w:bodyDiv w:val="1"/>
      <w:marLeft w:val="0"/>
      <w:marRight w:val="0"/>
      <w:marTop w:val="0"/>
      <w:marBottom w:val="0"/>
      <w:divBdr>
        <w:top w:val="none" w:sz="0" w:space="0" w:color="auto"/>
        <w:left w:val="none" w:sz="0" w:space="0" w:color="auto"/>
        <w:bottom w:val="none" w:sz="0" w:space="0" w:color="auto"/>
        <w:right w:val="none" w:sz="0" w:space="0" w:color="auto"/>
      </w:divBdr>
      <w:divsChild>
        <w:div w:id="727804732">
          <w:marLeft w:val="0"/>
          <w:marRight w:val="0"/>
          <w:marTop w:val="0"/>
          <w:marBottom w:val="0"/>
          <w:divBdr>
            <w:top w:val="none" w:sz="0" w:space="0" w:color="auto"/>
            <w:left w:val="none" w:sz="0" w:space="0" w:color="auto"/>
            <w:bottom w:val="none" w:sz="0" w:space="0" w:color="auto"/>
            <w:right w:val="none" w:sz="0" w:space="0" w:color="auto"/>
          </w:divBdr>
          <w:divsChild>
            <w:div w:id="1854492822">
              <w:marLeft w:val="0"/>
              <w:marRight w:val="0"/>
              <w:marTop w:val="0"/>
              <w:marBottom w:val="0"/>
              <w:divBdr>
                <w:top w:val="none" w:sz="0" w:space="0" w:color="auto"/>
                <w:left w:val="none" w:sz="0" w:space="0" w:color="auto"/>
                <w:bottom w:val="none" w:sz="0" w:space="0" w:color="auto"/>
                <w:right w:val="none" w:sz="0" w:space="0" w:color="auto"/>
              </w:divBdr>
              <w:divsChild>
                <w:div w:id="11619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8027">
          <w:marLeft w:val="0"/>
          <w:marRight w:val="0"/>
          <w:marTop w:val="0"/>
          <w:marBottom w:val="0"/>
          <w:divBdr>
            <w:top w:val="none" w:sz="0" w:space="0" w:color="auto"/>
            <w:left w:val="none" w:sz="0" w:space="0" w:color="auto"/>
            <w:bottom w:val="none" w:sz="0" w:space="0" w:color="auto"/>
            <w:right w:val="none" w:sz="0" w:space="0" w:color="auto"/>
          </w:divBdr>
          <w:divsChild>
            <w:div w:id="386300108">
              <w:marLeft w:val="0"/>
              <w:marRight w:val="0"/>
              <w:marTop w:val="0"/>
              <w:marBottom w:val="0"/>
              <w:divBdr>
                <w:top w:val="none" w:sz="0" w:space="0" w:color="auto"/>
                <w:left w:val="none" w:sz="0" w:space="0" w:color="auto"/>
                <w:bottom w:val="none" w:sz="0" w:space="0" w:color="auto"/>
                <w:right w:val="none" w:sz="0" w:space="0" w:color="auto"/>
              </w:divBdr>
              <w:divsChild>
                <w:div w:id="2999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5599">
          <w:marLeft w:val="0"/>
          <w:marRight w:val="0"/>
          <w:marTop w:val="0"/>
          <w:marBottom w:val="0"/>
          <w:divBdr>
            <w:top w:val="none" w:sz="0" w:space="0" w:color="auto"/>
            <w:left w:val="none" w:sz="0" w:space="0" w:color="auto"/>
            <w:bottom w:val="none" w:sz="0" w:space="0" w:color="auto"/>
            <w:right w:val="none" w:sz="0" w:space="0" w:color="auto"/>
          </w:divBdr>
          <w:divsChild>
            <w:div w:id="1603802358">
              <w:marLeft w:val="0"/>
              <w:marRight w:val="0"/>
              <w:marTop w:val="0"/>
              <w:marBottom w:val="0"/>
              <w:divBdr>
                <w:top w:val="none" w:sz="0" w:space="0" w:color="auto"/>
                <w:left w:val="none" w:sz="0" w:space="0" w:color="auto"/>
                <w:bottom w:val="none" w:sz="0" w:space="0" w:color="auto"/>
                <w:right w:val="none" w:sz="0" w:space="0" w:color="auto"/>
              </w:divBdr>
              <w:divsChild>
                <w:div w:id="5912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3313">
          <w:marLeft w:val="0"/>
          <w:marRight w:val="0"/>
          <w:marTop w:val="0"/>
          <w:marBottom w:val="0"/>
          <w:divBdr>
            <w:top w:val="none" w:sz="0" w:space="0" w:color="auto"/>
            <w:left w:val="none" w:sz="0" w:space="0" w:color="auto"/>
            <w:bottom w:val="none" w:sz="0" w:space="0" w:color="auto"/>
            <w:right w:val="none" w:sz="0" w:space="0" w:color="auto"/>
          </w:divBdr>
          <w:divsChild>
            <w:div w:id="1130635266">
              <w:marLeft w:val="0"/>
              <w:marRight w:val="0"/>
              <w:marTop w:val="0"/>
              <w:marBottom w:val="0"/>
              <w:divBdr>
                <w:top w:val="none" w:sz="0" w:space="0" w:color="auto"/>
                <w:left w:val="none" w:sz="0" w:space="0" w:color="auto"/>
                <w:bottom w:val="none" w:sz="0" w:space="0" w:color="auto"/>
                <w:right w:val="none" w:sz="0" w:space="0" w:color="auto"/>
              </w:divBdr>
              <w:divsChild>
                <w:div w:id="6953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785">
          <w:marLeft w:val="0"/>
          <w:marRight w:val="0"/>
          <w:marTop w:val="0"/>
          <w:marBottom w:val="0"/>
          <w:divBdr>
            <w:top w:val="none" w:sz="0" w:space="0" w:color="auto"/>
            <w:left w:val="none" w:sz="0" w:space="0" w:color="auto"/>
            <w:bottom w:val="none" w:sz="0" w:space="0" w:color="auto"/>
            <w:right w:val="none" w:sz="0" w:space="0" w:color="auto"/>
          </w:divBdr>
          <w:divsChild>
            <w:div w:id="537010664">
              <w:marLeft w:val="0"/>
              <w:marRight w:val="0"/>
              <w:marTop w:val="0"/>
              <w:marBottom w:val="0"/>
              <w:divBdr>
                <w:top w:val="none" w:sz="0" w:space="0" w:color="auto"/>
                <w:left w:val="none" w:sz="0" w:space="0" w:color="auto"/>
                <w:bottom w:val="none" w:sz="0" w:space="0" w:color="auto"/>
                <w:right w:val="none" w:sz="0" w:space="0" w:color="auto"/>
              </w:divBdr>
              <w:divsChild>
                <w:div w:id="4427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3731">
          <w:marLeft w:val="0"/>
          <w:marRight w:val="0"/>
          <w:marTop w:val="0"/>
          <w:marBottom w:val="0"/>
          <w:divBdr>
            <w:top w:val="none" w:sz="0" w:space="0" w:color="auto"/>
            <w:left w:val="none" w:sz="0" w:space="0" w:color="auto"/>
            <w:bottom w:val="none" w:sz="0" w:space="0" w:color="auto"/>
            <w:right w:val="none" w:sz="0" w:space="0" w:color="auto"/>
          </w:divBdr>
          <w:divsChild>
            <w:div w:id="1222525049">
              <w:marLeft w:val="0"/>
              <w:marRight w:val="0"/>
              <w:marTop w:val="0"/>
              <w:marBottom w:val="0"/>
              <w:divBdr>
                <w:top w:val="none" w:sz="0" w:space="0" w:color="auto"/>
                <w:left w:val="none" w:sz="0" w:space="0" w:color="auto"/>
                <w:bottom w:val="none" w:sz="0" w:space="0" w:color="auto"/>
                <w:right w:val="none" w:sz="0" w:space="0" w:color="auto"/>
              </w:divBdr>
              <w:divsChild>
                <w:div w:id="12720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9365">
          <w:marLeft w:val="0"/>
          <w:marRight w:val="0"/>
          <w:marTop w:val="0"/>
          <w:marBottom w:val="0"/>
          <w:divBdr>
            <w:top w:val="none" w:sz="0" w:space="0" w:color="auto"/>
            <w:left w:val="none" w:sz="0" w:space="0" w:color="auto"/>
            <w:bottom w:val="none" w:sz="0" w:space="0" w:color="auto"/>
            <w:right w:val="none" w:sz="0" w:space="0" w:color="auto"/>
          </w:divBdr>
          <w:divsChild>
            <w:div w:id="411395608">
              <w:marLeft w:val="0"/>
              <w:marRight w:val="0"/>
              <w:marTop w:val="0"/>
              <w:marBottom w:val="0"/>
              <w:divBdr>
                <w:top w:val="none" w:sz="0" w:space="0" w:color="auto"/>
                <w:left w:val="none" w:sz="0" w:space="0" w:color="auto"/>
                <w:bottom w:val="none" w:sz="0" w:space="0" w:color="auto"/>
                <w:right w:val="none" w:sz="0" w:space="0" w:color="auto"/>
              </w:divBdr>
              <w:divsChild>
                <w:div w:id="12247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5712">
          <w:marLeft w:val="0"/>
          <w:marRight w:val="0"/>
          <w:marTop w:val="0"/>
          <w:marBottom w:val="0"/>
          <w:divBdr>
            <w:top w:val="none" w:sz="0" w:space="0" w:color="auto"/>
            <w:left w:val="none" w:sz="0" w:space="0" w:color="auto"/>
            <w:bottom w:val="none" w:sz="0" w:space="0" w:color="auto"/>
            <w:right w:val="none" w:sz="0" w:space="0" w:color="auto"/>
          </w:divBdr>
          <w:divsChild>
            <w:div w:id="898595896">
              <w:marLeft w:val="0"/>
              <w:marRight w:val="0"/>
              <w:marTop w:val="0"/>
              <w:marBottom w:val="0"/>
              <w:divBdr>
                <w:top w:val="none" w:sz="0" w:space="0" w:color="auto"/>
                <w:left w:val="none" w:sz="0" w:space="0" w:color="auto"/>
                <w:bottom w:val="none" w:sz="0" w:space="0" w:color="auto"/>
                <w:right w:val="none" w:sz="0" w:space="0" w:color="auto"/>
              </w:divBdr>
              <w:divsChild>
                <w:div w:id="4366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11910">
          <w:marLeft w:val="0"/>
          <w:marRight w:val="0"/>
          <w:marTop w:val="0"/>
          <w:marBottom w:val="0"/>
          <w:divBdr>
            <w:top w:val="none" w:sz="0" w:space="0" w:color="auto"/>
            <w:left w:val="none" w:sz="0" w:space="0" w:color="auto"/>
            <w:bottom w:val="none" w:sz="0" w:space="0" w:color="auto"/>
            <w:right w:val="none" w:sz="0" w:space="0" w:color="auto"/>
          </w:divBdr>
          <w:divsChild>
            <w:div w:id="685398700">
              <w:marLeft w:val="0"/>
              <w:marRight w:val="0"/>
              <w:marTop w:val="0"/>
              <w:marBottom w:val="0"/>
              <w:divBdr>
                <w:top w:val="none" w:sz="0" w:space="0" w:color="auto"/>
                <w:left w:val="none" w:sz="0" w:space="0" w:color="auto"/>
                <w:bottom w:val="none" w:sz="0" w:space="0" w:color="auto"/>
                <w:right w:val="none" w:sz="0" w:space="0" w:color="auto"/>
              </w:divBdr>
              <w:divsChild>
                <w:div w:id="16499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1368">
          <w:marLeft w:val="0"/>
          <w:marRight w:val="0"/>
          <w:marTop w:val="0"/>
          <w:marBottom w:val="0"/>
          <w:divBdr>
            <w:top w:val="none" w:sz="0" w:space="0" w:color="auto"/>
            <w:left w:val="none" w:sz="0" w:space="0" w:color="auto"/>
            <w:bottom w:val="none" w:sz="0" w:space="0" w:color="auto"/>
            <w:right w:val="none" w:sz="0" w:space="0" w:color="auto"/>
          </w:divBdr>
          <w:divsChild>
            <w:div w:id="13845466">
              <w:marLeft w:val="0"/>
              <w:marRight w:val="0"/>
              <w:marTop w:val="0"/>
              <w:marBottom w:val="0"/>
              <w:divBdr>
                <w:top w:val="none" w:sz="0" w:space="0" w:color="auto"/>
                <w:left w:val="none" w:sz="0" w:space="0" w:color="auto"/>
                <w:bottom w:val="none" w:sz="0" w:space="0" w:color="auto"/>
                <w:right w:val="none" w:sz="0" w:space="0" w:color="auto"/>
              </w:divBdr>
              <w:divsChild>
                <w:div w:id="5690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8103">
          <w:marLeft w:val="0"/>
          <w:marRight w:val="0"/>
          <w:marTop w:val="0"/>
          <w:marBottom w:val="0"/>
          <w:divBdr>
            <w:top w:val="none" w:sz="0" w:space="0" w:color="auto"/>
            <w:left w:val="none" w:sz="0" w:space="0" w:color="auto"/>
            <w:bottom w:val="none" w:sz="0" w:space="0" w:color="auto"/>
            <w:right w:val="none" w:sz="0" w:space="0" w:color="auto"/>
          </w:divBdr>
          <w:divsChild>
            <w:div w:id="338243617">
              <w:marLeft w:val="0"/>
              <w:marRight w:val="0"/>
              <w:marTop w:val="0"/>
              <w:marBottom w:val="0"/>
              <w:divBdr>
                <w:top w:val="none" w:sz="0" w:space="0" w:color="auto"/>
                <w:left w:val="none" w:sz="0" w:space="0" w:color="auto"/>
                <w:bottom w:val="none" w:sz="0" w:space="0" w:color="auto"/>
                <w:right w:val="none" w:sz="0" w:space="0" w:color="auto"/>
              </w:divBdr>
              <w:divsChild>
                <w:div w:id="13233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0019">
          <w:marLeft w:val="0"/>
          <w:marRight w:val="0"/>
          <w:marTop w:val="0"/>
          <w:marBottom w:val="0"/>
          <w:divBdr>
            <w:top w:val="none" w:sz="0" w:space="0" w:color="auto"/>
            <w:left w:val="none" w:sz="0" w:space="0" w:color="auto"/>
            <w:bottom w:val="none" w:sz="0" w:space="0" w:color="auto"/>
            <w:right w:val="none" w:sz="0" w:space="0" w:color="auto"/>
          </w:divBdr>
          <w:divsChild>
            <w:div w:id="84345069">
              <w:marLeft w:val="0"/>
              <w:marRight w:val="0"/>
              <w:marTop w:val="0"/>
              <w:marBottom w:val="0"/>
              <w:divBdr>
                <w:top w:val="none" w:sz="0" w:space="0" w:color="auto"/>
                <w:left w:val="none" w:sz="0" w:space="0" w:color="auto"/>
                <w:bottom w:val="none" w:sz="0" w:space="0" w:color="auto"/>
                <w:right w:val="none" w:sz="0" w:space="0" w:color="auto"/>
              </w:divBdr>
              <w:divsChild>
                <w:div w:id="653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9360">
          <w:marLeft w:val="0"/>
          <w:marRight w:val="0"/>
          <w:marTop w:val="0"/>
          <w:marBottom w:val="0"/>
          <w:divBdr>
            <w:top w:val="none" w:sz="0" w:space="0" w:color="auto"/>
            <w:left w:val="none" w:sz="0" w:space="0" w:color="auto"/>
            <w:bottom w:val="none" w:sz="0" w:space="0" w:color="auto"/>
            <w:right w:val="none" w:sz="0" w:space="0" w:color="auto"/>
          </w:divBdr>
          <w:divsChild>
            <w:div w:id="1739669755">
              <w:marLeft w:val="0"/>
              <w:marRight w:val="0"/>
              <w:marTop w:val="0"/>
              <w:marBottom w:val="0"/>
              <w:divBdr>
                <w:top w:val="none" w:sz="0" w:space="0" w:color="auto"/>
                <w:left w:val="none" w:sz="0" w:space="0" w:color="auto"/>
                <w:bottom w:val="none" w:sz="0" w:space="0" w:color="auto"/>
                <w:right w:val="none" w:sz="0" w:space="0" w:color="auto"/>
              </w:divBdr>
              <w:divsChild>
                <w:div w:id="10154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7786">
          <w:marLeft w:val="0"/>
          <w:marRight w:val="0"/>
          <w:marTop w:val="0"/>
          <w:marBottom w:val="0"/>
          <w:divBdr>
            <w:top w:val="none" w:sz="0" w:space="0" w:color="auto"/>
            <w:left w:val="none" w:sz="0" w:space="0" w:color="auto"/>
            <w:bottom w:val="none" w:sz="0" w:space="0" w:color="auto"/>
            <w:right w:val="none" w:sz="0" w:space="0" w:color="auto"/>
          </w:divBdr>
          <w:divsChild>
            <w:div w:id="1124615012">
              <w:marLeft w:val="0"/>
              <w:marRight w:val="0"/>
              <w:marTop w:val="0"/>
              <w:marBottom w:val="0"/>
              <w:divBdr>
                <w:top w:val="none" w:sz="0" w:space="0" w:color="auto"/>
                <w:left w:val="none" w:sz="0" w:space="0" w:color="auto"/>
                <w:bottom w:val="none" w:sz="0" w:space="0" w:color="auto"/>
                <w:right w:val="none" w:sz="0" w:space="0" w:color="auto"/>
              </w:divBdr>
              <w:divsChild>
                <w:div w:id="2835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6743">
          <w:marLeft w:val="0"/>
          <w:marRight w:val="0"/>
          <w:marTop w:val="0"/>
          <w:marBottom w:val="0"/>
          <w:divBdr>
            <w:top w:val="none" w:sz="0" w:space="0" w:color="auto"/>
            <w:left w:val="none" w:sz="0" w:space="0" w:color="auto"/>
            <w:bottom w:val="none" w:sz="0" w:space="0" w:color="auto"/>
            <w:right w:val="none" w:sz="0" w:space="0" w:color="auto"/>
          </w:divBdr>
          <w:divsChild>
            <w:div w:id="443961925">
              <w:marLeft w:val="0"/>
              <w:marRight w:val="0"/>
              <w:marTop w:val="0"/>
              <w:marBottom w:val="0"/>
              <w:divBdr>
                <w:top w:val="none" w:sz="0" w:space="0" w:color="auto"/>
                <w:left w:val="none" w:sz="0" w:space="0" w:color="auto"/>
                <w:bottom w:val="none" w:sz="0" w:space="0" w:color="auto"/>
                <w:right w:val="none" w:sz="0" w:space="0" w:color="auto"/>
              </w:divBdr>
              <w:divsChild>
                <w:div w:id="13395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8062">
          <w:marLeft w:val="0"/>
          <w:marRight w:val="0"/>
          <w:marTop w:val="0"/>
          <w:marBottom w:val="0"/>
          <w:divBdr>
            <w:top w:val="none" w:sz="0" w:space="0" w:color="auto"/>
            <w:left w:val="none" w:sz="0" w:space="0" w:color="auto"/>
            <w:bottom w:val="none" w:sz="0" w:space="0" w:color="auto"/>
            <w:right w:val="none" w:sz="0" w:space="0" w:color="auto"/>
          </w:divBdr>
          <w:divsChild>
            <w:div w:id="258098835">
              <w:marLeft w:val="0"/>
              <w:marRight w:val="0"/>
              <w:marTop w:val="0"/>
              <w:marBottom w:val="0"/>
              <w:divBdr>
                <w:top w:val="none" w:sz="0" w:space="0" w:color="auto"/>
                <w:left w:val="none" w:sz="0" w:space="0" w:color="auto"/>
                <w:bottom w:val="none" w:sz="0" w:space="0" w:color="auto"/>
                <w:right w:val="none" w:sz="0" w:space="0" w:color="auto"/>
              </w:divBdr>
              <w:divsChild>
                <w:div w:id="3278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89674">
          <w:marLeft w:val="0"/>
          <w:marRight w:val="0"/>
          <w:marTop w:val="0"/>
          <w:marBottom w:val="0"/>
          <w:divBdr>
            <w:top w:val="none" w:sz="0" w:space="0" w:color="auto"/>
            <w:left w:val="none" w:sz="0" w:space="0" w:color="auto"/>
            <w:bottom w:val="none" w:sz="0" w:space="0" w:color="auto"/>
            <w:right w:val="none" w:sz="0" w:space="0" w:color="auto"/>
          </w:divBdr>
          <w:divsChild>
            <w:div w:id="654264456">
              <w:marLeft w:val="0"/>
              <w:marRight w:val="0"/>
              <w:marTop w:val="0"/>
              <w:marBottom w:val="0"/>
              <w:divBdr>
                <w:top w:val="none" w:sz="0" w:space="0" w:color="auto"/>
                <w:left w:val="none" w:sz="0" w:space="0" w:color="auto"/>
                <w:bottom w:val="none" w:sz="0" w:space="0" w:color="auto"/>
                <w:right w:val="none" w:sz="0" w:space="0" w:color="auto"/>
              </w:divBdr>
              <w:divsChild>
                <w:div w:id="9683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9694">
          <w:marLeft w:val="0"/>
          <w:marRight w:val="0"/>
          <w:marTop w:val="0"/>
          <w:marBottom w:val="0"/>
          <w:divBdr>
            <w:top w:val="none" w:sz="0" w:space="0" w:color="auto"/>
            <w:left w:val="none" w:sz="0" w:space="0" w:color="auto"/>
            <w:bottom w:val="none" w:sz="0" w:space="0" w:color="auto"/>
            <w:right w:val="none" w:sz="0" w:space="0" w:color="auto"/>
          </w:divBdr>
          <w:divsChild>
            <w:div w:id="995230244">
              <w:marLeft w:val="0"/>
              <w:marRight w:val="0"/>
              <w:marTop w:val="0"/>
              <w:marBottom w:val="0"/>
              <w:divBdr>
                <w:top w:val="none" w:sz="0" w:space="0" w:color="auto"/>
                <w:left w:val="none" w:sz="0" w:space="0" w:color="auto"/>
                <w:bottom w:val="none" w:sz="0" w:space="0" w:color="auto"/>
                <w:right w:val="none" w:sz="0" w:space="0" w:color="auto"/>
              </w:divBdr>
              <w:divsChild>
                <w:div w:id="1111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661">
          <w:marLeft w:val="0"/>
          <w:marRight w:val="0"/>
          <w:marTop w:val="0"/>
          <w:marBottom w:val="0"/>
          <w:divBdr>
            <w:top w:val="none" w:sz="0" w:space="0" w:color="auto"/>
            <w:left w:val="none" w:sz="0" w:space="0" w:color="auto"/>
            <w:bottom w:val="none" w:sz="0" w:space="0" w:color="auto"/>
            <w:right w:val="none" w:sz="0" w:space="0" w:color="auto"/>
          </w:divBdr>
          <w:divsChild>
            <w:div w:id="757874236">
              <w:marLeft w:val="0"/>
              <w:marRight w:val="0"/>
              <w:marTop w:val="0"/>
              <w:marBottom w:val="0"/>
              <w:divBdr>
                <w:top w:val="none" w:sz="0" w:space="0" w:color="auto"/>
                <w:left w:val="none" w:sz="0" w:space="0" w:color="auto"/>
                <w:bottom w:val="none" w:sz="0" w:space="0" w:color="auto"/>
                <w:right w:val="none" w:sz="0" w:space="0" w:color="auto"/>
              </w:divBdr>
              <w:divsChild>
                <w:div w:id="17434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7796">
          <w:marLeft w:val="0"/>
          <w:marRight w:val="0"/>
          <w:marTop w:val="0"/>
          <w:marBottom w:val="0"/>
          <w:divBdr>
            <w:top w:val="none" w:sz="0" w:space="0" w:color="auto"/>
            <w:left w:val="none" w:sz="0" w:space="0" w:color="auto"/>
            <w:bottom w:val="none" w:sz="0" w:space="0" w:color="auto"/>
            <w:right w:val="none" w:sz="0" w:space="0" w:color="auto"/>
          </w:divBdr>
          <w:divsChild>
            <w:div w:id="259530370">
              <w:marLeft w:val="0"/>
              <w:marRight w:val="0"/>
              <w:marTop w:val="0"/>
              <w:marBottom w:val="0"/>
              <w:divBdr>
                <w:top w:val="none" w:sz="0" w:space="0" w:color="auto"/>
                <w:left w:val="none" w:sz="0" w:space="0" w:color="auto"/>
                <w:bottom w:val="none" w:sz="0" w:space="0" w:color="auto"/>
                <w:right w:val="none" w:sz="0" w:space="0" w:color="auto"/>
              </w:divBdr>
              <w:divsChild>
                <w:div w:id="20541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89770">
          <w:marLeft w:val="0"/>
          <w:marRight w:val="0"/>
          <w:marTop w:val="0"/>
          <w:marBottom w:val="0"/>
          <w:divBdr>
            <w:top w:val="none" w:sz="0" w:space="0" w:color="auto"/>
            <w:left w:val="none" w:sz="0" w:space="0" w:color="auto"/>
            <w:bottom w:val="none" w:sz="0" w:space="0" w:color="auto"/>
            <w:right w:val="none" w:sz="0" w:space="0" w:color="auto"/>
          </w:divBdr>
          <w:divsChild>
            <w:div w:id="384766221">
              <w:marLeft w:val="0"/>
              <w:marRight w:val="0"/>
              <w:marTop w:val="0"/>
              <w:marBottom w:val="0"/>
              <w:divBdr>
                <w:top w:val="none" w:sz="0" w:space="0" w:color="auto"/>
                <w:left w:val="none" w:sz="0" w:space="0" w:color="auto"/>
                <w:bottom w:val="none" w:sz="0" w:space="0" w:color="auto"/>
                <w:right w:val="none" w:sz="0" w:space="0" w:color="auto"/>
              </w:divBdr>
              <w:divsChild>
                <w:div w:id="15975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0012">
          <w:marLeft w:val="0"/>
          <w:marRight w:val="0"/>
          <w:marTop w:val="0"/>
          <w:marBottom w:val="0"/>
          <w:divBdr>
            <w:top w:val="none" w:sz="0" w:space="0" w:color="auto"/>
            <w:left w:val="none" w:sz="0" w:space="0" w:color="auto"/>
            <w:bottom w:val="none" w:sz="0" w:space="0" w:color="auto"/>
            <w:right w:val="none" w:sz="0" w:space="0" w:color="auto"/>
          </w:divBdr>
          <w:divsChild>
            <w:div w:id="86507768">
              <w:marLeft w:val="0"/>
              <w:marRight w:val="0"/>
              <w:marTop w:val="0"/>
              <w:marBottom w:val="0"/>
              <w:divBdr>
                <w:top w:val="none" w:sz="0" w:space="0" w:color="auto"/>
                <w:left w:val="none" w:sz="0" w:space="0" w:color="auto"/>
                <w:bottom w:val="none" w:sz="0" w:space="0" w:color="auto"/>
                <w:right w:val="none" w:sz="0" w:space="0" w:color="auto"/>
              </w:divBdr>
              <w:divsChild>
                <w:div w:id="17094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3529">
          <w:marLeft w:val="0"/>
          <w:marRight w:val="0"/>
          <w:marTop w:val="0"/>
          <w:marBottom w:val="0"/>
          <w:divBdr>
            <w:top w:val="none" w:sz="0" w:space="0" w:color="auto"/>
            <w:left w:val="none" w:sz="0" w:space="0" w:color="auto"/>
            <w:bottom w:val="none" w:sz="0" w:space="0" w:color="auto"/>
            <w:right w:val="none" w:sz="0" w:space="0" w:color="auto"/>
          </w:divBdr>
          <w:divsChild>
            <w:div w:id="707797972">
              <w:marLeft w:val="0"/>
              <w:marRight w:val="0"/>
              <w:marTop w:val="0"/>
              <w:marBottom w:val="0"/>
              <w:divBdr>
                <w:top w:val="none" w:sz="0" w:space="0" w:color="auto"/>
                <w:left w:val="none" w:sz="0" w:space="0" w:color="auto"/>
                <w:bottom w:val="none" w:sz="0" w:space="0" w:color="auto"/>
                <w:right w:val="none" w:sz="0" w:space="0" w:color="auto"/>
              </w:divBdr>
              <w:divsChild>
                <w:div w:id="384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690">
          <w:marLeft w:val="0"/>
          <w:marRight w:val="0"/>
          <w:marTop w:val="0"/>
          <w:marBottom w:val="0"/>
          <w:divBdr>
            <w:top w:val="none" w:sz="0" w:space="0" w:color="auto"/>
            <w:left w:val="none" w:sz="0" w:space="0" w:color="auto"/>
            <w:bottom w:val="none" w:sz="0" w:space="0" w:color="auto"/>
            <w:right w:val="none" w:sz="0" w:space="0" w:color="auto"/>
          </w:divBdr>
          <w:divsChild>
            <w:div w:id="1057431956">
              <w:marLeft w:val="0"/>
              <w:marRight w:val="0"/>
              <w:marTop w:val="0"/>
              <w:marBottom w:val="0"/>
              <w:divBdr>
                <w:top w:val="none" w:sz="0" w:space="0" w:color="auto"/>
                <w:left w:val="none" w:sz="0" w:space="0" w:color="auto"/>
                <w:bottom w:val="none" w:sz="0" w:space="0" w:color="auto"/>
                <w:right w:val="none" w:sz="0" w:space="0" w:color="auto"/>
              </w:divBdr>
              <w:divsChild>
                <w:div w:id="16435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311">
          <w:marLeft w:val="0"/>
          <w:marRight w:val="0"/>
          <w:marTop w:val="0"/>
          <w:marBottom w:val="0"/>
          <w:divBdr>
            <w:top w:val="none" w:sz="0" w:space="0" w:color="auto"/>
            <w:left w:val="none" w:sz="0" w:space="0" w:color="auto"/>
            <w:bottom w:val="none" w:sz="0" w:space="0" w:color="auto"/>
            <w:right w:val="none" w:sz="0" w:space="0" w:color="auto"/>
          </w:divBdr>
          <w:divsChild>
            <w:div w:id="1684936898">
              <w:marLeft w:val="0"/>
              <w:marRight w:val="0"/>
              <w:marTop w:val="0"/>
              <w:marBottom w:val="0"/>
              <w:divBdr>
                <w:top w:val="none" w:sz="0" w:space="0" w:color="auto"/>
                <w:left w:val="none" w:sz="0" w:space="0" w:color="auto"/>
                <w:bottom w:val="none" w:sz="0" w:space="0" w:color="auto"/>
                <w:right w:val="none" w:sz="0" w:space="0" w:color="auto"/>
              </w:divBdr>
              <w:divsChild>
                <w:div w:id="16798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4102">
          <w:marLeft w:val="0"/>
          <w:marRight w:val="0"/>
          <w:marTop w:val="0"/>
          <w:marBottom w:val="0"/>
          <w:divBdr>
            <w:top w:val="none" w:sz="0" w:space="0" w:color="auto"/>
            <w:left w:val="none" w:sz="0" w:space="0" w:color="auto"/>
            <w:bottom w:val="none" w:sz="0" w:space="0" w:color="auto"/>
            <w:right w:val="none" w:sz="0" w:space="0" w:color="auto"/>
          </w:divBdr>
          <w:divsChild>
            <w:div w:id="528639950">
              <w:marLeft w:val="0"/>
              <w:marRight w:val="0"/>
              <w:marTop w:val="0"/>
              <w:marBottom w:val="0"/>
              <w:divBdr>
                <w:top w:val="none" w:sz="0" w:space="0" w:color="auto"/>
                <w:left w:val="none" w:sz="0" w:space="0" w:color="auto"/>
                <w:bottom w:val="none" w:sz="0" w:space="0" w:color="auto"/>
                <w:right w:val="none" w:sz="0" w:space="0" w:color="auto"/>
              </w:divBdr>
              <w:divsChild>
                <w:div w:id="15597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9979">
          <w:marLeft w:val="0"/>
          <w:marRight w:val="0"/>
          <w:marTop w:val="0"/>
          <w:marBottom w:val="0"/>
          <w:divBdr>
            <w:top w:val="none" w:sz="0" w:space="0" w:color="auto"/>
            <w:left w:val="none" w:sz="0" w:space="0" w:color="auto"/>
            <w:bottom w:val="none" w:sz="0" w:space="0" w:color="auto"/>
            <w:right w:val="none" w:sz="0" w:space="0" w:color="auto"/>
          </w:divBdr>
          <w:divsChild>
            <w:div w:id="838081544">
              <w:marLeft w:val="0"/>
              <w:marRight w:val="0"/>
              <w:marTop w:val="0"/>
              <w:marBottom w:val="0"/>
              <w:divBdr>
                <w:top w:val="none" w:sz="0" w:space="0" w:color="auto"/>
                <w:left w:val="none" w:sz="0" w:space="0" w:color="auto"/>
                <w:bottom w:val="none" w:sz="0" w:space="0" w:color="auto"/>
                <w:right w:val="none" w:sz="0" w:space="0" w:color="auto"/>
              </w:divBdr>
              <w:divsChild>
                <w:div w:id="16881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oker.meridiancu.ca/Broker/media/MCU-Mortgage-Broker/pdfs/Mortgage-Transfer-Program.pdf" TargetMode="External"/><Relationship Id="rId3" Type="http://schemas.openxmlformats.org/officeDocument/2006/relationships/settings" Target="settings.xml"/><Relationship Id="rId7" Type="http://schemas.openxmlformats.org/officeDocument/2006/relationships/hyperlink" Target="mailto:businessreferrals@meridiancu.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okerSupport@MeridianCU.ca" TargetMode="External"/><Relationship Id="rId11" Type="http://schemas.openxmlformats.org/officeDocument/2006/relationships/theme" Target="theme/theme1.xml"/><Relationship Id="rId5" Type="http://schemas.openxmlformats.org/officeDocument/2006/relationships/hyperlink" Target="https://tools.canlearn.ca/cslgs-scpse/cln-cln/crp-lrc/af.nlindex-eng.d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roker.meridiancu.ca/cmsctx/pm/5174d718-1c5f-4ff5-bbbe-1a8dad8d1af6/culture/en-US/wg/5ec7e313-3969-4fa1-9b97-a05d27e22634/readonly/0/ea/1/h/d8ef49f769466d7de303b6870657401152f66226effb0163be8c91efeb5772eb/-/mortgage/broker-services/broker-income?uh=f12fb0c4e93764f1abdc37238318d192df29623485a9da6d3be9367cf5867e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2736</Words>
  <Characters>15600</Characters>
  <Application>Microsoft Office Word</Application>
  <DocSecurity>0</DocSecurity>
  <Lines>130</Lines>
  <Paragraphs>36</Paragraphs>
  <ScaleCrop>false</ScaleCrop>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Del Grande</dc:creator>
  <cp:keywords/>
  <dc:description/>
  <cp:lastModifiedBy>Geoff Del Grande</cp:lastModifiedBy>
  <cp:revision>2</cp:revision>
  <dcterms:created xsi:type="dcterms:W3CDTF">2025-02-11T15:53:00Z</dcterms:created>
  <dcterms:modified xsi:type="dcterms:W3CDTF">2025-02-11T15:53:00Z</dcterms:modified>
</cp:coreProperties>
</file>