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C12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99" w:lineRule="atLeast"/>
        <w:ind w:left="0" w:right="0" w:firstLine="0"/>
        <w:rPr>
          <w:rFonts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142DA8"/>
          <w:spacing w:val="0"/>
          <w:sz w:val="16"/>
          <w:szCs w:val="16"/>
          <w:shd w:val="clear" w:fill="FFFFFF"/>
          <w:lang w:val="en-US" w:eastAsia="zh-CN"/>
        </w:rPr>
        <w:t>三、</w:t>
      </w:r>
      <w:r>
        <w:rPr>
          <w:rStyle w:val="5"/>
          <w:rFonts w:hint="eastAsia" w:ascii="微软雅黑" w:hAnsi="微软雅黑" w:eastAsia="微软雅黑" w:cs="微软雅黑"/>
          <w:i w:val="0"/>
          <w:iCs w:val="0"/>
          <w:caps w:val="0"/>
          <w:color w:val="142DA8"/>
          <w:spacing w:val="0"/>
          <w:sz w:val="16"/>
          <w:szCs w:val="16"/>
          <w:shd w:val="clear" w:fill="FFFFFF"/>
        </w:rPr>
        <w:t>赛题背景</w:t>
      </w:r>
    </w:p>
    <w:p w14:paraId="7A4427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1.半导体设备调度</w:t>
      </w:r>
    </w:p>
    <w:p w14:paraId="441990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半导体设备作为半导体芯片加工厂的微小单元，承担了芯片制造过程中的多个重要环节。半导体设备产能的高低直接影响芯片加工厂的效益，而高效稳定的调度系统是保证最优产能的前提。由于设备内的加工存在诸多步骤和约束，从而导致了设备调度系统的设计十分复杂，与此同时，由于设备内对晶圆的调度要求实时进行，因此对系统的计算速度有着较高要求。</w:t>
      </w:r>
    </w:p>
    <w:p w14:paraId="3FDB12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2.Just in Time</w:t>
      </w:r>
    </w:p>
    <w:p w14:paraId="64D7A3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"Just In Time"（JIT）是一种革命性的生产管理理念，最初由丰田汽车公司在20世纪50年代提出并实践，旨在通过精确匹配生产与客户需求，实现零库存和消除浪费，从而提高生产效率和降低成本。JIT的核心是拉动式生产，即根据实际需求启动生产流程，而非基于预测或批量生产。这种方法显著减少了库存积压、等待时间和过度生产等问题，使得资源得到最优化利用。JIT不仅对丰田自身的生产效率产生了巨大影响，也对全球制造业产生了深远的影响，成为精益生产和供应链管理的重要基石。</w:t>
      </w:r>
    </w:p>
    <w:p w14:paraId="3EBA34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99" w:lineRule="atLeast"/>
        <w:ind w:left="0" w:right="0" w:firstLine="0"/>
        <w:rPr>
          <w:rFonts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142DA8"/>
          <w:spacing w:val="0"/>
          <w:sz w:val="16"/>
          <w:szCs w:val="16"/>
          <w:shd w:val="clear" w:fill="FFFFFF"/>
        </w:rPr>
        <w:t>四、赛题描述</w:t>
      </w:r>
    </w:p>
    <w:p w14:paraId="2A5130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1.半导体设备说明</w:t>
      </w:r>
    </w:p>
    <w:p w14:paraId="02B24B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半导体设备结构如图1所示，各模块详细含义如下所示：</w:t>
      </w:r>
    </w:p>
    <w:p w14:paraId="279B91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（1）LP1、LP2、LP3（Load Port，LP）：装卸位，每个LP可以放置一个晶圆盒。一个晶圆盒有25个槽位，每个槽位可以存储一片晶圆。</w:t>
      </w:r>
    </w:p>
    <w:p w14:paraId="24242A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（2）TM1（Transfer Module，TM）：单臂机械手，可以抓取一片晶圆，TM1负责在LP1、LP2、LP3、AL、LLA、LLB间搬运晶圆。TM1取晶圆与放晶圆的时间均为4s，TM1在不同模块间的移动时间为1s。TM1的初始位置详见附表1。</w:t>
      </w:r>
    </w:p>
    <w:p w14:paraId="7398FD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（3）AL（Aligner，AL）：校准模块，有一个槽位，可放置一片晶圆做校准操作。</w:t>
      </w:r>
    </w:p>
    <w:p w14:paraId="51DB48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（4）LLA、LLB（Load Lock，LL）：真空锁，每个LL有两个槽位（S1与S2），每个槽位可以放置一片晶圆。LLA与LLB可在大气状态与真空状态间转换，当LLA或LLB状态</w:t>
      </w:r>
      <w:r>
        <w:rPr>
          <w:rFonts w:hint="eastAsia" w:ascii="微软雅黑" w:hAnsi="微软雅黑" w:eastAsia="微软雅黑" w:cs="微软雅黑"/>
          <w:i w:val="0"/>
          <w:iCs w:val="0"/>
          <w:caps w:val="0"/>
          <w:color w:val="FF0000"/>
          <w:spacing w:val="0"/>
          <w:sz w:val="14"/>
          <w:szCs w:val="14"/>
          <w:shd w:val="clear" w:fill="FFFFFF"/>
        </w:rPr>
        <w:t>转换为大气状态，位于TM1侧的晶圆才能送入LL</w:t>
      </w:r>
      <w:r>
        <w:rPr>
          <w:rFonts w:hint="eastAsia" w:ascii="微软雅黑" w:hAnsi="微软雅黑" w:eastAsia="微软雅黑" w:cs="微软雅黑"/>
          <w:i w:val="0"/>
          <w:iCs w:val="0"/>
          <w:caps w:val="0"/>
          <w:color w:val="666666"/>
          <w:spacing w:val="0"/>
          <w:sz w:val="14"/>
          <w:szCs w:val="14"/>
          <w:shd w:val="clear" w:fill="FFFFFF"/>
        </w:rPr>
        <w:t>，</w:t>
      </w:r>
      <w:r>
        <w:rPr>
          <w:rFonts w:hint="eastAsia" w:ascii="微软雅黑" w:hAnsi="微软雅黑" w:eastAsia="微软雅黑" w:cs="微软雅黑"/>
          <w:i w:val="0"/>
          <w:iCs w:val="0"/>
          <w:caps w:val="0"/>
          <w:color w:val="FF0000"/>
          <w:spacing w:val="0"/>
          <w:sz w:val="14"/>
          <w:szCs w:val="14"/>
          <w:shd w:val="clear" w:fill="FFFFFF"/>
        </w:rPr>
        <w:t>当LLA或LLB状态转换为真空状态，位于TM2侧的晶圆才能送入LL</w:t>
      </w:r>
      <w:r>
        <w:rPr>
          <w:rFonts w:hint="eastAsia" w:ascii="微软雅黑" w:hAnsi="微软雅黑" w:eastAsia="微软雅黑" w:cs="微软雅黑"/>
          <w:i w:val="0"/>
          <w:iCs w:val="0"/>
          <w:caps w:val="0"/>
          <w:color w:val="666666"/>
          <w:spacing w:val="0"/>
          <w:sz w:val="14"/>
          <w:szCs w:val="14"/>
          <w:shd w:val="clear" w:fill="FFFFFF"/>
        </w:rPr>
        <w:t>。LLA与LLB从大气转换为真空状态需要15s，从真空转换为大气状态需要20s，LL一旦开始状态转换必须转换为对应状态。LLA与LLB初始状态见附表1。</w:t>
      </w:r>
    </w:p>
    <w:p w14:paraId="6FDD8E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（5）LLC、LLD（Load Lock，LL）：LLC与LLD有一个槽位，可以放置一片晶圆，LLC与LLD不存在状态转换。</w:t>
      </w:r>
    </w:p>
    <w:p w14:paraId="128A2D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（6）TM2和TM3（Transfer Module，TM）：双臂机械手，两个手臂（R1与R2）方向呈180°且固定不变，每个手臂可以抓取一片晶圆，两手臂不能同时做取放晶圆的操作。TM2负责在LLA、LLB、LLC、LLD、PM7~10间搬运晶圆，LLA、LLB、LLC、LLD、PM7~10组成一个正八边形，TM2在相邻两个模块间移动的时间相同，TM2从某一模块出发</w:t>
      </w:r>
      <w:r>
        <w:rPr>
          <w:rFonts w:hint="eastAsia" w:ascii="微软雅黑" w:hAnsi="微软雅黑" w:eastAsia="微软雅黑" w:cs="微软雅黑"/>
          <w:i w:val="0"/>
          <w:iCs w:val="0"/>
          <w:caps w:val="0"/>
          <w:color w:val="0000FF"/>
          <w:spacing w:val="0"/>
          <w:sz w:val="14"/>
          <w:szCs w:val="14"/>
          <w:shd w:val="clear" w:fill="FFFFFF"/>
        </w:rPr>
        <w:t>绕行一周的时间</w:t>
      </w:r>
      <w:r>
        <w:rPr>
          <w:rFonts w:hint="eastAsia" w:ascii="微软雅黑" w:hAnsi="微软雅黑" w:eastAsia="微软雅黑" w:cs="微软雅黑"/>
          <w:i w:val="0"/>
          <w:iCs w:val="0"/>
          <w:caps w:val="0"/>
          <w:color w:val="666666"/>
          <w:spacing w:val="0"/>
          <w:sz w:val="14"/>
          <w:szCs w:val="14"/>
          <w:shd w:val="clear" w:fill="FFFFFF"/>
        </w:rPr>
        <w:t>为4s。TM3负责在LLC、LLD、PM1~6间搬运晶圆，LLC、LLD、PM1~6组成一个正八边形，TM3在相邻两个模块间移动的时间相同，TM3从某一模块出发绕行一周的时间为4s。TM2和TM3取晶圆与放晶圆的时间均为4s。此外，TM2和TM3的一个手臂指向某个模块时，另一个手臂指向对侧另一个模块，对应关系详见附表2。TM2与TM3的初始位置详见附表1。</w:t>
      </w:r>
    </w:p>
    <w:p w14:paraId="2A1D0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（7）PM1~10（Processing Module，PM）：加工模块，每个PM有一个槽位，可放置一片晶圆加工。</w:t>
      </w:r>
    </w:p>
    <w:p w14:paraId="3619E9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rPr>
          <w:rFonts w:hint="eastAsia" w:ascii="微软雅黑" w:hAnsi="微软雅黑" w:eastAsia="微软雅黑" w:cs="微软雅黑"/>
          <w:i w:val="0"/>
          <w:iCs w:val="0"/>
          <w:caps w:val="0"/>
          <w:color w:val="666666"/>
          <w:spacing w:val="0"/>
          <w:sz w:val="14"/>
          <w:szCs w:val="14"/>
          <w:shd w:val="clear" w:fill="FFFFFF"/>
        </w:rPr>
      </w:pPr>
      <w:r>
        <w:rPr>
          <w:rFonts w:hint="eastAsia" w:ascii="微软雅黑" w:hAnsi="微软雅黑" w:eastAsia="微软雅黑" w:cs="微软雅黑"/>
          <w:i w:val="0"/>
          <w:iCs w:val="0"/>
          <w:caps w:val="0"/>
          <w:color w:val="666666"/>
          <w:spacing w:val="0"/>
          <w:sz w:val="14"/>
          <w:szCs w:val="14"/>
          <w:shd w:val="clear" w:fill="FFFFFF"/>
        </w:rPr>
        <w:t>（8）LP、LL、PM模块有阀门，其中LL上下两侧均有阀门，模块开门机械手才可取放晶圆，完成取放后须关门，若取完晶圆后立刻放晶圆可直接放置，无须关门再开门，</w:t>
      </w:r>
      <w:r>
        <w:rPr>
          <w:rFonts w:hint="eastAsia" w:ascii="微软雅黑" w:hAnsi="微软雅黑" w:eastAsia="微软雅黑" w:cs="微软雅黑"/>
          <w:i w:val="0"/>
          <w:iCs w:val="0"/>
          <w:caps w:val="0"/>
          <w:color w:val="0000FF"/>
          <w:spacing w:val="0"/>
          <w:sz w:val="14"/>
          <w:szCs w:val="14"/>
          <w:shd w:val="clear" w:fill="FFFFFF"/>
        </w:rPr>
        <w:t>开门与关门</w:t>
      </w:r>
      <w:r>
        <w:rPr>
          <w:rFonts w:hint="eastAsia" w:ascii="微软雅黑" w:hAnsi="微软雅黑" w:eastAsia="微软雅黑" w:cs="微软雅黑"/>
          <w:i w:val="0"/>
          <w:iCs w:val="0"/>
          <w:caps w:val="0"/>
          <w:color w:val="666666"/>
          <w:spacing w:val="0"/>
          <w:sz w:val="14"/>
          <w:szCs w:val="14"/>
          <w:shd w:val="clear" w:fill="FFFFFF"/>
        </w:rPr>
        <w:t>时间均为1s。</w:t>
      </w:r>
    </w:p>
    <w:p w14:paraId="4F026A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567" w:lineRule="atLeast"/>
        <w:ind w:left="0" w:right="0" w:firstLine="0"/>
        <w:jc w:val="center"/>
        <w:rPr>
          <w:rFonts w:hint="eastAsia" w:ascii="微软雅黑" w:hAnsi="微软雅黑" w:eastAsia="微软雅黑" w:cs="微软雅黑"/>
          <w:i w:val="0"/>
          <w:iCs w:val="0"/>
          <w:caps w:val="0"/>
          <w:color w:val="666666"/>
          <w:spacing w:val="0"/>
          <w:sz w:val="14"/>
          <w:szCs w:val="14"/>
          <w:shd w:val="clear" w:fill="FFFFFF"/>
          <w:lang w:eastAsia="zh-CN"/>
        </w:rPr>
      </w:pPr>
      <w:r>
        <w:rPr>
          <w:rFonts w:hint="eastAsia" w:ascii="微软雅黑" w:hAnsi="微软雅黑" w:eastAsia="微软雅黑" w:cs="微软雅黑"/>
          <w:i w:val="0"/>
          <w:iCs w:val="0"/>
          <w:caps w:val="0"/>
          <w:color w:val="666666"/>
          <w:spacing w:val="0"/>
          <w:sz w:val="14"/>
          <w:szCs w:val="14"/>
          <w:shd w:val="clear" w:fill="FFFFFF"/>
          <w:lang w:eastAsia="zh-CN"/>
        </w:rPr>
        <w:drawing>
          <wp:inline distT="0" distB="0" distL="114300" distR="114300">
            <wp:extent cx="2666365" cy="5163820"/>
            <wp:effectExtent l="0" t="0" r="635" b="5080"/>
            <wp:docPr id="1" name="图片 1" descr="半导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半导体"/>
                    <pic:cNvPicPr>
                      <a:picLocks noChangeAspect="1"/>
                    </pic:cNvPicPr>
                  </pic:nvPicPr>
                  <pic:blipFill>
                    <a:blip r:embed="rId4"/>
                    <a:stretch>
                      <a:fillRect/>
                    </a:stretch>
                  </pic:blipFill>
                  <pic:spPr>
                    <a:xfrm>
                      <a:off x="0" y="0"/>
                      <a:ext cx="2666365" cy="5163820"/>
                    </a:xfrm>
                    <a:prstGeom prst="rect">
                      <a:avLst/>
                    </a:prstGeom>
                  </pic:spPr>
                </pic:pic>
              </a:graphicData>
            </a:graphic>
          </wp:inline>
        </w:drawing>
      </w:r>
    </w:p>
    <w:p w14:paraId="513061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jc w:val="left"/>
        <w:rPr>
          <w:rFonts w:hint="eastAsia" w:ascii="微软雅黑" w:hAnsi="微软雅黑" w:eastAsia="微软雅黑" w:cs="微软雅黑"/>
          <w:i w:val="0"/>
          <w:iCs w:val="0"/>
          <w:caps w:val="0"/>
          <w:color w:val="666666"/>
          <w:spacing w:val="0"/>
          <w:sz w:val="14"/>
          <w:szCs w:val="14"/>
          <w:lang w:eastAsia="zh-CN"/>
        </w:rPr>
      </w:pPr>
      <w:r>
        <w:rPr>
          <w:rStyle w:val="5"/>
          <w:rFonts w:hint="eastAsia" w:ascii="微软雅黑" w:hAnsi="微软雅黑" w:eastAsia="微软雅黑" w:cs="微软雅黑"/>
          <w:i w:val="0"/>
          <w:iCs w:val="0"/>
          <w:caps w:val="0"/>
          <w:color w:val="666666"/>
          <w:spacing w:val="0"/>
          <w:sz w:val="14"/>
          <w:szCs w:val="14"/>
          <w:shd w:val="clear" w:fill="FFFFFF"/>
        </w:rPr>
        <w:t>2.物料（晶圆）说明</w:t>
      </w:r>
      <w:r>
        <w:rPr>
          <w:rStyle w:val="5"/>
          <w:rFonts w:hint="eastAsia" w:ascii="微软雅黑" w:hAnsi="微软雅黑" w:eastAsia="微软雅黑" w:cs="微软雅黑"/>
          <w:i w:val="0"/>
          <w:iCs w:val="0"/>
          <w:caps w:val="0"/>
          <w:color w:val="666666"/>
          <w:spacing w:val="0"/>
          <w:sz w:val="14"/>
          <w:szCs w:val="14"/>
          <w:shd w:val="clear" w:fill="FFFFFF"/>
          <w:lang w:eastAsia="zh-CN"/>
        </w:rPr>
        <w:t>（</w:t>
      </w:r>
      <w:r>
        <w:rPr>
          <w:rStyle w:val="5"/>
          <w:rFonts w:hint="eastAsia" w:ascii="微软雅黑" w:hAnsi="微软雅黑" w:eastAsia="微软雅黑" w:cs="微软雅黑"/>
          <w:i w:val="0"/>
          <w:iCs w:val="0"/>
          <w:caps w:val="0"/>
          <w:color w:val="666666"/>
          <w:spacing w:val="0"/>
          <w:sz w:val="14"/>
          <w:szCs w:val="14"/>
          <w:shd w:val="clear" w:fill="FFFFFF"/>
          <w:lang w:val="en-US" w:eastAsia="zh-CN"/>
        </w:rPr>
        <w:t>调度对象</w:t>
      </w:r>
      <w:r>
        <w:rPr>
          <w:rStyle w:val="5"/>
          <w:rFonts w:hint="eastAsia" w:ascii="微软雅黑" w:hAnsi="微软雅黑" w:eastAsia="微软雅黑" w:cs="微软雅黑"/>
          <w:i w:val="0"/>
          <w:iCs w:val="0"/>
          <w:caps w:val="0"/>
          <w:color w:val="666666"/>
          <w:spacing w:val="0"/>
          <w:sz w:val="14"/>
          <w:szCs w:val="14"/>
          <w:shd w:val="clear" w:fill="FFFFFF"/>
          <w:lang w:eastAsia="zh-CN"/>
        </w:rPr>
        <w:t>）</w:t>
      </w:r>
    </w:p>
    <w:p w14:paraId="36A97F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jc w:val="left"/>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半导体设备加工的物料是晶圆片，晶圆盒用来存储晶圆，晶圆盒有25个槽位，每个槽位可以存储一片晶圆。晶圆编号与其所在晶圆盒槽位保持一致。</w:t>
      </w:r>
    </w:p>
    <w:p w14:paraId="762342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外部将装有晶圆的晶圆盒放在LP上，晶圆经过加工并最终全部回到晶圆盒的起始槽位，而后外部再将LP上的晶圆盒取走。晶圆盒从该LP取走后，可放置新的晶圆盒。</w:t>
      </w:r>
    </w:p>
    <w:p w14:paraId="0192FD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3.工艺与操作说明</w:t>
      </w:r>
    </w:p>
    <w:p w14:paraId="16480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（1）校准</w:t>
      </w:r>
    </w:p>
    <w:p w14:paraId="762887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0000FF"/>
          <w:spacing w:val="0"/>
          <w:sz w:val="14"/>
          <w:szCs w:val="14"/>
          <w:shd w:val="clear" w:fill="FFFFFF"/>
        </w:rPr>
        <w:t>晶圆加工前须放置在AL处做校准，校准时间为8s，晶圆完成校准后才能被取走</w:t>
      </w:r>
      <w:r>
        <w:rPr>
          <w:rFonts w:hint="eastAsia" w:ascii="微软雅黑" w:hAnsi="微软雅黑" w:eastAsia="微软雅黑" w:cs="微软雅黑"/>
          <w:i w:val="0"/>
          <w:iCs w:val="0"/>
          <w:caps w:val="0"/>
          <w:color w:val="666666"/>
          <w:spacing w:val="0"/>
          <w:sz w:val="14"/>
          <w:szCs w:val="14"/>
          <w:shd w:val="clear" w:fill="FFFFFF"/>
        </w:rPr>
        <w:t>。</w:t>
      </w:r>
    </w:p>
    <w:p w14:paraId="233881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lang w:eastAsia="zh-CN"/>
        </w:rPr>
      </w:pPr>
      <w:r>
        <w:rPr>
          <w:rFonts w:hint="eastAsia" w:ascii="微软雅黑" w:hAnsi="微软雅黑" w:eastAsia="微软雅黑" w:cs="微软雅黑"/>
          <w:i w:val="0"/>
          <w:iCs w:val="0"/>
          <w:caps w:val="0"/>
          <w:color w:val="666666"/>
          <w:spacing w:val="0"/>
          <w:sz w:val="14"/>
          <w:szCs w:val="14"/>
          <w:shd w:val="clear" w:fill="FFFFFF"/>
        </w:rPr>
        <w:t>（2）加工</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附件有工艺路径，需要调度算法来适应不同的路径</w:t>
      </w:r>
      <w:r>
        <w:rPr>
          <w:rFonts w:hint="eastAsia" w:ascii="微软雅黑" w:hAnsi="微软雅黑" w:eastAsia="微软雅黑" w:cs="微软雅黑"/>
          <w:i w:val="0"/>
          <w:iCs w:val="0"/>
          <w:caps w:val="0"/>
          <w:color w:val="666666"/>
          <w:spacing w:val="0"/>
          <w:sz w:val="14"/>
          <w:szCs w:val="14"/>
          <w:shd w:val="clear" w:fill="FFFFFF"/>
          <w:lang w:eastAsia="zh-CN"/>
        </w:rPr>
        <w:t>）</w:t>
      </w:r>
    </w:p>
    <w:p w14:paraId="626C85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晶圆按照其加工工艺路径依次在PM中进行加工。</w:t>
      </w:r>
    </w:p>
    <w:p w14:paraId="56FF77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（3）清洁</w:t>
      </w:r>
    </w:p>
    <w:p w14:paraId="3A7F2A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sz w:val="14"/>
          <w:szCs w:val="14"/>
        </w:rPr>
      </w:pPr>
      <w:r>
        <w:rPr>
          <w:rFonts w:hint="eastAsia" w:ascii="微软雅黑" w:hAnsi="微软雅黑" w:eastAsia="微软雅黑" w:cs="微软雅黑"/>
          <w:i w:val="0"/>
          <w:iCs w:val="0"/>
          <w:caps w:val="0"/>
          <w:color w:val="666666"/>
          <w:spacing w:val="0"/>
          <w:sz w:val="14"/>
          <w:szCs w:val="14"/>
          <w:shd w:val="clear" w:fill="FFFFFF"/>
        </w:rPr>
        <w:t>达到指定条件时PM进行清洁，清洁过程会持续一段时间，期间PM内无晶圆且无法进行加工。以下任意一种条件达到，须进行清洁：</w:t>
      </w:r>
    </w:p>
    <w:p w14:paraId="00CECB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720" w:right="0" w:firstLine="0"/>
        <w:rPr>
          <w:rFonts w:hint="eastAsia" w:eastAsia="微软雅黑"/>
          <w:sz w:val="14"/>
          <w:szCs w:val="14"/>
          <w:lang w:eastAsia="zh-CN"/>
        </w:rPr>
      </w:pPr>
      <w:r>
        <w:rPr>
          <w:rFonts w:hint="eastAsia" w:ascii="微软雅黑" w:hAnsi="微软雅黑" w:eastAsia="微软雅黑" w:cs="微软雅黑"/>
          <w:i w:val="0"/>
          <w:iCs w:val="0"/>
          <w:caps w:val="0"/>
          <w:color w:val="666666"/>
          <w:spacing w:val="0"/>
          <w:sz w:val="14"/>
          <w:szCs w:val="14"/>
          <w:shd w:val="clear" w:fill="FFFFFF"/>
          <w:lang w:val="en-US" w:eastAsia="zh-CN"/>
        </w:rPr>
        <w:t>a.</w:t>
      </w:r>
      <w:r>
        <w:rPr>
          <w:rFonts w:hint="eastAsia" w:ascii="微软雅黑" w:hAnsi="微软雅黑" w:eastAsia="微软雅黑" w:cs="微软雅黑"/>
          <w:i w:val="0"/>
          <w:iCs w:val="0"/>
          <w:caps w:val="0"/>
          <w:color w:val="666666"/>
          <w:spacing w:val="0"/>
          <w:sz w:val="14"/>
          <w:szCs w:val="14"/>
          <w:shd w:val="clear" w:fill="FFFFFF"/>
        </w:rPr>
        <w:t>当PM空闲时间达到阈值时（空闲时间以晶圆取出或完成清洁为起点统计）；</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保证PM状态达到工艺的要求</w:t>
      </w:r>
      <w:r>
        <w:rPr>
          <w:rFonts w:hint="eastAsia" w:ascii="微软雅黑" w:hAnsi="微软雅黑" w:eastAsia="微软雅黑" w:cs="微软雅黑"/>
          <w:i w:val="0"/>
          <w:iCs w:val="0"/>
          <w:caps w:val="0"/>
          <w:color w:val="666666"/>
          <w:spacing w:val="0"/>
          <w:sz w:val="14"/>
          <w:szCs w:val="14"/>
          <w:shd w:val="clear" w:fill="FFFFFF"/>
          <w:lang w:eastAsia="zh-CN"/>
        </w:rPr>
        <w:t>）</w:t>
      </w:r>
    </w:p>
    <w:p w14:paraId="584E56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720" w:right="0" w:firstLine="0"/>
        <w:rPr>
          <w:sz w:val="14"/>
          <w:szCs w:val="14"/>
        </w:rPr>
      </w:pPr>
      <w:r>
        <w:rPr>
          <w:rFonts w:hint="eastAsia" w:ascii="微软雅黑" w:hAnsi="微软雅黑" w:eastAsia="微软雅黑" w:cs="微软雅黑"/>
          <w:i w:val="0"/>
          <w:iCs w:val="0"/>
          <w:caps w:val="0"/>
          <w:color w:val="666666"/>
          <w:spacing w:val="0"/>
          <w:sz w:val="14"/>
          <w:szCs w:val="14"/>
          <w:shd w:val="clear" w:fill="FFFFFF"/>
          <w:lang w:val="en-US" w:eastAsia="zh-CN"/>
        </w:rPr>
        <w:t>b.</w:t>
      </w:r>
      <w:r>
        <w:rPr>
          <w:rFonts w:hint="eastAsia" w:ascii="微软雅黑" w:hAnsi="微软雅黑" w:eastAsia="微软雅黑" w:cs="微软雅黑"/>
          <w:i w:val="0"/>
          <w:iCs w:val="0"/>
          <w:caps w:val="0"/>
          <w:color w:val="666666"/>
          <w:spacing w:val="0"/>
          <w:sz w:val="14"/>
          <w:szCs w:val="14"/>
          <w:shd w:val="clear" w:fill="FFFFFF"/>
        </w:rPr>
        <w:t>当PM工艺类型发生切换时（即路径编号发生</w:t>
      </w:r>
      <w:r>
        <w:rPr>
          <w:rFonts w:hint="eastAsia" w:ascii="微软雅黑" w:hAnsi="微软雅黑" w:eastAsia="微软雅黑" w:cs="微软雅黑"/>
          <w:i w:val="0"/>
          <w:iCs w:val="0"/>
          <w:caps w:val="0"/>
          <w:color w:val="0000FF"/>
          <w:spacing w:val="0"/>
          <w:sz w:val="14"/>
          <w:szCs w:val="14"/>
          <w:shd w:val="clear" w:fill="FFFFFF"/>
        </w:rPr>
        <w:t>切换</w:t>
      </w:r>
      <w:r>
        <w:rPr>
          <w:rFonts w:hint="eastAsia" w:ascii="微软雅黑" w:hAnsi="微软雅黑" w:eastAsia="微软雅黑" w:cs="微软雅黑"/>
          <w:i w:val="0"/>
          <w:iCs w:val="0"/>
          <w:caps w:val="0"/>
          <w:color w:val="666666"/>
          <w:spacing w:val="0"/>
          <w:sz w:val="14"/>
          <w:szCs w:val="14"/>
          <w:shd w:val="clear" w:fill="FFFFFF"/>
        </w:rPr>
        <w:t>，详见附表4、9）；</w:t>
      </w:r>
    </w:p>
    <w:p w14:paraId="63679F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720" w:right="0"/>
        <w:rPr>
          <w:sz w:val="14"/>
          <w:szCs w:val="14"/>
        </w:rPr>
      </w:pPr>
      <w:r>
        <w:rPr>
          <w:rFonts w:hint="eastAsia" w:ascii="微软雅黑" w:hAnsi="微软雅黑" w:eastAsia="微软雅黑" w:cs="微软雅黑"/>
          <w:i w:val="0"/>
          <w:iCs w:val="0"/>
          <w:caps w:val="0"/>
          <w:color w:val="666666"/>
          <w:spacing w:val="0"/>
          <w:sz w:val="14"/>
          <w:szCs w:val="14"/>
          <w:shd w:val="clear" w:fill="FFFFFF"/>
          <w:lang w:val="en-US" w:eastAsia="zh-CN"/>
        </w:rPr>
        <w:t>c.</w:t>
      </w:r>
      <w:r>
        <w:rPr>
          <w:rFonts w:hint="eastAsia" w:ascii="微软雅黑" w:hAnsi="微软雅黑" w:eastAsia="微软雅黑" w:cs="微软雅黑"/>
          <w:i w:val="0"/>
          <w:iCs w:val="0"/>
          <w:caps w:val="0"/>
          <w:color w:val="666666"/>
          <w:spacing w:val="0"/>
          <w:sz w:val="14"/>
          <w:szCs w:val="14"/>
          <w:shd w:val="clear" w:fill="FFFFFF"/>
        </w:rPr>
        <w:t>当PM加工一定数量晶圆时（完成加工后，PM加工晶圆数增加1</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到一定数量进行清洁</w:t>
      </w:r>
      <w:r>
        <w:rPr>
          <w:rFonts w:hint="eastAsia" w:ascii="微软雅黑" w:hAnsi="微软雅黑" w:eastAsia="微软雅黑" w:cs="微软雅黑"/>
          <w:i w:val="0"/>
          <w:iCs w:val="0"/>
          <w:caps w:val="0"/>
          <w:color w:val="666666"/>
          <w:spacing w:val="0"/>
          <w:sz w:val="14"/>
          <w:szCs w:val="14"/>
          <w:shd w:val="clear" w:fill="FFFFFF"/>
        </w:rPr>
        <w:t>）。</w:t>
      </w:r>
    </w:p>
    <w:p w14:paraId="2FFCB1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default" w:ascii="微软雅黑" w:hAnsi="微软雅黑" w:eastAsia="微软雅黑" w:cs="微软雅黑"/>
          <w:i w:val="0"/>
          <w:iCs w:val="0"/>
          <w:caps w:val="0"/>
          <w:color w:val="666666"/>
          <w:spacing w:val="0"/>
          <w:sz w:val="14"/>
          <w:szCs w:val="14"/>
          <w:lang w:val="en-US" w:eastAsia="zh-CN"/>
        </w:rPr>
      </w:pPr>
      <w:r>
        <w:rPr>
          <w:rFonts w:hint="eastAsia" w:ascii="微软雅黑" w:hAnsi="微软雅黑" w:eastAsia="微软雅黑" w:cs="微软雅黑"/>
          <w:i w:val="0"/>
          <w:iCs w:val="0"/>
          <w:caps w:val="0"/>
          <w:color w:val="666666"/>
          <w:spacing w:val="0"/>
          <w:sz w:val="14"/>
          <w:szCs w:val="14"/>
          <w:shd w:val="clear" w:fill="FFFFFF"/>
        </w:rPr>
        <w:t>触发上述任意清洁，所有判</w:t>
      </w:r>
      <w:r>
        <w:rPr>
          <w:rFonts w:hint="eastAsia" w:ascii="微软雅黑" w:hAnsi="微软雅黑" w:eastAsia="微软雅黑" w:cs="微软雅黑"/>
          <w:i w:val="0"/>
          <w:iCs w:val="0"/>
          <w:caps w:val="0"/>
          <w:color w:val="0000FF"/>
          <w:spacing w:val="0"/>
          <w:sz w:val="14"/>
          <w:szCs w:val="14"/>
          <w:shd w:val="clear" w:fill="FFFFFF"/>
        </w:rPr>
        <w:t>断清洁的状态重置/更新</w:t>
      </w:r>
      <w:r>
        <w:rPr>
          <w:rFonts w:hint="eastAsia" w:ascii="微软雅黑" w:hAnsi="微软雅黑" w:eastAsia="微软雅黑" w:cs="微软雅黑"/>
          <w:i w:val="0"/>
          <w:iCs w:val="0"/>
          <w:caps w:val="0"/>
          <w:color w:val="666666"/>
          <w:spacing w:val="0"/>
          <w:sz w:val="14"/>
          <w:szCs w:val="14"/>
          <w:shd w:val="clear" w:fill="FFFFFF"/>
        </w:rPr>
        <w:t>。即触发清洁时：对于a，PM空闲时间重置为0；对于b，工艺类型更新为当前工艺类型；对于c，PM加工晶圆数量重置为0。清洁条件及时间详见附表3。</w:t>
      </w:r>
      <w:r>
        <w:rPr>
          <w:rFonts w:hint="eastAsia" w:ascii="微软雅黑" w:hAnsi="微软雅黑" w:eastAsia="微软雅黑" w:cs="微软雅黑"/>
          <w:i w:val="0"/>
          <w:iCs w:val="0"/>
          <w:caps w:val="0"/>
          <w:color w:val="666666"/>
          <w:spacing w:val="0"/>
          <w:sz w:val="14"/>
          <w:szCs w:val="14"/>
          <w:shd w:val="clear" w:fill="FFFFFF"/>
          <w:lang w:val="en-US" w:eastAsia="zh-CN"/>
        </w:rPr>
        <w:t>(在没有晶圆的时候才能清洁)</w:t>
      </w:r>
    </w:p>
    <w:p w14:paraId="36019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（4）冷却</w:t>
      </w:r>
    </w:p>
    <w:p w14:paraId="687EE8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晶圆完成全部工艺后，</w:t>
      </w:r>
      <w:r>
        <w:rPr>
          <w:rFonts w:hint="eastAsia" w:ascii="微软雅黑" w:hAnsi="微软雅黑" w:eastAsia="微软雅黑" w:cs="微软雅黑"/>
          <w:i w:val="0"/>
          <w:iCs w:val="0"/>
          <w:caps w:val="0"/>
          <w:color w:val="auto"/>
          <w:spacing w:val="0"/>
          <w:sz w:val="14"/>
          <w:szCs w:val="14"/>
          <w:shd w:val="clear" w:fill="FFFFFF"/>
        </w:rPr>
        <w:t>需要到LL处进行冷却</w:t>
      </w:r>
      <w:r>
        <w:rPr>
          <w:rFonts w:hint="eastAsia" w:ascii="微软雅黑" w:hAnsi="微软雅黑" w:eastAsia="微软雅黑" w:cs="微软雅黑"/>
          <w:i w:val="0"/>
          <w:iCs w:val="0"/>
          <w:caps w:val="0"/>
          <w:color w:val="auto"/>
          <w:spacing w:val="0"/>
          <w:sz w:val="14"/>
          <w:szCs w:val="14"/>
          <w:shd w:val="clear" w:fill="FFFFFF"/>
          <w:lang w:eastAsia="zh-CN"/>
        </w:rPr>
        <w:t>（</w:t>
      </w:r>
      <w:r>
        <w:rPr>
          <w:rFonts w:hint="eastAsia" w:ascii="微软雅黑" w:hAnsi="微软雅黑" w:eastAsia="微软雅黑" w:cs="微软雅黑"/>
          <w:i w:val="0"/>
          <w:iCs w:val="0"/>
          <w:caps w:val="0"/>
          <w:color w:val="auto"/>
          <w:spacing w:val="0"/>
          <w:sz w:val="14"/>
          <w:szCs w:val="14"/>
          <w:shd w:val="clear" w:fill="FFFFFF"/>
          <w:lang w:val="en-US" w:eastAsia="zh-CN"/>
        </w:rPr>
        <w:t>可以在LLD</w:t>
      </w:r>
      <w:r>
        <w:rPr>
          <w:rFonts w:hint="eastAsia" w:ascii="微软雅黑" w:hAnsi="微软雅黑" w:eastAsia="微软雅黑" w:cs="微软雅黑"/>
          <w:i w:val="0"/>
          <w:iCs w:val="0"/>
          <w:caps w:val="0"/>
          <w:color w:val="auto"/>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，晶圆完成冷却后才能被取走。</w:t>
      </w:r>
    </w:p>
    <w:p w14:paraId="05697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4.调度限制说明</w:t>
      </w:r>
    </w:p>
    <w:p w14:paraId="0334F9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lang w:eastAsia="zh-CN"/>
        </w:rPr>
      </w:pPr>
      <w:r>
        <w:rPr>
          <w:rFonts w:hint="eastAsia" w:ascii="微软雅黑" w:hAnsi="微软雅黑" w:eastAsia="微软雅黑" w:cs="微软雅黑"/>
          <w:i w:val="0"/>
          <w:iCs w:val="0"/>
          <w:caps w:val="0"/>
          <w:color w:val="666666"/>
          <w:spacing w:val="0"/>
          <w:sz w:val="14"/>
          <w:szCs w:val="14"/>
          <w:shd w:val="clear" w:fill="FFFFFF"/>
        </w:rPr>
        <w:t>出片限制：一个晶圆盒内相同路径的晶圆须</w:t>
      </w:r>
      <w:r>
        <w:rPr>
          <w:rFonts w:hint="eastAsia" w:ascii="微软雅黑" w:hAnsi="微软雅黑" w:eastAsia="微软雅黑" w:cs="微软雅黑"/>
          <w:i w:val="0"/>
          <w:iCs w:val="0"/>
          <w:caps w:val="0"/>
          <w:color w:val="4874CB" w:themeColor="accent1"/>
          <w:spacing w:val="0"/>
          <w:sz w:val="14"/>
          <w:szCs w:val="14"/>
          <w:shd w:val="clear" w:fill="FFFFFF"/>
          <w14:textFill>
            <w14:solidFill>
              <w14:schemeClr w14:val="accent1"/>
            </w14:solidFill>
          </w14:textFill>
        </w:rPr>
        <w:t>按照编号</w:t>
      </w:r>
      <w:r>
        <w:rPr>
          <w:rFonts w:hint="eastAsia" w:ascii="微软雅黑" w:hAnsi="微软雅黑" w:eastAsia="微软雅黑" w:cs="微软雅黑"/>
          <w:i w:val="0"/>
          <w:iCs w:val="0"/>
          <w:caps w:val="0"/>
          <w:color w:val="666666"/>
          <w:spacing w:val="0"/>
          <w:sz w:val="14"/>
          <w:szCs w:val="14"/>
          <w:shd w:val="clear" w:fill="FFFFFF"/>
        </w:rPr>
        <w:t>顺序</w:t>
      </w:r>
      <w:r>
        <w:rPr>
          <w:rFonts w:hint="eastAsia" w:ascii="微软雅黑" w:hAnsi="微软雅黑" w:eastAsia="微软雅黑" w:cs="微软雅黑"/>
          <w:i w:val="0"/>
          <w:iCs w:val="0"/>
          <w:caps w:val="0"/>
          <w:color w:val="4874CB" w:themeColor="accent1"/>
          <w:spacing w:val="0"/>
          <w:sz w:val="14"/>
          <w:szCs w:val="14"/>
          <w:shd w:val="clear" w:fill="FFFFFF"/>
          <w14:textFill>
            <w14:solidFill>
              <w14:schemeClr w14:val="accent1"/>
            </w14:solidFill>
          </w14:textFill>
        </w:rPr>
        <w:t>从小到大依次出片</w:t>
      </w:r>
      <w:r>
        <w:rPr>
          <w:rFonts w:hint="eastAsia" w:ascii="微软雅黑" w:hAnsi="微软雅黑" w:eastAsia="微软雅黑" w:cs="微软雅黑"/>
          <w:i w:val="0"/>
          <w:iCs w:val="0"/>
          <w:caps w:val="0"/>
          <w:color w:val="666666"/>
          <w:spacing w:val="0"/>
          <w:sz w:val="14"/>
          <w:szCs w:val="14"/>
          <w:shd w:val="clear" w:fill="FFFFFF"/>
        </w:rPr>
        <w:t>。</w:t>
      </w:r>
    </w:p>
    <w:p w14:paraId="370A83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模块使用限制：晶</w:t>
      </w:r>
      <w:bookmarkStart w:id="0" w:name="_GoBack"/>
      <w:bookmarkEnd w:id="0"/>
      <w:r>
        <w:rPr>
          <w:rFonts w:hint="eastAsia" w:ascii="微软雅黑" w:hAnsi="微软雅黑" w:eastAsia="微软雅黑" w:cs="微软雅黑"/>
          <w:i w:val="0"/>
          <w:iCs w:val="0"/>
          <w:caps w:val="0"/>
          <w:color w:val="666666"/>
          <w:spacing w:val="0"/>
          <w:sz w:val="14"/>
          <w:szCs w:val="14"/>
          <w:shd w:val="clear" w:fill="FFFFFF"/>
        </w:rPr>
        <w:t>圆只能从LLA或LLB的S2</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上槽位</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进加工区，从S1</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下槽位</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出加工区。</w:t>
      </w:r>
    </w:p>
    <w:p w14:paraId="5F32FE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禁止超片：同一PM下，相同路径、同一工艺步骤的晶圆，晶圆编号须按照从小到大顺序依次进入PM，不得出现超片</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1先于2加工，不能顺序调换</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w:t>
      </w:r>
    </w:p>
    <w:p w14:paraId="3CF325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highlight w:val="yellow"/>
        </w:rPr>
      </w:pPr>
      <w:r>
        <w:rPr>
          <w:rFonts w:hint="eastAsia" w:ascii="微软雅黑" w:hAnsi="微软雅黑" w:eastAsia="微软雅黑" w:cs="微软雅黑"/>
          <w:i w:val="0"/>
          <w:iCs w:val="0"/>
          <w:caps w:val="0"/>
          <w:color w:val="666666"/>
          <w:spacing w:val="0"/>
          <w:sz w:val="14"/>
          <w:szCs w:val="14"/>
          <w:highlight w:val="yellow"/>
          <w:shd w:val="clear" w:fill="FFFFFF"/>
        </w:rPr>
        <w:t>阀门互斥限制：同一区域内的PM和LL，其阀门</w:t>
      </w:r>
      <w:r>
        <w:rPr>
          <w:rFonts w:hint="eastAsia" w:ascii="微软雅黑" w:hAnsi="微软雅黑" w:eastAsia="微软雅黑" w:cs="微软雅黑"/>
          <w:i w:val="0"/>
          <w:iCs w:val="0"/>
          <w:caps w:val="0"/>
          <w:color w:val="4874CB" w:themeColor="accent1"/>
          <w:spacing w:val="0"/>
          <w:sz w:val="14"/>
          <w:szCs w:val="14"/>
          <w:highlight w:val="yellow"/>
          <w:shd w:val="clear" w:fill="FFFFFF"/>
          <w14:textFill>
            <w14:solidFill>
              <w14:schemeClr w14:val="accent1"/>
            </w14:solidFill>
          </w14:textFill>
        </w:rPr>
        <w:t>不得同时开启</w:t>
      </w:r>
      <w:r>
        <w:rPr>
          <w:rFonts w:hint="eastAsia" w:ascii="微软雅黑" w:hAnsi="微软雅黑" w:eastAsia="微软雅黑" w:cs="微软雅黑"/>
          <w:i w:val="0"/>
          <w:iCs w:val="0"/>
          <w:caps w:val="0"/>
          <w:color w:val="666666"/>
          <w:spacing w:val="0"/>
          <w:sz w:val="14"/>
          <w:szCs w:val="14"/>
          <w:highlight w:val="yellow"/>
          <w:shd w:val="clear" w:fill="FFFFFF"/>
        </w:rPr>
        <w:t>。</w:t>
      </w:r>
    </w:p>
    <w:p w14:paraId="30C98B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FF0000"/>
          <w:spacing w:val="0"/>
          <w:sz w:val="14"/>
          <w:szCs w:val="14"/>
          <w:shd w:val="clear" w:fill="FFFFFF"/>
        </w:rPr>
        <w:t>Just in Time</w:t>
      </w:r>
      <w:r>
        <w:rPr>
          <w:rFonts w:hint="eastAsia" w:ascii="微软雅黑" w:hAnsi="微软雅黑" w:eastAsia="微软雅黑" w:cs="微软雅黑"/>
          <w:i w:val="0"/>
          <w:iCs w:val="0"/>
          <w:caps w:val="0"/>
          <w:color w:val="666666"/>
          <w:spacing w:val="0"/>
          <w:sz w:val="14"/>
          <w:szCs w:val="14"/>
          <w:shd w:val="clear" w:fill="FFFFFF"/>
        </w:rPr>
        <w:t>：</w:t>
      </w:r>
      <w:r>
        <w:rPr>
          <w:rFonts w:hint="eastAsia" w:ascii="微软雅黑" w:hAnsi="微软雅黑" w:eastAsia="微软雅黑" w:cs="微软雅黑"/>
          <w:i w:val="0"/>
          <w:iCs w:val="0"/>
          <w:caps w:val="0"/>
          <w:color w:val="4874CB" w:themeColor="accent1"/>
          <w:spacing w:val="0"/>
          <w:sz w:val="14"/>
          <w:szCs w:val="14"/>
          <w:shd w:val="clear" w:fill="FFFFFF"/>
          <w14:textFill>
            <w14:solidFill>
              <w14:schemeClr w14:val="accent1"/>
            </w14:solidFill>
          </w14:textFill>
        </w:rPr>
        <w:t>物料在任意节点完成工艺或操作后的驻留时间</w:t>
      </w:r>
      <w:r>
        <w:rPr>
          <w:rFonts w:hint="eastAsia" w:ascii="微软雅黑" w:hAnsi="微软雅黑" w:eastAsia="微软雅黑" w:cs="微软雅黑"/>
          <w:i w:val="0"/>
          <w:iCs w:val="0"/>
          <w:caps w:val="0"/>
          <w:color w:val="4874CB" w:themeColor="accent1"/>
          <w:spacing w:val="0"/>
          <w:sz w:val="14"/>
          <w:szCs w:val="14"/>
          <w:shd w:val="clear" w:fill="FFFFFF"/>
          <w:lang w:eastAsia="zh-CN"/>
          <w14:textFill>
            <w14:solidFill>
              <w14:schemeClr w14:val="accent1"/>
            </w14:solidFill>
          </w14:textFill>
        </w:rPr>
        <w:t>（</w:t>
      </w:r>
      <w:r>
        <w:rPr>
          <w:rFonts w:hint="eastAsia" w:ascii="微软雅黑" w:hAnsi="微软雅黑" w:eastAsia="微软雅黑" w:cs="微软雅黑"/>
          <w:i w:val="0"/>
          <w:iCs w:val="0"/>
          <w:caps w:val="0"/>
          <w:color w:val="4874CB" w:themeColor="accent1"/>
          <w:spacing w:val="0"/>
          <w:sz w:val="14"/>
          <w:szCs w:val="14"/>
          <w:shd w:val="clear" w:fill="FFFFFF"/>
          <w:lang w:val="en-US" w:eastAsia="zh-CN"/>
          <w14:textFill>
            <w14:solidFill>
              <w14:schemeClr w14:val="accent1"/>
            </w14:solidFill>
          </w14:textFill>
        </w:rPr>
        <w:t>晶圆在pm里等待开门时间</w:t>
      </w:r>
      <w:r>
        <w:rPr>
          <w:rFonts w:hint="eastAsia" w:ascii="微软雅黑" w:hAnsi="微软雅黑" w:eastAsia="微软雅黑" w:cs="微软雅黑"/>
          <w:i w:val="0"/>
          <w:iCs w:val="0"/>
          <w:caps w:val="0"/>
          <w:color w:val="4874CB" w:themeColor="accent1"/>
          <w:spacing w:val="0"/>
          <w:sz w:val="14"/>
          <w:szCs w:val="14"/>
          <w:shd w:val="clear" w:fill="FFFFFF"/>
          <w:lang w:eastAsia="zh-CN"/>
          <w14:textFill>
            <w14:solidFill>
              <w14:schemeClr w14:val="accent1"/>
            </w14:solidFill>
          </w14:textFill>
        </w:rPr>
        <w:t>）</w:t>
      </w:r>
      <w:r>
        <w:rPr>
          <w:rFonts w:hint="eastAsia" w:ascii="微软雅黑" w:hAnsi="微软雅黑" w:eastAsia="微软雅黑" w:cs="微软雅黑"/>
          <w:i w:val="0"/>
          <w:iCs w:val="0"/>
          <w:caps w:val="0"/>
          <w:color w:val="4874CB" w:themeColor="accent1"/>
          <w:spacing w:val="0"/>
          <w:sz w:val="14"/>
          <w:szCs w:val="14"/>
          <w:shd w:val="clear" w:fill="FFFFFF"/>
          <w14:textFill>
            <w14:solidFill>
              <w14:schemeClr w14:val="accent1"/>
            </w14:solidFill>
          </w14:textFill>
        </w:rPr>
        <w:t>不得超过15s（必要时间</w:t>
      </w:r>
      <w:r>
        <w:rPr>
          <w:rFonts w:hint="eastAsia" w:ascii="微软雅黑" w:hAnsi="微软雅黑" w:eastAsia="微软雅黑" w:cs="微软雅黑"/>
          <w:i w:val="0"/>
          <w:iCs w:val="0"/>
          <w:caps w:val="0"/>
          <w:color w:val="4874CB" w:themeColor="accent1"/>
          <w:spacing w:val="0"/>
          <w:sz w:val="14"/>
          <w:szCs w:val="14"/>
          <w:shd w:val="clear" w:fill="FFFFFF"/>
          <w:lang w:eastAsia="zh-CN"/>
          <w14:textFill>
            <w14:solidFill>
              <w14:schemeClr w14:val="accent1"/>
            </w14:solidFill>
          </w14:textFill>
        </w:rPr>
        <w:t>（</w:t>
      </w:r>
      <w:r>
        <w:rPr>
          <w:rFonts w:hint="eastAsia" w:ascii="微软雅黑" w:hAnsi="微软雅黑" w:eastAsia="微软雅黑" w:cs="微软雅黑"/>
          <w:i w:val="0"/>
          <w:iCs w:val="0"/>
          <w:caps w:val="0"/>
          <w:color w:val="4874CB" w:themeColor="accent1"/>
          <w:spacing w:val="0"/>
          <w:sz w:val="14"/>
          <w:szCs w:val="14"/>
          <w:shd w:val="clear" w:fill="FFFFFF"/>
          <w:lang w:val="en-US" w:eastAsia="zh-CN"/>
          <w14:textFill>
            <w14:solidFill>
              <w14:schemeClr w14:val="accent1"/>
            </w14:solidFill>
          </w14:textFill>
        </w:rPr>
        <w:t>pm开门、取片</w:t>
      </w:r>
      <w:r>
        <w:rPr>
          <w:rFonts w:hint="eastAsia" w:ascii="微软雅黑" w:hAnsi="微软雅黑" w:eastAsia="微软雅黑" w:cs="微软雅黑"/>
          <w:i w:val="0"/>
          <w:iCs w:val="0"/>
          <w:caps w:val="0"/>
          <w:color w:val="4874CB" w:themeColor="accent1"/>
          <w:spacing w:val="0"/>
          <w:sz w:val="14"/>
          <w:szCs w:val="14"/>
          <w:shd w:val="clear" w:fill="FFFFFF"/>
          <w:lang w:eastAsia="zh-CN"/>
          <w14:textFill>
            <w14:solidFill>
              <w14:schemeClr w14:val="accent1"/>
            </w14:solidFill>
          </w14:textFill>
        </w:rPr>
        <w:t>）</w:t>
      </w:r>
      <w:r>
        <w:rPr>
          <w:rFonts w:hint="eastAsia" w:ascii="微软雅黑" w:hAnsi="微软雅黑" w:eastAsia="微软雅黑" w:cs="微软雅黑"/>
          <w:i w:val="0"/>
          <w:iCs w:val="0"/>
          <w:caps w:val="0"/>
          <w:color w:val="4874CB" w:themeColor="accent1"/>
          <w:spacing w:val="0"/>
          <w:sz w:val="14"/>
          <w:szCs w:val="14"/>
          <w:shd w:val="clear" w:fill="FFFFFF"/>
          <w14:textFill>
            <w14:solidFill>
              <w14:schemeClr w14:val="accent1"/>
            </w14:solidFill>
          </w14:textFill>
        </w:rPr>
        <w:t>除外）</w:t>
      </w:r>
      <w:r>
        <w:rPr>
          <w:rFonts w:hint="eastAsia" w:ascii="微软雅黑" w:hAnsi="微软雅黑" w:eastAsia="微软雅黑" w:cs="微软雅黑"/>
          <w:i w:val="0"/>
          <w:iCs w:val="0"/>
          <w:caps w:val="0"/>
          <w:color w:val="666666"/>
          <w:spacing w:val="0"/>
          <w:sz w:val="14"/>
          <w:szCs w:val="14"/>
          <w:shd w:val="clear" w:fill="FFFFFF"/>
        </w:rPr>
        <w:t>，并且要求物料完成当前节点工艺或操作后移动至下一节点</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在第一个pm里的驻留时间加在转到下一个pm时的机械臂上的时间</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不得超过30s（必要时间除外）。</w:t>
      </w:r>
    </w:p>
    <w:p w14:paraId="3AD130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5.任务描述</w:t>
      </w:r>
    </w:p>
    <w:p w14:paraId="1BEBC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（1）任务一：</w:t>
      </w:r>
    </w:p>
    <w:p w14:paraId="23BBF0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结合半导体设备的硬件模块、物料加工、工艺要求和调度限制，请你们团队建立数学模型，设计调度算法，求解最优调度方案</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所有晶圆加工时间最短</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，并分析算法的有效性和复杂度：</w:t>
      </w:r>
    </w:p>
    <w:p w14:paraId="53061E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现有三个装有晶圆的晶圆盒分别放置在LP1、LP2、LP3上，其中工艺路径集合详见附表4，任务信息详见附表5，请对附表5中的任务a/b/c/d分别进行求解，</w:t>
      </w:r>
      <w:r>
        <w:rPr>
          <w:rFonts w:hint="eastAsia" w:ascii="微软雅黑" w:hAnsi="微软雅黑" w:eastAsia="微软雅黑" w:cs="微软雅黑"/>
          <w:i w:val="0"/>
          <w:iCs w:val="0"/>
          <w:caps w:val="0"/>
          <w:color w:val="FF0000"/>
          <w:spacing w:val="0"/>
          <w:sz w:val="14"/>
          <w:szCs w:val="14"/>
          <w:shd w:val="clear" w:fill="FFFFFF"/>
        </w:rPr>
        <w:t>给出满足约束，调度最优的调度方案</w:t>
      </w:r>
      <w:r>
        <w:rPr>
          <w:rFonts w:hint="eastAsia" w:ascii="微软雅黑" w:hAnsi="微软雅黑" w:eastAsia="微软雅黑" w:cs="微软雅黑"/>
          <w:i w:val="0"/>
          <w:iCs w:val="0"/>
          <w:caps w:val="0"/>
          <w:color w:val="FF0000"/>
          <w:spacing w:val="0"/>
          <w:sz w:val="14"/>
          <w:szCs w:val="14"/>
          <w:shd w:val="clear" w:fill="FFFFFF"/>
          <w:lang w:eastAsia="zh-CN"/>
        </w:rPr>
        <w:t>（</w:t>
      </w:r>
      <w:r>
        <w:rPr>
          <w:rFonts w:hint="eastAsia" w:ascii="微软雅黑" w:hAnsi="微软雅黑" w:eastAsia="微软雅黑" w:cs="微软雅黑"/>
          <w:i w:val="0"/>
          <w:iCs w:val="0"/>
          <w:caps w:val="0"/>
          <w:color w:val="FF0000"/>
          <w:spacing w:val="0"/>
          <w:sz w:val="14"/>
          <w:szCs w:val="14"/>
          <w:shd w:val="clear" w:fill="FFFFFF"/>
          <w:lang w:val="en-US" w:eastAsia="zh-CN"/>
        </w:rPr>
        <w:t>注意防止死锁</w:t>
      </w:r>
      <w:r>
        <w:rPr>
          <w:rFonts w:hint="eastAsia" w:ascii="微软雅黑" w:hAnsi="微软雅黑" w:eastAsia="微软雅黑" w:cs="微软雅黑"/>
          <w:i w:val="0"/>
          <w:iCs w:val="0"/>
          <w:caps w:val="0"/>
          <w:color w:val="FF0000"/>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rPr>
        <w:t>，并按照指定</w:t>
      </w:r>
      <w:r>
        <w:rPr>
          <w:rFonts w:hint="eastAsia" w:ascii="微软雅黑" w:hAnsi="微软雅黑" w:eastAsia="微软雅黑" w:cs="微软雅黑"/>
          <w:i w:val="0"/>
          <w:iCs w:val="0"/>
          <w:caps w:val="0"/>
          <w:color w:val="FF0000"/>
          <w:spacing w:val="0"/>
          <w:sz w:val="14"/>
          <w:szCs w:val="14"/>
          <w:shd w:val="clear" w:fill="FFFFFF"/>
        </w:rPr>
        <w:t>Json</w:t>
      </w:r>
      <w:r>
        <w:rPr>
          <w:rFonts w:hint="eastAsia" w:ascii="微软雅黑" w:hAnsi="微软雅黑" w:eastAsia="微软雅黑" w:cs="微软雅黑"/>
          <w:i w:val="0"/>
          <w:iCs w:val="0"/>
          <w:caps w:val="0"/>
          <w:color w:val="666666"/>
          <w:spacing w:val="0"/>
          <w:sz w:val="14"/>
          <w:szCs w:val="14"/>
          <w:shd w:val="clear" w:fill="FFFFFF"/>
        </w:rPr>
        <w:t>格式输出调度结果，输出格式详见附表6。</w:t>
      </w:r>
    </w:p>
    <w:p w14:paraId="5868B1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（2）任务二：</w:t>
      </w:r>
    </w:p>
    <w:p w14:paraId="468234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lang w:eastAsia="zh-CN"/>
        </w:rPr>
      </w:pPr>
      <w:r>
        <w:rPr>
          <w:rFonts w:hint="eastAsia" w:ascii="微软雅黑" w:hAnsi="微软雅黑" w:eastAsia="微软雅黑" w:cs="微软雅黑"/>
          <w:i w:val="0"/>
          <w:iCs w:val="0"/>
          <w:caps w:val="0"/>
          <w:color w:val="666666"/>
          <w:spacing w:val="0"/>
          <w:sz w:val="14"/>
          <w:szCs w:val="14"/>
          <w:shd w:val="clear" w:fill="FFFFFF"/>
        </w:rPr>
        <w:t>半导体设备在实际加工场景更为复杂，为提升半导体设备调度系统的鲁棒性与可靠性，请设计算法自适应调优方案。（设计算法超参数或为当前算法增加自适应调优机制，根据</w:t>
      </w:r>
      <w:r>
        <w:rPr>
          <w:rFonts w:hint="eastAsia" w:ascii="微软雅黑" w:hAnsi="微软雅黑" w:eastAsia="微软雅黑" w:cs="微软雅黑"/>
          <w:i w:val="0"/>
          <w:iCs w:val="0"/>
          <w:caps w:val="0"/>
          <w:color w:val="FF0000"/>
          <w:spacing w:val="0"/>
          <w:sz w:val="14"/>
          <w:szCs w:val="14"/>
          <w:shd w:val="clear" w:fill="FFFFFF"/>
        </w:rPr>
        <w:t>新增场景</w:t>
      </w:r>
      <w:r>
        <w:rPr>
          <w:rFonts w:hint="eastAsia" w:ascii="微软雅黑" w:hAnsi="微软雅黑" w:eastAsia="微软雅黑" w:cs="微软雅黑"/>
          <w:i w:val="0"/>
          <w:iCs w:val="0"/>
          <w:caps w:val="0"/>
          <w:color w:val="666666"/>
          <w:spacing w:val="0"/>
          <w:sz w:val="14"/>
          <w:szCs w:val="14"/>
          <w:shd w:val="clear" w:fill="FFFFFF"/>
        </w:rPr>
        <w:t>优化算法超参数或自适应机制）</w:t>
      </w:r>
      <w:r>
        <w:rPr>
          <w:rFonts w:hint="eastAsia" w:ascii="微软雅黑" w:hAnsi="微软雅黑" w:eastAsia="微软雅黑" w:cs="微软雅黑"/>
          <w:i w:val="0"/>
          <w:iCs w:val="0"/>
          <w:caps w:val="0"/>
          <w:color w:val="666666"/>
          <w:spacing w:val="0"/>
          <w:sz w:val="14"/>
          <w:szCs w:val="14"/>
          <w:shd w:val="clear" w:fill="FFFFFF"/>
          <w:lang w:eastAsia="zh-CN"/>
        </w:rPr>
        <w:t>（</w:t>
      </w:r>
      <w:r>
        <w:rPr>
          <w:rFonts w:hint="eastAsia" w:ascii="微软雅黑" w:hAnsi="微软雅黑" w:eastAsia="微软雅黑" w:cs="微软雅黑"/>
          <w:i w:val="0"/>
          <w:iCs w:val="0"/>
          <w:caps w:val="0"/>
          <w:color w:val="666666"/>
          <w:spacing w:val="0"/>
          <w:sz w:val="14"/>
          <w:szCs w:val="14"/>
          <w:shd w:val="clear" w:fill="FFFFFF"/>
          <w:lang w:val="en-US" w:eastAsia="zh-CN"/>
        </w:rPr>
        <w:t>考验算法可迁移性和通用性，可以设计超参数算法（例如贝叶斯，机器学习模型，深度学习模型）</w:t>
      </w:r>
      <w:r>
        <w:rPr>
          <w:rFonts w:hint="eastAsia" w:ascii="微软雅黑" w:hAnsi="微软雅黑" w:eastAsia="微软雅黑" w:cs="微软雅黑"/>
          <w:i w:val="0"/>
          <w:iCs w:val="0"/>
          <w:caps w:val="0"/>
          <w:color w:val="666666"/>
          <w:spacing w:val="0"/>
          <w:sz w:val="14"/>
          <w:szCs w:val="14"/>
          <w:shd w:val="clear" w:fill="FFFFFF"/>
          <w:lang w:eastAsia="zh-CN"/>
        </w:rPr>
        <w:t>）</w:t>
      </w:r>
    </w:p>
    <w:p w14:paraId="2DAF1C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结合附表7、8、9、10提供的基础数据及参数进行测算与结果分析。</w:t>
      </w:r>
    </w:p>
    <w:p w14:paraId="04401F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sz w:val="14"/>
          <w:szCs w:val="14"/>
        </w:rPr>
      </w:pPr>
      <w:r>
        <w:rPr>
          <w:rFonts w:hint="eastAsia" w:ascii="微软雅黑" w:hAnsi="微软雅黑" w:eastAsia="微软雅黑" w:cs="微软雅黑"/>
          <w:i w:val="0"/>
          <w:iCs w:val="0"/>
          <w:caps w:val="0"/>
          <w:color w:val="666666"/>
          <w:spacing w:val="0"/>
          <w:sz w:val="14"/>
          <w:szCs w:val="14"/>
          <w:shd w:val="clear" w:fill="FFFFFF"/>
        </w:rPr>
        <w:t>（3）备注：</w:t>
      </w:r>
    </w:p>
    <w:p w14:paraId="26FA6B35">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420" w:leftChars="0" w:right="0" w:hanging="420" w:firstLineChars="0"/>
        <w:rPr>
          <w:sz w:val="14"/>
          <w:szCs w:val="14"/>
        </w:rPr>
      </w:pPr>
      <w:r>
        <w:rPr>
          <w:rFonts w:hint="eastAsia" w:ascii="微软雅黑" w:hAnsi="微软雅黑" w:eastAsia="微软雅黑" w:cs="微软雅黑"/>
          <w:i w:val="0"/>
          <w:iCs w:val="0"/>
          <w:caps w:val="0"/>
          <w:color w:val="666666"/>
          <w:spacing w:val="0"/>
          <w:sz w:val="14"/>
          <w:szCs w:val="14"/>
          <w:shd w:val="clear" w:fill="FFFFFF"/>
        </w:rPr>
        <w:t>尽可能以</w:t>
      </w:r>
      <w:r>
        <w:rPr>
          <w:rFonts w:hint="eastAsia" w:ascii="微软雅黑" w:hAnsi="微软雅黑" w:eastAsia="微软雅黑" w:cs="微软雅黑"/>
          <w:i w:val="0"/>
          <w:iCs w:val="0"/>
          <w:caps w:val="0"/>
          <w:color w:val="FF0000"/>
          <w:spacing w:val="0"/>
          <w:sz w:val="14"/>
          <w:szCs w:val="14"/>
          <w:shd w:val="clear" w:fill="FFFFFF"/>
        </w:rPr>
        <w:t>图表形式</w:t>
      </w:r>
      <w:r>
        <w:rPr>
          <w:rFonts w:hint="eastAsia" w:ascii="微软雅黑" w:hAnsi="微软雅黑" w:eastAsia="微软雅黑" w:cs="微软雅黑"/>
          <w:i w:val="0"/>
          <w:iCs w:val="0"/>
          <w:caps w:val="0"/>
          <w:color w:val="666666"/>
          <w:spacing w:val="0"/>
          <w:sz w:val="14"/>
          <w:szCs w:val="14"/>
          <w:shd w:val="clear" w:fill="FFFFFF"/>
        </w:rPr>
        <w:t>展示提高结果可读性。</w:t>
      </w:r>
    </w:p>
    <w:p w14:paraId="05E9C5B9">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420" w:leftChars="0" w:right="0" w:hanging="420" w:firstLineChars="0"/>
        <w:rPr>
          <w:sz w:val="14"/>
          <w:szCs w:val="14"/>
        </w:rPr>
      </w:pPr>
      <w:r>
        <w:rPr>
          <w:rFonts w:hint="eastAsia" w:ascii="微软雅黑" w:hAnsi="微软雅黑" w:eastAsia="微软雅黑" w:cs="微软雅黑"/>
          <w:i w:val="0"/>
          <w:iCs w:val="0"/>
          <w:caps w:val="0"/>
          <w:color w:val="666666"/>
          <w:spacing w:val="0"/>
          <w:sz w:val="14"/>
          <w:szCs w:val="14"/>
          <w:shd w:val="clear" w:fill="FFFFFF"/>
        </w:rPr>
        <w:t>参赛队伍需要标明此次提交作品所用技术方案为人工智能方案（如强化学习、深度学习等）或非人工智能方案（如数学规划、启发式算法等），</w:t>
      </w:r>
      <w:r>
        <w:rPr>
          <w:rFonts w:hint="eastAsia" w:ascii="微软雅黑" w:hAnsi="微软雅黑" w:eastAsia="微软雅黑" w:cs="微软雅黑"/>
          <w:i w:val="0"/>
          <w:iCs w:val="0"/>
          <w:caps w:val="0"/>
          <w:color w:val="FF0000"/>
          <w:spacing w:val="0"/>
          <w:sz w:val="14"/>
          <w:szCs w:val="14"/>
          <w:shd w:val="clear" w:fill="FFFFFF"/>
        </w:rPr>
        <w:t>并简要说明分类原因</w:t>
      </w:r>
      <w:r>
        <w:rPr>
          <w:rFonts w:hint="eastAsia" w:ascii="微软雅黑" w:hAnsi="微软雅黑" w:eastAsia="微软雅黑" w:cs="微软雅黑"/>
          <w:i w:val="0"/>
          <w:iCs w:val="0"/>
          <w:caps w:val="0"/>
          <w:color w:val="666666"/>
          <w:spacing w:val="0"/>
          <w:sz w:val="14"/>
          <w:szCs w:val="14"/>
          <w:shd w:val="clear" w:fill="FFFFFF"/>
        </w:rPr>
        <w:t>。</w:t>
      </w:r>
      <w:r>
        <w:rPr>
          <w:rFonts w:hint="eastAsia" w:ascii="微软雅黑" w:hAnsi="微软雅黑" w:eastAsia="微软雅黑" w:cs="微软雅黑"/>
          <w:b/>
          <w:bCs/>
          <w:i w:val="0"/>
          <w:iCs w:val="0"/>
          <w:caps w:val="0"/>
          <w:color w:val="666666"/>
          <w:spacing w:val="0"/>
          <w:sz w:val="14"/>
          <w:szCs w:val="14"/>
          <w:shd w:val="clear" w:fill="FFFFFF"/>
        </w:rPr>
        <w:t>每个作品仅可选择其中一类标明</w:t>
      </w:r>
      <w:r>
        <w:rPr>
          <w:rFonts w:hint="eastAsia" w:ascii="微软雅黑" w:hAnsi="微软雅黑" w:eastAsia="微软雅黑" w:cs="微软雅黑"/>
          <w:i w:val="0"/>
          <w:iCs w:val="0"/>
          <w:caps w:val="0"/>
          <w:color w:val="666666"/>
          <w:spacing w:val="0"/>
          <w:sz w:val="14"/>
          <w:szCs w:val="14"/>
          <w:shd w:val="clear" w:fill="FFFFFF"/>
        </w:rPr>
        <w:t>，两类方案在评选时会分类评选。</w:t>
      </w:r>
      <w:r>
        <w:rPr>
          <w:rFonts w:hint="eastAsia" w:ascii="微软雅黑" w:hAnsi="微软雅黑" w:eastAsia="微软雅黑" w:cs="微软雅黑"/>
          <w:i w:val="0"/>
          <w:iCs w:val="0"/>
          <w:caps w:val="0"/>
          <w:color w:val="666666"/>
          <w:spacing w:val="0"/>
          <w:sz w:val="14"/>
          <w:szCs w:val="14"/>
          <w:shd w:val="clear" w:fill="FFFFFF"/>
          <w:lang w:val="en-US" w:eastAsia="zh-CN"/>
        </w:rPr>
        <w:t>微调过程算法方案以及代码结果都写出来</w:t>
      </w:r>
    </w:p>
    <w:p w14:paraId="7C74A6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99" w:lineRule="atLeast"/>
        <w:ind w:left="0" w:right="0" w:firstLine="0"/>
        <w:rPr>
          <w:rFonts w:hint="eastAsia" w:ascii="微软雅黑" w:hAnsi="微软雅黑" w:eastAsia="微软雅黑" w:cs="微软雅黑"/>
          <w:i w:val="0"/>
          <w:iCs w:val="0"/>
          <w:caps w:val="0"/>
          <w:color w:val="666666"/>
          <w:spacing w:val="0"/>
          <w:sz w:val="14"/>
          <w:szCs w:val="14"/>
          <w:lang w:eastAsia="zh-CN"/>
        </w:rPr>
      </w:pPr>
      <w:r>
        <w:rPr>
          <w:rStyle w:val="5"/>
          <w:rFonts w:hint="eastAsia" w:ascii="微软雅黑" w:hAnsi="微软雅黑" w:eastAsia="微软雅黑" w:cs="微软雅黑"/>
          <w:i w:val="0"/>
          <w:iCs w:val="0"/>
          <w:caps w:val="0"/>
          <w:color w:val="142DA8"/>
          <w:spacing w:val="0"/>
          <w:sz w:val="16"/>
          <w:szCs w:val="16"/>
          <w:shd w:val="clear" w:fill="FFFFFF"/>
        </w:rPr>
        <w:t>五、附录</w:t>
      </w:r>
      <w:r>
        <w:rPr>
          <w:rStyle w:val="5"/>
          <w:rFonts w:hint="eastAsia" w:ascii="微软雅黑" w:hAnsi="微软雅黑" w:eastAsia="微软雅黑" w:cs="微软雅黑"/>
          <w:i w:val="0"/>
          <w:iCs w:val="0"/>
          <w:caps w:val="0"/>
          <w:color w:val="142DA8"/>
          <w:spacing w:val="0"/>
          <w:sz w:val="16"/>
          <w:szCs w:val="16"/>
          <w:shd w:val="clear" w:fill="FFFFFF"/>
          <w:lang w:eastAsia="zh-CN"/>
        </w:rPr>
        <w:t>（</w:t>
      </w:r>
      <w:r>
        <w:rPr>
          <w:rStyle w:val="5"/>
          <w:rFonts w:hint="eastAsia" w:ascii="微软雅黑" w:hAnsi="微软雅黑" w:eastAsia="微软雅黑" w:cs="微软雅黑"/>
          <w:i w:val="0"/>
          <w:iCs w:val="0"/>
          <w:caps w:val="0"/>
          <w:color w:val="142DA8"/>
          <w:spacing w:val="0"/>
          <w:sz w:val="16"/>
          <w:szCs w:val="16"/>
          <w:shd w:val="clear" w:fill="FFFFFF"/>
          <w:lang w:val="en-US" w:eastAsia="zh-CN"/>
        </w:rPr>
        <w:t>编程语言推荐python</w:t>
      </w:r>
      <w:r>
        <w:rPr>
          <w:rStyle w:val="5"/>
          <w:rFonts w:hint="eastAsia" w:ascii="微软雅黑" w:hAnsi="微软雅黑" w:eastAsia="微软雅黑" w:cs="微软雅黑"/>
          <w:i w:val="0"/>
          <w:iCs w:val="0"/>
          <w:caps w:val="0"/>
          <w:color w:val="142DA8"/>
          <w:spacing w:val="0"/>
          <w:sz w:val="16"/>
          <w:szCs w:val="16"/>
          <w:shd w:val="clear" w:fill="FFFFFF"/>
          <w:lang w:eastAsia="zh-CN"/>
        </w:rPr>
        <w:t>）</w:t>
      </w:r>
    </w:p>
    <w:p w14:paraId="763C3B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1.附表1 不同模块的初始状态或位置</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838"/>
        <w:gridCol w:w="2069"/>
        <w:gridCol w:w="2823"/>
      </w:tblGrid>
      <w:tr w14:paraId="7D542D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5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BEC1C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ascii="微软雅黑" w:hAnsi="微软雅黑" w:eastAsia="微软雅黑" w:cs="微软雅黑"/>
                <w:i w:val="0"/>
                <w:iCs w:val="0"/>
                <w:caps w:val="0"/>
                <w:color w:val="666666"/>
                <w:spacing w:val="0"/>
                <w:sz w:val="14"/>
                <w:szCs w:val="14"/>
              </w:rPr>
              <w:t>模块类型</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BEFE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模块名称</w:t>
            </w:r>
          </w:p>
        </w:tc>
        <w:tc>
          <w:tcPr>
            <w:tcW w:w="23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6672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初始状态或位置</w:t>
            </w:r>
          </w:p>
        </w:tc>
      </w:tr>
      <w:tr w14:paraId="16E4B7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51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66104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Load Lock</w:t>
            </w:r>
          </w:p>
        </w:tc>
        <w:tc>
          <w:tcPr>
            <w:tcW w:w="17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D5F9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w:t>
            </w:r>
          </w:p>
        </w:tc>
        <w:tc>
          <w:tcPr>
            <w:tcW w:w="23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A8FA8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大气状态</w:t>
            </w:r>
          </w:p>
        </w:tc>
      </w:tr>
      <w:tr w14:paraId="73C45D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5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0071865">
            <w:pPr>
              <w:rPr>
                <w:rFonts w:hint="eastAsia" w:ascii="微软雅黑" w:hAnsi="微软雅黑" w:eastAsia="微软雅黑" w:cs="微软雅黑"/>
                <w:i w:val="0"/>
                <w:iCs w:val="0"/>
                <w:caps w:val="0"/>
                <w:color w:val="666666"/>
                <w:spacing w:val="0"/>
                <w:sz w:val="14"/>
                <w:szCs w:val="14"/>
              </w:rPr>
            </w:pPr>
          </w:p>
        </w:tc>
        <w:tc>
          <w:tcPr>
            <w:tcW w:w="17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E25EA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LLB</w:t>
            </w:r>
          </w:p>
        </w:tc>
        <w:tc>
          <w:tcPr>
            <w:tcW w:w="23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D88B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大气状态</w:t>
            </w:r>
          </w:p>
        </w:tc>
      </w:tr>
      <w:tr w14:paraId="28CD86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51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74003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w:t>
            </w:r>
          </w:p>
        </w:tc>
        <w:tc>
          <w:tcPr>
            <w:tcW w:w="17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9F152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TM1</w:t>
            </w:r>
          </w:p>
        </w:tc>
        <w:tc>
          <w:tcPr>
            <w:tcW w:w="23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F8B0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TM1的初始位置为LP1</w:t>
            </w:r>
          </w:p>
        </w:tc>
      </w:tr>
      <w:tr w14:paraId="6646F3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5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E235A01">
            <w:pPr>
              <w:rPr>
                <w:rFonts w:hint="eastAsia" w:ascii="微软雅黑" w:hAnsi="微软雅黑" w:eastAsia="微软雅黑" w:cs="微软雅黑"/>
                <w:i w:val="0"/>
                <w:iCs w:val="0"/>
                <w:caps w:val="0"/>
                <w:color w:val="666666"/>
                <w:spacing w:val="0"/>
                <w:sz w:val="14"/>
                <w:szCs w:val="14"/>
              </w:rPr>
            </w:pPr>
          </w:p>
        </w:tc>
        <w:tc>
          <w:tcPr>
            <w:tcW w:w="17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2006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TM2</w:t>
            </w:r>
          </w:p>
        </w:tc>
        <w:tc>
          <w:tcPr>
            <w:tcW w:w="23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DF93E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R1槽位的初始位置为LLA</w:t>
            </w:r>
          </w:p>
        </w:tc>
      </w:tr>
      <w:tr w14:paraId="1DEEE3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5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0008A18">
            <w:pPr>
              <w:rPr>
                <w:rFonts w:hint="eastAsia" w:ascii="微软雅黑" w:hAnsi="微软雅黑" w:eastAsia="微软雅黑" w:cs="微软雅黑"/>
                <w:i w:val="0"/>
                <w:iCs w:val="0"/>
                <w:caps w:val="0"/>
                <w:color w:val="666666"/>
                <w:spacing w:val="0"/>
                <w:sz w:val="14"/>
                <w:szCs w:val="14"/>
              </w:rPr>
            </w:pPr>
          </w:p>
        </w:tc>
        <w:tc>
          <w:tcPr>
            <w:tcW w:w="17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CD52F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TM3</w:t>
            </w:r>
          </w:p>
        </w:tc>
        <w:tc>
          <w:tcPr>
            <w:tcW w:w="23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C13D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R1槽位的初始位置为LLC</w:t>
            </w:r>
          </w:p>
        </w:tc>
      </w:tr>
    </w:tbl>
    <w:p w14:paraId="2951B0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2.附表2 TM手臂指向对应关系</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801"/>
        <w:gridCol w:w="2410"/>
        <w:gridCol w:w="2519"/>
      </w:tblGrid>
      <w:tr w14:paraId="608074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438E1FD">
            <w:pPr>
              <w:keepNext w:val="0"/>
              <w:keepLines w:val="0"/>
              <w:widowControl/>
              <w:suppressLineNumbers w:val="0"/>
              <w:spacing w:before="0" w:beforeAutospacing="0" w:after="0" w:afterAutospacing="0" w:line="315" w:lineRule="atLeast"/>
              <w:ind w:left="0" w:right="0"/>
              <w:jc w:val="left"/>
              <w:rPr>
                <w:rFonts w:hint="eastAsia" w:ascii="微软雅黑" w:hAnsi="微软雅黑" w:eastAsia="微软雅黑" w:cs="微软雅黑"/>
                <w:i w:val="0"/>
                <w:iCs w:val="0"/>
                <w:caps w:val="0"/>
                <w:color w:val="666666"/>
                <w:spacing w:val="0"/>
                <w:sz w:val="14"/>
                <w:szCs w:val="14"/>
              </w:rPr>
            </w:pPr>
          </w:p>
        </w:tc>
        <w:tc>
          <w:tcPr>
            <w:tcW w:w="19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416B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R1指向</w:t>
            </w:r>
          </w:p>
        </w:tc>
        <w:tc>
          <w:tcPr>
            <w:tcW w:w="20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2DD4B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对应R2指向</w:t>
            </w:r>
          </w:p>
        </w:tc>
      </w:tr>
      <w:tr w14:paraId="741FBF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3D30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TM2</w:t>
            </w: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8F6E7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997F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LLD</w:t>
            </w:r>
          </w:p>
        </w:tc>
      </w:tr>
      <w:tr w14:paraId="22F781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25A3447">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BD6A6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PM6</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1DF96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PM8</w:t>
            </w:r>
          </w:p>
        </w:tc>
      </w:tr>
      <w:tr w14:paraId="41B09E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36A4046">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AF9C8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PM7</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8783D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PM10</w:t>
            </w:r>
          </w:p>
        </w:tc>
      </w:tr>
      <w:tr w14:paraId="432F59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22E284E">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29B35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LLC</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0DBB3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LLB</w:t>
            </w:r>
          </w:p>
        </w:tc>
      </w:tr>
      <w:tr w14:paraId="66BDB0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48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B23DF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TM3</w:t>
            </w: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2A821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LLC</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110A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PM4</w:t>
            </w:r>
          </w:p>
        </w:tc>
      </w:tr>
      <w:tr w14:paraId="5EDF1E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ABA20FF">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E79E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PM1</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0DA3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PM5</w:t>
            </w:r>
          </w:p>
        </w:tc>
      </w:tr>
      <w:tr w14:paraId="711F91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C8C6B0B">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577D1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PM2</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053CE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PM6</w:t>
            </w:r>
          </w:p>
        </w:tc>
      </w:tr>
      <w:tr w14:paraId="7A4DF5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48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28C43ED">
            <w:pPr>
              <w:rPr>
                <w:rFonts w:hint="eastAsia" w:ascii="微软雅黑" w:hAnsi="微软雅黑" w:eastAsia="微软雅黑" w:cs="微软雅黑"/>
                <w:i w:val="0"/>
                <w:iCs w:val="0"/>
                <w:caps w:val="0"/>
                <w:color w:val="666666"/>
                <w:spacing w:val="0"/>
                <w:sz w:val="14"/>
                <w:szCs w:val="14"/>
              </w:rPr>
            </w:pPr>
          </w:p>
        </w:tc>
        <w:tc>
          <w:tcPr>
            <w:tcW w:w="19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A4788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PM3</w:t>
            </w:r>
          </w:p>
        </w:tc>
        <w:tc>
          <w:tcPr>
            <w:tcW w:w="20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FE8AD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LLD</w:t>
            </w:r>
          </w:p>
        </w:tc>
      </w:tr>
    </w:tbl>
    <w:p w14:paraId="4E7AE3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3.附表3 清洁条件及时间</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3365"/>
        <w:gridCol w:w="3365"/>
      </w:tblGrid>
      <w:tr w14:paraId="4D7279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27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1DA79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清洁条件</w:t>
            </w:r>
          </w:p>
        </w:tc>
        <w:tc>
          <w:tcPr>
            <w:tcW w:w="27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0F019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清洁时间</w:t>
            </w:r>
          </w:p>
        </w:tc>
      </w:tr>
      <w:tr w14:paraId="51879A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2E22E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PM空闲时间达80s</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45A24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30s</w:t>
            </w:r>
          </w:p>
        </w:tc>
      </w:tr>
      <w:tr w14:paraId="538CCF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82995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PM工艺类型发生切换</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1C033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200s</w:t>
            </w:r>
          </w:p>
        </w:tc>
      </w:tr>
      <w:tr w14:paraId="348CCB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68FEAA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PM加工13片晶圆</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D274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300s</w:t>
            </w:r>
          </w:p>
        </w:tc>
      </w:tr>
    </w:tbl>
    <w:p w14:paraId="75613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4.附表4 工艺路径及时间</w:t>
      </w:r>
    </w:p>
    <w:tbl>
      <w:tblPr>
        <w:tblStyle w:val="3"/>
        <w:tblW w:w="756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886"/>
        <w:gridCol w:w="6679"/>
      </w:tblGrid>
      <w:tr w14:paraId="0EB695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04FD4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路径编号</w:t>
            </w:r>
          </w:p>
        </w:tc>
        <w:tc>
          <w:tcPr>
            <w:tcW w:w="6405"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E8E1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rPr>
                <w:rFonts w:hint="eastAsia" w:eastAsia="微软雅黑"/>
                <w:lang w:eastAsia="zh-CN"/>
              </w:rPr>
            </w:pPr>
            <w:r>
              <w:rPr>
                <w:rFonts w:hint="eastAsia" w:ascii="微软雅黑" w:hAnsi="微软雅黑" w:eastAsia="微软雅黑" w:cs="微软雅黑"/>
                <w:i w:val="0"/>
                <w:iCs w:val="0"/>
                <w:caps w:val="0"/>
                <w:color w:val="666666"/>
                <w:spacing w:val="0"/>
                <w:sz w:val="14"/>
                <w:szCs w:val="14"/>
              </w:rPr>
              <w:t>工艺路径</w:t>
            </w:r>
            <w:r>
              <w:rPr>
                <w:rFonts w:hint="eastAsia" w:ascii="微软雅黑" w:hAnsi="微软雅黑" w:eastAsia="微软雅黑" w:cs="微软雅黑"/>
                <w:i w:val="0"/>
                <w:iCs w:val="0"/>
                <w:caps w:val="0"/>
                <w:color w:val="666666"/>
                <w:spacing w:val="0"/>
                <w:sz w:val="14"/>
                <w:szCs w:val="14"/>
                <w:lang w:eastAsia="zh-CN"/>
              </w:rPr>
              <w:t>（</w:t>
            </w:r>
            <w:r>
              <w:rPr>
                <w:rFonts w:hint="eastAsia" w:ascii="微软雅黑" w:hAnsi="微软雅黑" w:eastAsia="微软雅黑" w:cs="微软雅黑"/>
                <w:i w:val="0"/>
                <w:iCs w:val="0"/>
                <w:caps w:val="0"/>
                <w:color w:val="666666"/>
                <w:spacing w:val="0"/>
                <w:sz w:val="14"/>
                <w:szCs w:val="14"/>
                <w:lang w:val="en-US" w:eastAsia="zh-CN"/>
              </w:rPr>
              <w:t>-代表链接步骤，/代表可以选择</w:t>
            </w:r>
            <w:r>
              <w:rPr>
                <w:rFonts w:hint="eastAsia" w:ascii="微软雅黑" w:hAnsi="微软雅黑" w:eastAsia="微软雅黑" w:cs="微软雅黑"/>
                <w:i w:val="0"/>
                <w:iCs w:val="0"/>
                <w:caps w:val="0"/>
                <w:color w:val="666666"/>
                <w:spacing w:val="0"/>
                <w:sz w:val="14"/>
                <w:szCs w:val="14"/>
                <w:lang w:eastAsia="zh-CN"/>
              </w:rPr>
              <w:t>）</w:t>
            </w:r>
          </w:p>
        </w:tc>
      </w:tr>
      <w:tr w14:paraId="5FF0A3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DF58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A</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9727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LLA-(PM7[70]-PM8[70]-LLC-LLD[70]-LLB)*5</w:t>
            </w:r>
          </w:p>
        </w:tc>
      </w:tr>
      <w:tr w14:paraId="2B893E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DA3A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B</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C5ADA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LLA/LLB-PM7/PM8[70]-LLC-PM1/PM2[300]-LLD[70]-LLA/LLB</w:t>
            </w:r>
          </w:p>
        </w:tc>
      </w:tr>
      <w:tr w14:paraId="06F6B5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B128C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C</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CE05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LLA/LLB-PM7/PM8[70]-LLC-PM1/PM2/PM3/PM4[600]-LLD-PM9/PM10[200]-LLA/LLB[70]</w:t>
            </w:r>
          </w:p>
        </w:tc>
      </w:tr>
      <w:tr w14:paraId="54C343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6DE6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D</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7C822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LLA/LLB-PM7/PM8[70]-PM9/PM10[200]-LLD[70]-LLA/LLB</w:t>
            </w:r>
          </w:p>
        </w:tc>
      </w:tr>
      <w:tr w14:paraId="388E05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1E199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E</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6862F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LLA/LLB-PM7/PM8[70]-LLC-PM1[600]-LLD[70]-LLA/LLB</w:t>
            </w:r>
          </w:p>
        </w:tc>
      </w:tr>
      <w:tr w14:paraId="338EBB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C5BC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F</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A979E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LLA/LLB-PM7/PM8[70]-LLC-PM2[600]-LLD[70]-LLA/LLB</w:t>
            </w:r>
          </w:p>
        </w:tc>
      </w:tr>
      <w:tr w14:paraId="5865A8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2B6A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G</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83C82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LLA/LLB-PM7/PM8[70]-LLC-PM3[600]-LLD[70]-LLA/LLB</w:t>
            </w:r>
          </w:p>
        </w:tc>
      </w:tr>
      <w:tr w14:paraId="366105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8532E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H</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51612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LLA/LLB-PM7/PM8[70]-LLC-PM4[600]-LLD[70]-LLA/LLB</w:t>
            </w:r>
          </w:p>
        </w:tc>
      </w:tr>
      <w:tr w14:paraId="6FA907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1748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I</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447C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LLA/LLB-PM7/PM8[70]-PM9[200]-LLD[70]-LLA/LLB</w:t>
            </w:r>
          </w:p>
        </w:tc>
      </w:tr>
      <w:tr w14:paraId="0FEC60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30E35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J</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2ED2E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LLA/LLB-PM7/PM8[70]-PM10[200]-LLD[70]-LLA/LLB</w:t>
            </w:r>
          </w:p>
        </w:tc>
      </w:tr>
      <w:tr w14:paraId="54EB20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664E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K</w:t>
            </w:r>
          </w:p>
        </w:tc>
        <w:tc>
          <w:tcPr>
            <w:tcW w:w="6405"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B2F7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LLA/LLB-PM7/PM8[70]-LLC-PM1/PM2/PM3/PM4[600]-LLD-PM9/PM10[200]-LLA/LLB[70]</w:t>
            </w:r>
          </w:p>
        </w:tc>
      </w:tr>
    </w:tbl>
    <w:p w14:paraId="3D69D6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注：“（）*n”表示括号内的节点须重复n次；“/”用于分割路径中并行节点的模块。</w:t>
      </w:r>
    </w:p>
    <w:p w14:paraId="297CABAB">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Style w:val="5"/>
          <w:rFonts w:hint="eastAsia" w:ascii="微软雅黑" w:hAnsi="微软雅黑" w:eastAsia="微软雅黑" w:cs="微软雅黑"/>
          <w:i w:val="0"/>
          <w:iCs w:val="0"/>
          <w:caps w:val="0"/>
          <w:color w:val="666666"/>
          <w:spacing w:val="0"/>
          <w:sz w:val="14"/>
          <w:szCs w:val="14"/>
          <w:shd w:val="clear" w:fill="FFFFFF"/>
        </w:rPr>
      </w:pPr>
      <w:r>
        <w:rPr>
          <w:rStyle w:val="5"/>
          <w:rFonts w:hint="eastAsia" w:ascii="微软雅黑" w:hAnsi="微软雅黑" w:eastAsia="微软雅黑" w:cs="微软雅黑"/>
          <w:i w:val="0"/>
          <w:iCs w:val="0"/>
          <w:caps w:val="0"/>
          <w:color w:val="666666"/>
          <w:spacing w:val="0"/>
          <w:sz w:val="14"/>
          <w:szCs w:val="14"/>
          <w:shd w:val="clear" w:fill="FFFFFF"/>
        </w:rPr>
        <w:t>附表5 任务信息</w:t>
      </w:r>
    </w:p>
    <w:p w14:paraId="773CD3F1">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Chars="0" w:right="0" w:rightChars="0"/>
        <w:rPr>
          <w:rStyle w:val="5"/>
          <w:rFonts w:hint="default" w:ascii="微软雅黑" w:hAnsi="微软雅黑" w:eastAsia="微软雅黑" w:cs="微软雅黑"/>
          <w:i w:val="0"/>
          <w:iCs w:val="0"/>
          <w:caps w:val="0"/>
          <w:color w:val="666666"/>
          <w:spacing w:val="0"/>
          <w:sz w:val="14"/>
          <w:szCs w:val="14"/>
          <w:shd w:val="clear" w:fill="FFFFFF"/>
          <w:lang w:val="en-US" w:eastAsia="zh-CN"/>
        </w:rPr>
      </w:pPr>
      <w:r>
        <w:rPr>
          <w:rStyle w:val="5"/>
          <w:rFonts w:hint="eastAsia" w:ascii="微软雅黑" w:hAnsi="微软雅黑" w:eastAsia="微软雅黑" w:cs="微软雅黑"/>
          <w:i w:val="0"/>
          <w:iCs w:val="0"/>
          <w:caps w:val="0"/>
          <w:color w:val="666666"/>
          <w:spacing w:val="0"/>
          <w:sz w:val="14"/>
          <w:szCs w:val="14"/>
          <w:shd w:val="clear" w:fill="FFFFFF"/>
          <w:lang w:val="en-US" w:eastAsia="zh-CN"/>
        </w:rPr>
        <w:t>总共有25*3 = 75片晶圆，可以从给的路径中选择不同的路径</w:t>
      </w:r>
    </w:p>
    <w:p w14:paraId="32016C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附表5（a）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38"/>
        <w:gridCol w:w="1134"/>
        <w:gridCol w:w="1110"/>
        <w:gridCol w:w="3148"/>
      </w:tblGrid>
      <w:tr w14:paraId="7EAC92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9E4A1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4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CD42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DC0A8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33F56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26B551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90" w:hRule="atLeast"/>
        </w:trPr>
        <w:tc>
          <w:tcPr>
            <w:tcW w:w="11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9A60A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EEA4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5B44D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A</w:t>
            </w:r>
          </w:p>
        </w:tc>
        <w:tc>
          <w:tcPr>
            <w:tcW w:w="261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021E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按晶圆盒编号依次加工，当未完成加工的晶圆都离开当前晶圆盒后，下一个晶圆盒内的晶圆才能被调度。</w:t>
            </w:r>
          </w:p>
        </w:tc>
      </w:tr>
      <w:tr w14:paraId="75D44C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95285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77B0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4D65B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A</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BCE32BC">
            <w:pPr>
              <w:rPr>
                <w:rFonts w:hint="eastAsia" w:ascii="微软雅黑" w:hAnsi="微软雅黑" w:eastAsia="微软雅黑" w:cs="微软雅黑"/>
                <w:i w:val="0"/>
                <w:iCs w:val="0"/>
                <w:caps w:val="0"/>
                <w:color w:val="666666"/>
                <w:spacing w:val="0"/>
                <w:sz w:val="14"/>
                <w:szCs w:val="14"/>
              </w:rPr>
            </w:pPr>
          </w:p>
        </w:tc>
      </w:tr>
      <w:tr w14:paraId="6D59F9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3002D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72B3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2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29CB3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A</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829BC0A">
            <w:pPr>
              <w:rPr>
                <w:rFonts w:hint="eastAsia" w:ascii="微软雅黑" w:hAnsi="微软雅黑" w:eastAsia="微软雅黑" w:cs="微软雅黑"/>
                <w:i w:val="0"/>
                <w:iCs w:val="0"/>
                <w:caps w:val="0"/>
                <w:color w:val="666666"/>
                <w:spacing w:val="0"/>
                <w:sz w:val="14"/>
                <w:szCs w:val="14"/>
              </w:rPr>
            </w:pPr>
          </w:p>
        </w:tc>
      </w:tr>
    </w:tbl>
    <w:p w14:paraId="1FE3F2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附表5（b）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89"/>
        <w:gridCol w:w="1087"/>
        <w:gridCol w:w="1087"/>
        <w:gridCol w:w="3167"/>
      </w:tblGrid>
      <w:tr w14:paraId="6776649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115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A0073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08015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A8237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09DA2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594096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2E2D6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178E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A111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B</w:t>
            </w:r>
          </w:p>
        </w:tc>
        <w:tc>
          <w:tcPr>
            <w:tcW w:w="26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F57B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按晶圆盒编号依次加工，当未完成加工的晶圆都离开当前晶圆盒后，下一个晶圆盒内的晶圆才能被调度。</w:t>
            </w:r>
          </w:p>
        </w:tc>
      </w:tr>
      <w:tr w14:paraId="3295AD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68FC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85F52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A6D1D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B</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E55160E">
            <w:pPr>
              <w:rPr>
                <w:rFonts w:hint="eastAsia" w:ascii="微软雅黑" w:hAnsi="微软雅黑" w:eastAsia="微软雅黑" w:cs="微软雅黑"/>
                <w:i w:val="0"/>
                <w:iCs w:val="0"/>
                <w:caps w:val="0"/>
                <w:color w:val="666666"/>
                <w:spacing w:val="0"/>
                <w:sz w:val="14"/>
                <w:szCs w:val="14"/>
              </w:rPr>
            </w:pPr>
          </w:p>
        </w:tc>
      </w:tr>
      <w:tr w14:paraId="5CE148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E0ED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02A9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4243F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B</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8C46E41">
            <w:pPr>
              <w:rPr>
                <w:rFonts w:hint="eastAsia" w:ascii="微软雅黑" w:hAnsi="微软雅黑" w:eastAsia="微软雅黑" w:cs="微软雅黑"/>
                <w:i w:val="0"/>
                <w:iCs w:val="0"/>
                <w:caps w:val="0"/>
                <w:color w:val="666666"/>
                <w:spacing w:val="0"/>
                <w:sz w:val="14"/>
                <w:szCs w:val="14"/>
              </w:rPr>
            </w:pPr>
          </w:p>
        </w:tc>
      </w:tr>
    </w:tbl>
    <w:p w14:paraId="526C09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附表5（c）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462"/>
        <w:gridCol w:w="1208"/>
        <w:gridCol w:w="1051"/>
        <w:gridCol w:w="3009"/>
      </w:tblGrid>
      <w:tr w14:paraId="54E5B7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2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7C1DF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BBC18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8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6413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49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32672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6D8850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2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A0A77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10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1F36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8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79F8BE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C</w:t>
            </w:r>
          </w:p>
        </w:tc>
        <w:tc>
          <w:tcPr>
            <w:tcW w:w="249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EC9E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6D7FEA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2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FFF2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10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2F843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8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46AC5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D</w:t>
            </w:r>
          </w:p>
        </w:tc>
        <w:tc>
          <w:tcPr>
            <w:tcW w:w="249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1DC55DA">
            <w:pPr>
              <w:rPr>
                <w:rFonts w:hint="eastAsia" w:ascii="微软雅黑" w:hAnsi="微软雅黑" w:eastAsia="微软雅黑" w:cs="微软雅黑"/>
                <w:i w:val="0"/>
                <w:iCs w:val="0"/>
                <w:caps w:val="0"/>
                <w:color w:val="666666"/>
                <w:spacing w:val="0"/>
                <w:sz w:val="14"/>
                <w:szCs w:val="14"/>
              </w:rPr>
            </w:pPr>
          </w:p>
        </w:tc>
      </w:tr>
      <w:tr w14:paraId="64335F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2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1F75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10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81E26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8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0F5FE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D</w:t>
            </w:r>
          </w:p>
        </w:tc>
        <w:tc>
          <w:tcPr>
            <w:tcW w:w="249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FB79E5E">
            <w:pPr>
              <w:rPr>
                <w:rFonts w:hint="eastAsia" w:ascii="微软雅黑" w:hAnsi="微软雅黑" w:eastAsia="微软雅黑" w:cs="微软雅黑"/>
                <w:i w:val="0"/>
                <w:iCs w:val="0"/>
                <w:caps w:val="0"/>
                <w:color w:val="666666"/>
                <w:spacing w:val="0"/>
                <w:sz w:val="14"/>
                <w:szCs w:val="14"/>
              </w:rPr>
            </w:pPr>
          </w:p>
        </w:tc>
      </w:tr>
    </w:tbl>
    <w:p w14:paraId="243667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附表5（d）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53"/>
        <w:gridCol w:w="1136"/>
        <w:gridCol w:w="1196"/>
        <w:gridCol w:w="3045"/>
      </w:tblGrid>
      <w:tr w14:paraId="20D0B2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35E1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4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FA4D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9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987A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5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41EFF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4DCA6A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164BD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C042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1-10</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182BA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E</w:t>
            </w:r>
          </w:p>
        </w:tc>
        <w:tc>
          <w:tcPr>
            <w:tcW w:w="25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67CBC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37A761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3AB83CB">
            <w:pPr>
              <w:rPr>
                <w:rFonts w:hint="eastAsia" w:ascii="微软雅黑" w:hAnsi="微软雅黑" w:eastAsia="微软雅黑" w:cs="微软雅黑"/>
                <w:i w:val="0"/>
                <w:iCs w:val="0"/>
                <w:caps w:val="0"/>
                <w:color w:val="666666"/>
                <w:spacing w:val="0"/>
                <w:sz w:val="14"/>
                <w:szCs w:val="14"/>
              </w:rPr>
            </w:pP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1CAA2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11-25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75F5B1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F</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D4E3FD2">
            <w:pPr>
              <w:rPr>
                <w:rFonts w:hint="eastAsia" w:ascii="微软雅黑" w:hAnsi="微软雅黑" w:eastAsia="微软雅黑" w:cs="微软雅黑"/>
                <w:i w:val="0"/>
                <w:iCs w:val="0"/>
                <w:caps w:val="0"/>
                <w:color w:val="666666"/>
                <w:spacing w:val="0"/>
                <w:sz w:val="14"/>
                <w:szCs w:val="14"/>
              </w:rPr>
            </w:pPr>
          </w:p>
        </w:tc>
      </w:tr>
      <w:tr w14:paraId="3F436A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5418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ACBA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FE49C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G</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C373768">
            <w:pPr>
              <w:rPr>
                <w:rFonts w:hint="eastAsia" w:ascii="微软雅黑" w:hAnsi="微软雅黑" w:eastAsia="微软雅黑" w:cs="微软雅黑"/>
                <w:i w:val="0"/>
                <w:iCs w:val="0"/>
                <w:caps w:val="0"/>
                <w:color w:val="666666"/>
                <w:spacing w:val="0"/>
                <w:sz w:val="14"/>
                <w:szCs w:val="14"/>
              </w:rPr>
            </w:pPr>
          </w:p>
        </w:tc>
      </w:tr>
      <w:tr w14:paraId="3ED816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A455DD1">
            <w:pPr>
              <w:rPr>
                <w:rFonts w:hint="eastAsia" w:ascii="微软雅黑" w:hAnsi="微软雅黑" w:eastAsia="微软雅黑" w:cs="微软雅黑"/>
                <w:i w:val="0"/>
                <w:iCs w:val="0"/>
                <w:caps w:val="0"/>
                <w:color w:val="666666"/>
                <w:spacing w:val="0"/>
                <w:sz w:val="14"/>
                <w:szCs w:val="14"/>
              </w:rPr>
            </w:pP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43DE4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6-15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07CB34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H</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1ADA1CA">
            <w:pPr>
              <w:rPr>
                <w:rFonts w:hint="eastAsia" w:ascii="微软雅黑" w:hAnsi="微软雅黑" w:eastAsia="微软雅黑" w:cs="微软雅黑"/>
                <w:i w:val="0"/>
                <w:iCs w:val="0"/>
                <w:caps w:val="0"/>
                <w:color w:val="666666"/>
                <w:spacing w:val="0"/>
                <w:sz w:val="14"/>
                <w:szCs w:val="14"/>
              </w:rPr>
            </w:pPr>
          </w:p>
        </w:tc>
      </w:tr>
      <w:tr w14:paraId="1D301A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D109FC0">
            <w:pPr>
              <w:rPr>
                <w:rFonts w:hint="eastAsia" w:ascii="微软雅黑" w:hAnsi="微软雅黑" w:eastAsia="微软雅黑" w:cs="微软雅黑"/>
                <w:i w:val="0"/>
                <w:iCs w:val="0"/>
                <w:caps w:val="0"/>
                <w:color w:val="666666"/>
                <w:spacing w:val="0"/>
                <w:sz w:val="14"/>
                <w:szCs w:val="14"/>
              </w:rPr>
            </w:pP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CB15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16-25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52F8A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I</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A284701">
            <w:pPr>
              <w:rPr>
                <w:rFonts w:hint="eastAsia" w:ascii="微软雅黑" w:hAnsi="微软雅黑" w:eastAsia="微软雅黑" w:cs="微软雅黑"/>
                <w:i w:val="0"/>
                <w:iCs w:val="0"/>
                <w:caps w:val="0"/>
                <w:color w:val="666666"/>
                <w:spacing w:val="0"/>
                <w:sz w:val="14"/>
                <w:szCs w:val="14"/>
              </w:rPr>
            </w:pPr>
          </w:p>
        </w:tc>
      </w:tr>
      <w:tr w14:paraId="088FDE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59B9D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BC58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1-15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5BD7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J</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9FB5CEE">
            <w:pPr>
              <w:rPr>
                <w:rFonts w:hint="eastAsia" w:ascii="微软雅黑" w:hAnsi="微软雅黑" w:eastAsia="微软雅黑" w:cs="微软雅黑"/>
                <w:i w:val="0"/>
                <w:iCs w:val="0"/>
                <w:caps w:val="0"/>
                <w:color w:val="666666"/>
                <w:spacing w:val="0"/>
                <w:sz w:val="14"/>
                <w:szCs w:val="14"/>
              </w:rPr>
            </w:pPr>
          </w:p>
        </w:tc>
      </w:tr>
      <w:tr w14:paraId="026011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7FC629F">
            <w:pPr>
              <w:rPr>
                <w:rFonts w:hint="eastAsia" w:ascii="微软雅黑" w:hAnsi="微软雅黑" w:eastAsia="微软雅黑" w:cs="微软雅黑"/>
                <w:i w:val="0"/>
                <w:iCs w:val="0"/>
                <w:caps w:val="0"/>
                <w:color w:val="666666"/>
                <w:spacing w:val="0"/>
                <w:sz w:val="14"/>
                <w:szCs w:val="14"/>
              </w:rPr>
            </w:pPr>
          </w:p>
        </w:tc>
        <w:tc>
          <w:tcPr>
            <w:tcW w:w="9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14609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16-25</w:t>
            </w:r>
          </w:p>
        </w:tc>
        <w:tc>
          <w:tcPr>
            <w:tcW w:w="99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478EFC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K</w:t>
            </w:r>
          </w:p>
        </w:tc>
        <w:tc>
          <w:tcPr>
            <w:tcW w:w="25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7AD8F47">
            <w:pPr>
              <w:rPr>
                <w:rFonts w:hint="eastAsia" w:ascii="微软雅黑" w:hAnsi="微软雅黑" w:eastAsia="微软雅黑" w:cs="微软雅黑"/>
                <w:i w:val="0"/>
                <w:iCs w:val="0"/>
                <w:caps w:val="0"/>
                <w:color w:val="666666"/>
                <w:spacing w:val="0"/>
                <w:sz w:val="14"/>
                <w:szCs w:val="14"/>
              </w:rPr>
            </w:pPr>
          </w:p>
        </w:tc>
      </w:tr>
    </w:tbl>
    <w:p w14:paraId="10AB6E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6.附表6 调度结果Json格式</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6730"/>
      </w:tblGrid>
      <w:tr w14:paraId="3DE70E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55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F12E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w:t>
            </w:r>
          </w:p>
          <w:p w14:paraId="3FE18E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"MoveList": [</w:t>
            </w:r>
          </w:p>
          <w:p w14:paraId="3B01FC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3FD58A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"StartTime": 1,       # move的开始时间;float</w:t>
            </w:r>
          </w:p>
          <w:p w14:paraId="261F8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"EndTime": 2,          # move的结束时间;float</w:t>
            </w:r>
          </w:p>
          <w:p w14:paraId="6A763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"MoveID": 0,           # move编号，从0开始;int</w:t>
            </w:r>
          </w:p>
          <w:p w14:paraId="0410E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"MoveType": 1,         # move类型，详见下文;int</w:t>
            </w:r>
          </w:p>
          <w:p w14:paraId="32280C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"ModuleName": "LLB",   # 模块名称;string</w:t>
            </w:r>
          </w:p>
          <w:p w14:paraId="45F6F7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"MatID": 1.1,          # 物料编号（晶圆盒编号+物料编号）;string</w:t>
            </w:r>
          </w:p>
          <w:p w14:paraId="33ABED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"SlotID": 1,            # LL、TM有两个slot，SlotID分别为</w:t>
            </w:r>
          </w:p>
          <w:p w14:paraId="09AF7E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1,2，其余模块SlotID为1;int</w:t>
            </w:r>
          </w:p>
          <w:p w14:paraId="57733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1E593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61555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0D1D98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43C39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w:t>
            </w:r>
          </w:p>
          <w:p w14:paraId="33A3B9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w:t>
            </w:r>
          </w:p>
          <w:p w14:paraId="476AF7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 movetype说明：</w:t>
            </w:r>
          </w:p>
          <w:p w14:paraId="2F0F92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Pickmove=1           # 机械手取晶圆动作</w:t>
            </w:r>
          </w:p>
          <w:p w14:paraId="67430A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Placemove=2          # 机械手放晶圆动作</w:t>
            </w:r>
          </w:p>
          <w:p w14:paraId="0AB09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TransMove=3          # 机械手移动动作</w:t>
            </w:r>
          </w:p>
          <w:p w14:paraId="20BDC6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PrepareMove=4        # 模块开门动作</w:t>
            </w:r>
          </w:p>
          <w:p w14:paraId="76D4D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CompleteMove=5       # 模块关门动作</w:t>
            </w:r>
          </w:p>
          <w:p w14:paraId="3E85B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PumpMove=6            # LL抽气动作</w:t>
            </w:r>
          </w:p>
          <w:p w14:paraId="360D6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VentMove=7            # LL充气动作</w:t>
            </w:r>
          </w:p>
          <w:p w14:paraId="09B90E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ProcessMove=8         # 加工或冷却工艺动作</w:t>
            </w:r>
          </w:p>
          <w:p w14:paraId="56BC5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CleanMove=9           # 清洁工艺动作</w:t>
            </w:r>
          </w:p>
          <w:p w14:paraId="61B3B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AlignMove=10          # 校准工艺动作</w:t>
            </w:r>
          </w:p>
        </w:tc>
      </w:tr>
    </w:tbl>
    <w:p w14:paraId="46B375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7.附表7 机械手时间</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296"/>
        <w:gridCol w:w="2284"/>
        <w:gridCol w:w="2150"/>
      </w:tblGrid>
      <w:tr w14:paraId="0DBC67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79312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机械手</w:t>
            </w:r>
          </w:p>
        </w:tc>
        <w:tc>
          <w:tcPr>
            <w:tcW w:w="1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F76A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操作</w:t>
            </w:r>
          </w:p>
        </w:tc>
        <w:tc>
          <w:tcPr>
            <w:tcW w:w="17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2600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时间</w:t>
            </w:r>
          </w:p>
        </w:tc>
      </w:tr>
      <w:tr w14:paraId="1BFA28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CBF53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TM1</w:t>
            </w: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8699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取晶圆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15E4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5s</w:t>
            </w:r>
          </w:p>
        </w:tc>
      </w:tr>
      <w:tr w14:paraId="181E9F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DF66853">
            <w:pPr>
              <w:rPr>
                <w:rFonts w:hint="eastAsia" w:ascii="微软雅黑" w:hAnsi="微软雅黑" w:eastAsia="微软雅黑" w:cs="微软雅黑"/>
                <w:i w:val="0"/>
                <w:iCs w:val="0"/>
                <w:caps w:val="0"/>
                <w:color w:val="666666"/>
                <w:spacing w:val="0"/>
                <w:sz w:val="14"/>
                <w:szCs w:val="14"/>
              </w:rPr>
            </w:pP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E624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放晶圆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F24A8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5s</w:t>
            </w:r>
          </w:p>
        </w:tc>
      </w:tr>
      <w:tr w14:paraId="5816AC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89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9095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TM2</w:t>
            </w: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9E9D7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取晶圆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7BD47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5s</w:t>
            </w:r>
          </w:p>
        </w:tc>
      </w:tr>
      <w:tr w14:paraId="49F883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9DF2B21">
            <w:pPr>
              <w:rPr>
                <w:rFonts w:hint="eastAsia" w:ascii="微软雅黑" w:hAnsi="微软雅黑" w:eastAsia="微软雅黑" w:cs="微软雅黑"/>
                <w:i w:val="0"/>
                <w:iCs w:val="0"/>
                <w:caps w:val="0"/>
                <w:color w:val="666666"/>
                <w:spacing w:val="0"/>
                <w:sz w:val="14"/>
                <w:szCs w:val="14"/>
              </w:rPr>
            </w:pP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56F8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放晶圆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3470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7s</w:t>
            </w:r>
          </w:p>
        </w:tc>
      </w:tr>
      <w:tr w14:paraId="07FE54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59197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TM3</w:t>
            </w: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E912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取晶圆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C00C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15s</w:t>
            </w:r>
          </w:p>
        </w:tc>
      </w:tr>
      <w:tr w14:paraId="12A1BD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89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1054C1E">
            <w:pPr>
              <w:rPr>
                <w:rFonts w:hint="eastAsia" w:ascii="微软雅黑" w:hAnsi="微软雅黑" w:eastAsia="微软雅黑" w:cs="微软雅黑"/>
                <w:i w:val="0"/>
                <w:iCs w:val="0"/>
                <w:caps w:val="0"/>
                <w:color w:val="666666"/>
                <w:spacing w:val="0"/>
                <w:sz w:val="14"/>
                <w:szCs w:val="14"/>
              </w:rPr>
            </w:pPr>
          </w:p>
        </w:tc>
        <w:tc>
          <w:tcPr>
            <w:tcW w:w="1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820C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放晶圆</w:t>
            </w:r>
          </w:p>
        </w:tc>
        <w:tc>
          <w:tcPr>
            <w:tcW w:w="1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6A57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15s</w:t>
            </w:r>
          </w:p>
        </w:tc>
      </w:tr>
    </w:tbl>
    <w:p w14:paraId="04AE2A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8.附表8 清洁条件及时间</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3365"/>
        <w:gridCol w:w="3365"/>
      </w:tblGrid>
      <w:tr w14:paraId="1BD5CE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27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45985E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清洁条件</w:t>
            </w:r>
          </w:p>
        </w:tc>
        <w:tc>
          <w:tcPr>
            <w:tcW w:w="27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1B386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清洁时间</w:t>
            </w:r>
          </w:p>
        </w:tc>
      </w:tr>
      <w:tr w14:paraId="1EF445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C4B62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PM空闲时间达100s</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BC296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50s</w:t>
            </w:r>
          </w:p>
        </w:tc>
      </w:tr>
      <w:tr w14:paraId="0D5B78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0D6FB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PM工艺类型发生切换</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4E6406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150s</w:t>
            </w:r>
          </w:p>
        </w:tc>
      </w:tr>
      <w:tr w14:paraId="7C8C86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9921B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PM加工3片晶圆</w:t>
            </w:r>
          </w:p>
        </w:tc>
        <w:tc>
          <w:tcPr>
            <w:tcW w:w="27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7CCCA4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200s</w:t>
            </w:r>
          </w:p>
        </w:tc>
      </w:tr>
    </w:tbl>
    <w:p w14:paraId="499F8F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9.附表9 工艺路径及时间</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450"/>
        <w:gridCol w:w="6280"/>
      </w:tblGrid>
      <w:tr w14:paraId="5016ED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DB270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路径编号</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18C19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r>
      <w:tr w14:paraId="4B3889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94F63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7BD9A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LLA/LLB-PM7/PM8[70]-LLC-PM3[200]-LLD-PM1[200]-LLD[70]-PM10[200]-LLD[70]-LLA/LLB</w:t>
            </w:r>
          </w:p>
        </w:tc>
      </w:tr>
      <w:tr w14:paraId="378FAD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4579C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M</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0D6BE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LLA/LLB-PM7/PM8[70]-PM9/PM10[200]-LLD[70]-LLA/LLB</w:t>
            </w:r>
          </w:p>
        </w:tc>
      </w:tr>
      <w:tr w14:paraId="1CE6F6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CE7A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N</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613A3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LLA/LLB-PM7[70]-LLC-PM3[200]-LLD-PM8[70]-LLC-PM1[100]-LLD-PM8[70]-LLA/LLB</w:t>
            </w:r>
          </w:p>
        </w:tc>
      </w:tr>
      <w:tr w14:paraId="1318A1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5EA07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O</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45E8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LLA/LLB-PM7[70]-LLC-PM4[200]-LLD-PM8[70]-LLC-PM1[100]-LLD-PM8[70]-LLA/LLB</w:t>
            </w:r>
          </w:p>
        </w:tc>
      </w:tr>
      <w:tr w14:paraId="3A4B36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CF4B1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2A5E8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LLA/LLB-PM7[70]-LLC-PM5[200]-LLD-PM8[70]-LLC-PM1[100]-LLD-PM8[70]-LLA/LLB</w:t>
            </w:r>
          </w:p>
        </w:tc>
      </w:tr>
      <w:tr w14:paraId="583CAA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2299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Q</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7C1F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LLA/LLB-PM7/PM8[200]-LLC-PM3[200]-LLD-PM1[200]-LLD[70]-PM10[200]-LLD[70]-LLA/LLB</w:t>
            </w:r>
          </w:p>
        </w:tc>
      </w:tr>
      <w:tr w14:paraId="12AE8A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67046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R</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234B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LLA/LLB-PM7/PM8[70]-LLC-PM1/PM2[300]-LLD[70]-LLA/LLB</w:t>
            </w:r>
          </w:p>
        </w:tc>
      </w:tr>
      <w:tr w14:paraId="3A1C3A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7284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S</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926D3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LLA/LLB-PM7/PM8[70]-LLC-PM1[300]-LLD[70]-LLA/LLB</w:t>
            </w:r>
          </w:p>
        </w:tc>
      </w:tr>
      <w:tr w14:paraId="7532B1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F464D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5358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LLA/LLB-PM7/PM8[70]-LLC-PM2[300]-LLD[70]-LLA/LLB</w:t>
            </w:r>
          </w:p>
        </w:tc>
      </w:tr>
      <w:tr w14:paraId="476DE0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21FC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U</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47EB7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LLA-(PM7[70]-PM8[70]-LLC-LLD[70]-LLB)*3</w:t>
            </w:r>
          </w:p>
        </w:tc>
      </w:tr>
      <w:tr w14:paraId="53207B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467D6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V</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3231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LLA/LLB-PM7/PM8[70]-LLC-PM1/PM2/PM3[600]-LLD[70]-LLA/LLB</w:t>
            </w:r>
          </w:p>
        </w:tc>
      </w:tr>
      <w:tr w14:paraId="315A78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8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B7C7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W</w:t>
            </w:r>
          </w:p>
        </w:tc>
        <w:tc>
          <w:tcPr>
            <w:tcW w:w="46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DCF1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LLA/LLB-PM7/PM8[70]-LLC-PM4/PM5/PM6[600]-LLD[70]-LLA/LLB</w:t>
            </w:r>
          </w:p>
        </w:tc>
      </w:tr>
    </w:tbl>
    <w:p w14:paraId="7E9B6A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注：“（）*n”表示括号内的节点须重复n次；“/”用于分割路径中并行节点的模块。</w:t>
      </w:r>
    </w:p>
    <w:p w14:paraId="675915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666666"/>
          <w:spacing w:val="0"/>
          <w:sz w:val="14"/>
          <w:szCs w:val="14"/>
          <w:shd w:val="clear" w:fill="FFFFFF"/>
        </w:rPr>
        <w:t>10.附表10 任务信息</w:t>
      </w:r>
    </w:p>
    <w:p w14:paraId="53063D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附表10（a）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99"/>
        <w:gridCol w:w="1061"/>
        <w:gridCol w:w="1122"/>
        <w:gridCol w:w="3148"/>
      </w:tblGrid>
      <w:tr w14:paraId="593A1F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6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EC0B2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38A8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3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ECEA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5678C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5377AB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6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4A0CA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C1E9A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3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1B328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L</w:t>
            </w:r>
          </w:p>
        </w:tc>
        <w:tc>
          <w:tcPr>
            <w:tcW w:w="261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9220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122DA7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6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0FD3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99ADA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3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04F1F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M</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CCD9DB2">
            <w:pPr>
              <w:rPr>
                <w:rFonts w:hint="eastAsia" w:ascii="微软雅黑" w:hAnsi="微软雅黑" w:eastAsia="微软雅黑" w:cs="微软雅黑"/>
                <w:i w:val="0"/>
                <w:iCs w:val="0"/>
                <w:caps w:val="0"/>
                <w:color w:val="666666"/>
                <w:spacing w:val="0"/>
                <w:sz w:val="14"/>
                <w:szCs w:val="14"/>
              </w:rPr>
            </w:pPr>
          </w:p>
        </w:tc>
      </w:tr>
      <w:tr w14:paraId="698ACC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6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F5D7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88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095A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3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514F4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N</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5C33FCF">
            <w:pPr>
              <w:rPr>
                <w:rFonts w:hint="eastAsia" w:ascii="微软雅黑" w:hAnsi="微软雅黑" w:eastAsia="微软雅黑" w:cs="微软雅黑"/>
                <w:i w:val="0"/>
                <w:iCs w:val="0"/>
                <w:caps w:val="0"/>
                <w:color w:val="666666"/>
                <w:spacing w:val="0"/>
                <w:sz w:val="14"/>
                <w:szCs w:val="14"/>
              </w:rPr>
            </w:pPr>
          </w:p>
        </w:tc>
      </w:tr>
    </w:tbl>
    <w:p w14:paraId="6C8EA5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附表10（b）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89"/>
        <w:gridCol w:w="1087"/>
        <w:gridCol w:w="1100"/>
        <w:gridCol w:w="3154"/>
      </w:tblGrid>
      <w:tr w14:paraId="6CBDCD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A7FE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43FE0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9F694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3751E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51D5FF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3B19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B359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1100E7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O</w:t>
            </w:r>
          </w:p>
        </w:tc>
        <w:tc>
          <w:tcPr>
            <w:tcW w:w="261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D0A0D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62A75A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DE2D8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2EA0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565AE4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P</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E442B16">
            <w:pPr>
              <w:rPr>
                <w:rFonts w:hint="eastAsia" w:ascii="微软雅黑" w:hAnsi="微软雅黑" w:eastAsia="微软雅黑" w:cs="微软雅黑"/>
                <w:i w:val="0"/>
                <w:iCs w:val="0"/>
                <w:caps w:val="0"/>
                <w:color w:val="666666"/>
                <w:spacing w:val="0"/>
                <w:sz w:val="14"/>
                <w:szCs w:val="14"/>
              </w:rPr>
            </w:pPr>
          </w:p>
        </w:tc>
      </w:tr>
      <w:tr w14:paraId="1497C6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5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291B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ADB5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288D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Q</w:t>
            </w:r>
          </w:p>
        </w:tc>
        <w:tc>
          <w:tcPr>
            <w:tcW w:w="261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390F36E">
            <w:pPr>
              <w:rPr>
                <w:rFonts w:hint="eastAsia" w:ascii="微软雅黑" w:hAnsi="微软雅黑" w:eastAsia="微软雅黑" w:cs="微软雅黑"/>
                <w:i w:val="0"/>
                <w:iCs w:val="0"/>
                <w:caps w:val="0"/>
                <w:color w:val="666666"/>
                <w:spacing w:val="0"/>
                <w:sz w:val="14"/>
                <w:szCs w:val="14"/>
              </w:rPr>
            </w:pPr>
          </w:p>
        </w:tc>
      </w:tr>
    </w:tbl>
    <w:p w14:paraId="07D2C6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附表10（c）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77"/>
        <w:gridCol w:w="1100"/>
        <w:gridCol w:w="1087"/>
        <w:gridCol w:w="3166"/>
      </w:tblGrid>
      <w:tr w14:paraId="7A341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4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80F3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F4E8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A0DEE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72CD3E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18A733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37B9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BADC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0E0845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R</w:t>
            </w:r>
          </w:p>
        </w:tc>
        <w:tc>
          <w:tcPr>
            <w:tcW w:w="26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10C1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523EF2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EBB2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420B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6E9EE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S</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6A7132C">
            <w:pPr>
              <w:rPr>
                <w:rFonts w:hint="eastAsia" w:ascii="微软雅黑" w:hAnsi="微软雅黑" w:eastAsia="微软雅黑" w:cs="微软雅黑"/>
                <w:i w:val="0"/>
                <w:iCs w:val="0"/>
                <w:caps w:val="0"/>
                <w:color w:val="666666"/>
                <w:spacing w:val="0"/>
                <w:sz w:val="14"/>
                <w:szCs w:val="14"/>
              </w:rPr>
            </w:pPr>
          </w:p>
        </w:tc>
      </w:tr>
      <w:tr w14:paraId="423E23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29792E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A74D9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6EE1B2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T</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75C84A44">
            <w:pPr>
              <w:rPr>
                <w:rFonts w:hint="eastAsia" w:ascii="微软雅黑" w:hAnsi="微软雅黑" w:eastAsia="微软雅黑" w:cs="微软雅黑"/>
                <w:i w:val="0"/>
                <w:iCs w:val="0"/>
                <w:caps w:val="0"/>
                <w:color w:val="666666"/>
                <w:spacing w:val="0"/>
                <w:sz w:val="14"/>
                <w:szCs w:val="14"/>
              </w:rPr>
            </w:pPr>
          </w:p>
        </w:tc>
      </w:tr>
    </w:tbl>
    <w:p w14:paraId="18EBFB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15" w:lineRule="atLeast"/>
        <w:ind w:left="0" w:right="0" w:firstLine="280"/>
        <w:rPr>
          <w:rFonts w:hint="eastAsia" w:ascii="微软雅黑" w:hAnsi="微软雅黑" w:eastAsia="微软雅黑" w:cs="微软雅黑"/>
          <w:i w:val="0"/>
          <w:iCs w:val="0"/>
          <w:caps w:val="0"/>
          <w:color w:val="666666"/>
          <w:spacing w:val="0"/>
          <w:sz w:val="14"/>
          <w:szCs w:val="14"/>
        </w:rPr>
      </w:pPr>
      <w:r>
        <w:rPr>
          <w:rFonts w:hint="eastAsia" w:ascii="微软雅黑" w:hAnsi="微软雅黑" w:eastAsia="微软雅黑" w:cs="微软雅黑"/>
          <w:i w:val="0"/>
          <w:iCs w:val="0"/>
          <w:caps w:val="0"/>
          <w:color w:val="666666"/>
          <w:spacing w:val="0"/>
          <w:sz w:val="14"/>
          <w:szCs w:val="14"/>
          <w:shd w:val="clear" w:fill="FFFFFF"/>
        </w:rPr>
        <w:t>附表10（d） 任务信息</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1377"/>
        <w:gridCol w:w="1087"/>
        <w:gridCol w:w="1100"/>
        <w:gridCol w:w="3166"/>
      </w:tblGrid>
      <w:tr w14:paraId="44E26E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4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3830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晶圆盒编号</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2286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晶圆编号</w:t>
            </w:r>
          </w:p>
        </w:tc>
        <w:tc>
          <w:tcPr>
            <w:tcW w:w="91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61830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工艺路径</w:t>
            </w:r>
          </w:p>
        </w:tc>
        <w:tc>
          <w:tcPr>
            <w:tcW w:w="262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288CD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任务模式</w:t>
            </w:r>
          </w:p>
        </w:tc>
      </w:tr>
      <w:tr w14:paraId="4F9E9D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39AD5E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A5ED5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19C872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U</w:t>
            </w:r>
          </w:p>
        </w:tc>
        <w:tc>
          <w:tcPr>
            <w:tcW w:w="2620" w:type="dxa"/>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4D5E8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各晶圆盒及晶圆盒下的晶圆可并发出片</w:t>
            </w:r>
          </w:p>
        </w:tc>
      </w:tr>
      <w:tr w14:paraId="33030B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5BFA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2</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7DBC2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F117C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V</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1B7E7E5E">
            <w:pPr>
              <w:rPr>
                <w:rFonts w:hint="eastAsia" w:ascii="微软雅黑" w:hAnsi="微软雅黑" w:eastAsia="微软雅黑" w:cs="微软雅黑"/>
                <w:i w:val="0"/>
                <w:iCs w:val="0"/>
                <w:caps w:val="0"/>
                <w:color w:val="666666"/>
                <w:spacing w:val="0"/>
                <w:sz w:val="14"/>
                <w:szCs w:val="14"/>
              </w:rPr>
            </w:pPr>
          </w:p>
        </w:tc>
      </w:tr>
      <w:tr w14:paraId="3BE212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c>
          <w:tcPr>
            <w:tcW w:w="114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00D946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3</w:t>
            </w:r>
          </w:p>
        </w:tc>
        <w:tc>
          <w:tcPr>
            <w:tcW w:w="90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42E16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1-25</w:t>
            </w:r>
          </w:p>
        </w:tc>
        <w:tc>
          <w:tcPr>
            <w:tcW w:w="91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14:paraId="344ED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15" w:lineRule="atLeast"/>
              <w:ind w:left="0" w:right="0"/>
            </w:pPr>
            <w:r>
              <w:rPr>
                <w:rFonts w:hint="eastAsia" w:ascii="微软雅黑" w:hAnsi="微软雅黑" w:eastAsia="微软雅黑" w:cs="微软雅黑"/>
                <w:i w:val="0"/>
                <w:iCs w:val="0"/>
                <w:caps w:val="0"/>
                <w:color w:val="666666"/>
                <w:spacing w:val="0"/>
                <w:sz w:val="14"/>
                <w:szCs w:val="14"/>
              </w:rPr>
              <w:t>W</w:t>
            </w:r>
          </w:p>
        </w:tc>
        <w:tc>
          <w:tcPr>
            <w:tcW w:w="2620" w:type="dxa"/>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14:paraId="53A781CD">
            <w:pPr>
              <w:rPr>
                <w:rFonts w:hint="eastAsia" w:ascii="微软雅黑" w:hAnsi="微软雅黑" w:eastAsia="微软雅黑" w:cs="微软雅黑"/>
                <w:i w:val="0"/>
                <w:iCs w:val="0"/>
                <w:caps w:val="0"/>
                <w:color w:val="666666"/>
                <w:spacing w:val="0"/>
                <w:sz w:val="14"/>
                <w:szCs w:val="14"/>
              </w:rPr>
            </w:pPr>
          </w:p>
        </w:tc>
      </w:tr>
    </w:tbl>
    <w:p w14:paraId="6BB8D9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399" w:lineRule="atLeast"/>
        <w:ind w:left="0" w:right="0" w:firstLine="0"/>
        <w:rPr>
          <w:rFonts w:hint="eastAsia" w:ascii="微软雅黑" w:hAnsi="微软雅黑" w:eastAsia="微软雅黑" w:cs="微软雅黑"/>
          <w:i w:val="0"/>
          <w:iCs w:val="0"/>
          <w:caps w:val="0"/>
          <w:color w:val="666666"/>
          <w:spacing w:val="0"/>
          <w:sz w:val="14"/>
          <w:szCs w:val="14"/>
        </w:rPr>
      </w:pPr>
      <w:r>
        <w:rPr>
          <w:rStyle w:val="5"/>
          <w:rFonts w:hint="eastAsia" w:ascii="微软雅黑" w:hAnsi="微软雅黑" w:eastAsia="微软雅黑" w:cs="微软雅黑"/>
          <w:i w:val="0"/>
          <w:iCs w:val="0"/>
          <w:caps w:val="0"/>
          <w:color w:val="142DA8"/>
          <w:spacing w:val="0"/>
          <w:sz w:val="16"/>
          <w:szCs w:val="16"/>
          <w:shd w:val="clear" w:fill="FFFFFF"/>
        </w:rPr>
        <w:t>六、技术指标</w:t>
      </w:r>
    </w:p>
    <w:p w14:paraId="3EE666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15" w:lineRule="atLeast"/>
        <w:ind w:left="0" w:right="0"/>
      </w:pPr>
      <w:r>
        <w:rPr>
          <w:rStyle w:val="5"/>
          <w:color w:val="666666"/>
          <w:sz w:val="14"/>
          <w:szCs w:val="14"/>
        </w:rPr>
        <w:t>1.初赛阶段：</w:t>
      </w:r>
    </w:p>
    <w:p w14:paraId="01D9C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15" w:lineRule="atLeast"/>
        <w:ind w:left="0" w:right="0" w:firstLine="280"/>
      </w:pPr>
      <w:r>
        <w:rPr>
          <w:color w:val="666666"/>
          <w:sz w:val="14"/>
          <w:szCs w:val="14"/>
        </w:rPr>
        <w:t>满足评分标准中基础技术指标要求，即程序无异常、调度无死锁、满足调度限制。</w:t>
      </w:r>
    </w:p>
    <w:p w14:paraId="3FF85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15" w:lineRule="atLeast"/>
        <w:ind w:left="0" w:right="0" w:firstLine="0"/>
      </w:pPr>
      <w:r>
        <w:rPr>
          <w:rStyle w:val="5"/>
          <w:color w:val="666666"/>
          <w:sz w:val="14"/>
          <w:szCs w:val="14"/>
        </w:rPr>
        <w:t>2.分赛区决赛和全国总决赛阶段：</w:t>
      </w:r>
    </w:p>
    <w:p w14:paraId="0AEDBC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15" w:lineRule="atLeast"/>
        <w:ind w:left="0" w:right="0" w:firstLine="0"/>
      </w:pPr>
      <w:r>
        <w:rPr>
          <w:color w:val="666666"/>
          <w:sz w:val="14"/>
          <w:szCs w:val="14"/>
        </w:rPr>
        <w:t>（1）根据评分标准中优化指标，对参赛队伍的数据结果的优劣进行排序、评分。</w:t>
      </w:r>
    </w:p>
    <w:p w14:paraId="638E5C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15" w:lineRule="atLeast"/>
        <w:ind w:left="0" w:right="0"/>
      </w:pPr>
      <w:r>
        <w:rPr>
          <w:color w:val="666666"/>
          <w:sz w:val="14"/>
          <w:szCs w:val="14"/>
        </w:rPr>
        <w:t>（2）根据评分标准中鲁棒性指标，对参赛队伍的数据结果的优劣进行排序、评分。</w:t>
      </w:r>
    </w:p>
    <w:p w14:paraId="23B5B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p>
    <w:p w14:paraId="4B1401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rStyle w:val="5"/>
          <w:color w:val="142DA8"/>
          <w:sz w:val="16"/>
          <w:szCs w:val="16"/>
        </w:rPr>
        <w:t>七、杯赛阶段提交内容</w:t>
      </w:r>
    </w:p>
    <w:p w14:paraId="50251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1.初赛阶段：</w:t>
      </w:r>
    </w:p>
    <w:p w14:paraId="517A6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（1）调研报告</w:t>
      </w:r>
    </w:p>
    <w:p w14:paraId="31103C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根据问题调研相关资料，形成调研报告。</w:t>
      </w:r>
    </w:p>
    <w:p w14:paraId="267984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（2）技术方案</w:t>
      </w:r>
    </w:p>
    <w:p w14:paraId="4BC46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结合调研、对赛题的理解及问题要求，形成解决方案并介绍关键技术。</w:t>
      </w:r>
    </w:p>
    <w:p w14:paraId="3625B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（3）总结报告</w:t>
      </w:r>
    </w:p>
    <w:p w14:paraId="0E518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包括但不限于问题理解、数学模型、算法设计、求解结果、算法性能分析等。</w:t>
      </w:r>
    </w:p>
    <w:p w14:paraId="565D76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rStyle w:val="5"/>
          <w:color w:val="666666"/>
          <w:sz w:val="14"/>
          <w:szCs w:val="14"/>
        </w:rPr>
        <w:t>2.分赛区决赛和全国总决赛阶段：</w:t>
      </w:r>
    </w:p>
    <w:p w14:paraId="5714F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（1）技术文档和结果数据</w:t>
      </w:r>
    </w:p>
    <w:p w14:paraId="695B8E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rFonts w:ascii="微软雅黑" w:hAnsi="微软雅黑" w:eastAsia="微软雅黑" w:cs="微软雅黑"/>
          <w:color w:val="666666"/>
          <w:sz w:val="14"/>
          <w:szCs w:val="14"/>
        </w:rPr>
        <w:t>包括但不限于问题理解、数学模型、算法设计、求解结果、</w:t>
      </w:r>
      <w:r>
        <w:rPr>
          <w:rFonts w:hint="eastAsia" w:ascii="微软雅黑" w:hAnsi="微软雅黑" w:eastAsia="微软雅黑" w:cs="微软雅黑"/>
          <w:color w:val="666666"/>
          <w:sz w:val="14"/>
          <w:szCs w:val="14"/>
        </w:rPr>
        <w:t>Json数据、算法性能分析等。</w:t>
      </w:r>
    </w:p>
    <w:p w14:paraId="40C1B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（3）提供项目源代码</w:t>
      </w:r>
    </w:p>
    <w:p w14:paraId="5032F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包括程序运行的环境说明、完整的项目源代码，若引用第三方库或工具，须注明使用版本。</w:t>
      </w:r>
    </w:p>
    <w:p w14:paraId="08C08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rFonts w:hint="eastAsia" w:ascii="微软雅黑" w:hAnsi="微软雅黑" w:eastAsia="微软雅黑" w:cs="微软雅黑"/>
          <w:color w:val="666666"/>
          <w:sz w:val="14"/>
          <w:szCs w:val="14"/>
        </w:rPr>
        <w:t>（3）汇报PPT</w:t>
      </w:r>
    </w:p>
    <w:p w14:paraId="044E7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color w:val="666666"/>
          <w:sz w:val="14"/>
          <w:szCs w:val="14"/>
        </w:rPr>
        <w:t>项目介绍、关键技术介绍、技术指标、待改进项等。</w:t>
      </w:r>
    </w:p>
    <w:p w14:paraId="2E34C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p>
    <w:p w14:paraId="1B6C0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pPr>
      <w:r>
        <w:rPr>
          <w:rStyle w:val="5"/>
          <w:color w:val="142DA8"/>
          <w:sz w:val="16"/>
          <w:szCs w:val="16"/>
        </w:rPr>
        <w:t>八、评分标准</w:t>
      </w:r>
    </w:p>
    <w:tbl>
      <w:tblPr>
        <w:tblStyle w:val="3"/>
        <w:tblW w:w="673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820"/>
        <w:gridCol w:w="1256"/>
        <w:gridCol w:w="362"/>
        <w:gridCol w:w="4292"/>
      </w:tblGrid>
      <w:tr w14:paraId="3FC896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tcBorders>
              <w:top w:val="single" w:color="000000" w:sz="4" w:space="0"/>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147D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大项</w:t>
            </w:r>
          </w:p>
        </w:tc>
        <w:tc>
          <w:tcPr>
            <w:tcW w:w="1885" w:type="dxa"/>
            <w:tcBorders>
              <w:top w:val="single" w:color="000000" w:sz="4" w:space="0"/>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1B51E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内容</w:t>
            </w:r>
          </w:p>
        </w:tc>
        <w:tc>
          <w:tcPr>
            <w:tcW w:w="413" w:type="dxa"/>
            <w:tcBorders>
              <w:top w:val="single" w:color="000000" w:sz="4" w:space="0"/>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0EF89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分值</w:t>
            </w:r>
          </w:p>
        </w:tc>
        <w:tc>
          <w:tcPr>
            <w:tcW w:w="6667" w:type="dxa"/>
            <w:tcBorders>
              <w:top w:val="single" w:color="000000" w:sz="4" w:space="0"/>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4FCD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评分要求</w:t>
            </w:r>
          </w:p>
        </w:tc>
      </w:tr>
      <w:tr w14:paraId="0F3B38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restart"/>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753C9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基础技术指标</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79774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程序无异常</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B4162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10分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29792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程序正常执行且求解结果与文档中一致；输出结果格式符合要求。</w:t>
            </w:r>
          </w:p>
        </w:tc>
      </w:tr>
      <w:tr w14:paraId="46FE06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continue"/>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28419FB8">
            <w:pPr>
              <w:rPr>
                <w:rFonts w:hint="eastAsia" w:ascii="宋体"/>
                <w:sz w:val="24"/>
                <w:szCs w:val="24"/>
              </w:rPr>
            </w:pP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0B12D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调度无死锁</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E0D6D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10分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571ED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调度结果无死锁发生。</w:t>
            </w:r>
          </w:p>
        </w:tc>
      </w:tr>
      <w:tr w14:paraId="1025DC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continue"/>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5A854F0">
            <w:pPr>
              <w:rPr>
                <w:rFonts w:hint="eastAsia" w:ascii="宋体"/>
                <w:sz w:val="24"/>
                <w:szCs w:val="24"/>
              </w:rPr>
            </w:pP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64DA6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满足调度限制</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2C34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15分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399E4E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rFonts w:hint="eastAsia" w:ascii="微软雅黑" w:hAnsi="微软雅黑" w:eastAsia="微软雅黑" w:cs="微软雅黑"/>
                <w:sz w:val="14"/>
                <w:szCs w:val="14"/>
              </w:rPr>
              <w:t>调度结果满足所有调度限制。其中“Just in Time”限制分值为7分，其余限制指标为2分。</w:t>
            </w:r>
          </w:p>
        </w:tc>
      </w:tr>
      <w:tr w14:paraId="622124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restart"/>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9B95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优化指标</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E972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计算时间</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6B37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10分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657A4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满足需求前提下，算法计算时间越短越优。</w:t>
            </w:r>
          </w:p>
        </w:tc>
      </w:tr>
      <w:tr w14:paraId="390BC8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continue"/>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91CB950">
            <w:pPr>
              <w:rPr>
                <w:rFonts w:hint="eastAsia" w:ascii="宋体"/>
                <w:sz w:val="24"/>
                <w:szCs w:val="24"/>
              </w:rPr>
            </w:pP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E3617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产能结果</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4142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15分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0738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满足需求前提下，调度结果的完工时间越短越优。</w:t>
            </w:r>
          </w:p>
        </w:tc>
      </w:tr>
      <w:tr w14:paraId="3CFA5F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restart"/>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5F4EF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鲁棒性指标</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0BBE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自适应调优效率</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89B3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10分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294DE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综合考虑自适应调优所需的时间、步骤及方案复杂度，所需时间越短、步骤越少、复杂度越低越优。</w:t>
            </w:r>
          </w:p>
        </w:tc>
      </w:tr>
      <w:tr w14:paraId="16FBB5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vMerge w:val="continue"/>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C154A85">
            <w:pPr>
              <w:rPr>
                <w:rFonts w:hint="eastAsia" w:ascii="宋体"/>
                <w:sz w:val="24"/>
                <w:szCs w:val="24"/>
              </w:rPr>
            </w:pP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6A385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自适应调优适用性</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4C4E31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20分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33A35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rFonts w:hint="eastAsia" w:ascii="微软雅黑" w:hAnsi="微软雅黑" w:eastAsia="微软雅黑" w:cs="微软雅黑"/>
                <w:sz w:val="14"/>
                <w:szCs w:val="14"/>
              </w:rPr>
              <w:t>基于任务2，在自适应调优后，基础技术指标与优化指标数据表现越好越优。</w:t>
            </w:r>
          </w:p>
        </w:tc>
      </w:tr>
      <w:tr w14:paraId="5AF078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7B382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文档以及现场演讲展示</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0BB0E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rFonts w:hint="eastAsia" w:ascii="微软雅黑" w:hAnsi="微软雅黑" w:eastAsia="微软雅黑" w:cs="微软雅黑"/>
                <w:sz w:val="14"/>
                <w:szCs w:val="14"/>
              </w:rPr>
              <w:t>文档/讲解质量</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7B48C5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5分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DFCF0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所有要求文档是否提交</w:t>
            </w:r>
          </w:p>
          <w:p w14:paraId="12994F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文档是否规范清晰</w:t>
            </w:r>
          </w:p>
          <w:p w14:paraId="0541C9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现场演讲和演示是否清楚准确</w:t>
            </w:r>
          </w:p>
        </w:tc>
      </w:tr>
      <w:tr w14:paraId="0D43E1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D38D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创新性</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2CCA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项目在技术或创意上的创新</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0E43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3分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393C1F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评审主观打分</w:t>
            </w:r>
          </w:p>
        </w:tc>
      </w:tr>
      <w:tr w14:paraId="3BD592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1170"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2D04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团队协作</w:t>
            </w:r>
          </w:p>
        </w:tc>
        <w:tc>
          <w:tcPr>
            <w:tcW w:w="1885"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60A14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团队分工合理性</w:t>
            </w:r>
          </w:p>
        </w:tc>
        <w:tc>
          <w:tcPr>
            <w:tcW w:w="413"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5489A0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pPr>
            <w:r>
              <w:rPr>
                <w:sz w:val="14"/>
                <w:szCs w:val="14"/>
              </w:rPr>
              <w:t>2分</w:t>
            </w:r>
          </w:p>
        </w:tc>
        <w:tc>
          <w:tcPr>
            <w:tcW w:w="6667" w:type="dxa"/>
            <w:tcBorders>
              <w:top w:val="nil"/>
              <w:left w:val="single" w:color="000000" w:sz="4" w:space="0"/>
              <w:bottom w:val="single" w:color="000000" w:sz="4" w:space="0"/>
              <w:right w:val="single" w:color="000000" w:sz="4" w:space="0"/>
            </w:tcBorders>
            <w:shd w:val="clear" w:color="auto" w:fill="auto"/>
            <w:tcMar>
              <w:top w:w="0" w:type="dxa"/>
              <w:left w:w="70" w:type="dxa"/>
              <w:bottom w:w="0" w:type="dxa"/>
              <w:right w:w="70" w:type="dxa"/>
            </w:tcMar>
            <w:vAlign w:val="center"/>
          </w:tcPr>
          <w:p w14:paraId="13AE4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399" w:lineRule="atLeast"/>
              <w:ind w:left="0" w:right="0"/>
              <w:rPr>
                <w:rFonts w:hint="eastAsia" w:eastAsiaTheme="minorEastAsia"/>
                <w:lang w:eastAsia="zh-CN"/>
              </w:rPr>
            </w:pPr>
            <w:r>
              <w:rPr>
                <w:sz w:val="14"/>
                <w:szCs w:val="14"/>
              </w:rPr>
              <w:t>团队成员是否合理分工，是否都有贡献</w:t>
            </w:r>
            <w:r>
              <w:rPr>
                <w:rFonts w:hint="eastAsia"/>
                <w:sz w:val="14"/>
                <w:szCs w:val="14"/>
                <w:lang w:eastAsia="zh-CN"/>
              </w:rPr>
              <w:t>（</w:t>
            </w:r>
            <w:r>
              <w:rPr>
                <w:rFonts w:hint="eastAsia"/>
                <w:sz w:val="14"/>
                <w:szCs w:val="14"/>
                <w:lang w:val="en-US" w:eastAsia="zh-CN"/>
              </w:rPr>
              <w:t>数学建模，控制死锁，调度优化</w:t>
            </w:r>
            <w:r>
              <w:rPr>
                <w:rFonts w:hint="eastAsia"/>
                <w:sz w:val="14"/>
                <w:szCs w:val="14"/>
                <w:lang w:eastAsia="zh-CN"/>
              </w:rPr>
              <w:t>）</w:t>
            </w:r>
          </w:p>
        </w:tc>
      </w:tr>
    </w:tbl>
    <w:p w14:paraId="42E97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rPr>
          <w:rStyle w:val="5"/>
          <w:rFonts w:hint="default" w:eastAsiaTheme="minorEastAsia"/>
          <w:color w:val="142DA8"/>
          <w:sz w:val="16"/>
          <w:szCs w:val="16"/>
          <w:lang w:val="en-US" w:eastAsia="zh-CN"/>
        </w:rPr>
      </w:pPr>
      <w:r>
        <w:rPr>
          <w:rStyle w:val="5"/>
          <w:rFonts w:hint="eastAsia"/>
          <w:color w:val="142DA8"/>
          <w:sz w:val="16"/>
          <w:szCs w:val="16"/>
          <w:lang w:val="en-US" w:eastAsia="zh-CN"/>
        </w:rPr>
        <w:t>技术描述的详细一些，建议用清晰的图表展示结果，提高结果可读性</w:t>
      </w:r>
    </w:p>
    <w:p w14:paraId="394DC8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0" w:right="0"/>
        <w:rPr>
          <w:sz w:val="14"/>
          <w:szCs w:val="14"/>
        </w:rPr>
      </w:pPr>
      <w:r>
        <w:rPr>
          <w:rStyle w:val="5"/>
          <w:color w:val="142DA8"/>
          <w:sz w:val="16"/>
          <w:szCs w:val="16"/>
        </w:rPr>
        <w:t>九、其他说明</w:t>
      </w:r>
    </w:p>
    <w:p w14:paraId="64303E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720" w:right="0"/>
        <w:rPr>
          <w:sz w:val="14"/>
          <w:szCs w:val="14"/>
        </w:rPr>
      </w:pPr>
      <w:r>
        <w:rPr>
          <w:rStyle w:val="5"/>
          <w:rFonts w:hint="eastAsia"/>
          <w:color w:val="666666"/>
          <w:sz w:val="14"/>
          <w:szCs w:val="14"/>
          <w:lang w:val="en-US" w:eastAsia="zh-CN"/>
        </w:rPr>
        <w:t>1、</w:t>
      </w:r>
      <w:r>
        <w:rPr>
          <w:rStyle w:val="5"/>
          <w:color w:val="666666"/>
          <w:sz w:val="14"/>
          <w:szCs w:val="14"/>
        </w:rPr>
        <w:t>参加企业命题杯赛的作品，杯赛出题企业有权在同等条件下优先购买参加本企业杯赛及单项奖获奖团队作品的知识产权。</w:t>
      </w:r>
    </w:p>
    <w:p w14:paraId="5947D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720" w:right="0"/>
        <w:rPr>
          <w:sz w:val="14"/>
          <w:szCs w:val="14"/>
        </w:rPr>
      </w:pPr>
      <w:r>
        <w:rPr>
          <w:rStyle w:val="5"/>
          <w:rFonts w:hint="eastAsia"/>
          <w:color w:val="666666"/>
          <w:sz w:val="14"/>
          <w:szCs w:val="14"/>
          <w:lang w:val="en-US" w:eastAsia="zh-CN"/>
        </w:rPr>
        <w:t>2、</w:t>
      </w:r>
      <w:r>
        <w:rPr>
          <w:rStyle w:val="5"/>
          <w:color w:val="666666"/>
          <w:sz w:val="14"/>
          <w:szCs w:val="14"/>
        </w:rPr>
        <w:t>大赛组委会和杯赛企业对参赛作品提交的材料，在大赛相关环节中有使用权和展示权。</w:t>
      </w:r>
    </w:p>
    <w:p w14:paraId="0CECE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2" w:afterAutospacing="0" w:line="399" w:lineRule="atLeast"/>
        <w:ind w:left="720" w:right="0"/>
      </w:pPr>
      <w:r>
        <w:rPr>
          <w:rStyle w:val="5"/>
          <w:rFonts w:hint="eastAsia" w:ascii="微软雅黑" w:hAnsi="微软雅黑" w:eastAsia="微软雅黑" w:cs="微软雅黑"/>
          <w:color w:val="666666"/>
          <w:sz w:val="14"/>
          <w:szCs w:val="14"/>
          <w:lang w:val="en-US" w:eastAsia="zh-CN"/>
        </w:rPr>
        <w:t>3、</w:t>
      </w:r>
      <w:r>
        <w:rPr>
          <w:rStyle w:val="5"/>
          <w:rFonts w:hint="eastAsia" w:ascii="微软雅黑" w:hAnsi="微软雅黑" w:eastAsia="微软雅黑" w:cs="微软雅黑"/>
          <w:color w:val="666666"/>
          <w:sz w:val="14"/>
          <w:szCs w:val="14"/>
        </w:rPr>
        <w:t>参赛项目可以参考现有公开发表的文献和论文内容，但应当在技术论文和答辩PPT中注明来源，且不能将参考的内容作为自己作品的创新部分。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E7F3E0"/>
    <w:multiLevelType w:val="singleLevel"/>
    <w:tmpl w:val="F2E7F3E0"/>
    <w:lvl w:ilvl="0" w:tentative="0">
      <w:start w:val="1"/>
      <w:numFmt w:val="bullet"/>
      <w:lvlText w:val=""/>
      <w:lvlJc w:val="left"/>
      <w:pPr>
        <w:ind w:left="420" w:hanging="420"/>
      </w:pPr>
      <w:rPr>
        <w:rFonts w:hint="default" w:ascii="Wingdings" w:hAnsi="Wingdings"/>
      </w:rPr>
    </w:lvl>
  </w:abstractNum>
  <w:abstractNum w:abstractNumId="1">
    <w:nsid w:val="41C42F23"/>
    <w:multiLevelType w:val="singleLevel"/>
    <w:tmpl w:val="41C42F23"/>
    <w:lvl w:ilvl="0" w:tentative="0">
      <w:start w:val="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86EC9"/>
    <w:rsid w:val="013C07CF"/>
    <w:rsid w:val="02F019DF"/>
    <w:rsid w:val="12891287"/>
    <w:rsid w:val="15D8055B"/>
    <w:rsid w:val="2AB07830"/>
    <w:rsid w:val="4E586EC9"/>
    <w:rsid w:val="676A024E"/>
    <w:rsid w:val="691602F4"/>
    <w:rsid w:val="6AAF3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4822</Words>
  <Characters>6944</Characters>
  <Lines>0</Lines>
  <Paragraphs>0</Paragraphs>
  <TotalTime>3435</TotalTime>
  <ScaleCrop>false</ScaleCrop>
  <LinksUpToDate>false</LinksUpToDate>
  <CharactersWithSpaces>7299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2025-04-05T04:51:00Z</dcterms:created>
  <dc:creator>郝歆宜</dc:creator>
  <cp:lastModifiedBy>郝歆宜</cp:lastModifiedBy>
  <dcterms:modified xsi:type="dcterms:W3CDTF">2025-07-16T13:51:24Z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B1ED6295A1C840D89927876448AC7912_11</vt:lpwstr>
  </property>
  <property fmtid="{D5CDD505-2E9C-101B-9397-08002B2CF9AE}" pid="4" name="KSOTemplateDocerSaveRecord">
    <vt:lpwstr>eyJoZGlkIjoiOTE1OWFkNmYxNjU5MjJkMGUxMDM3MGU2NmRiYTBiMjciLCJ1c2VySWQiOiI4NTU1MDQ4MTkifQ==</vt:lpwstr>
  </property>
</Properties>
</file>