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rFonts w:ascii="微软雅黑" w:hAnsi="微软雅黑"/>
        </w:rPr>
      </w:pPr>
    </w:p>
    <w:p>
      <w:pPr>
        <w:pStyle w:val="style0"/>
        <w:spacing w:lineRule="auto" w:line="360"/>
        <w:rPr>
          <w:rFonts w:ascii="微软雅黑" w:hAnsi="微软雅黑"/>
        </w:rPr>
      </w:pPr>
    </w:p>
    <w:tbl>
      <w:tblPr>
        <w:tblpPr w:leftFromText="187" w:rightFromText="187" w:topFromText="0" w:bottomFromText="0" w:horzAnchor="margin" w:tblpXSpec="center" w:tblpY="2881"/>
        <w:tblW w:w="7167" w:type="dxa"/>
        <w:tblLayout w:type="fixed"/>
        <w:tblCellMar>
          <w:left w:w="144" w:type="dxa"/>
          <w:right w:w="115" w:type="dxa"/>
        </w:tblCellMar>
        <w:tblLook w:val="04A0" w:firstRow="1" w:lastRow="0" w:firstColumn="1" w:lastColumn="0" w:noHBand="0" w:noVBand="1"/>
      </w:tblPr>
      <w:tblGrid>
        <w:gridCol w:w="7167"/>
      </w:tblGrid>
      <w:tr>
        <w:trPr/>
        <w:tc>
          <w:tcPr>
            <w:tcW w:w="7167" w:type="dxa"/>
            <w:tcBorders/>
            <w:tcMar>
              <w:top w:w="216" w:type="dxa"/>
              <w:left w:w="115" w:type="dxa"/>
              <w:bottom w:w="216" w:type="dxa"/>
              <w:right w:w="115" w:type="dxa"/>
            </w:tcMar>
          </w:tcPr>
          <w:p>
            <w:pPr>
              <w:pStyle w:val="style157"/>
              <w:spacing w:lineRule="auto" w:line="360"/>
              <w:jc w:val="center"/>
              <w:rPr>
                <w:rFonts w:ascii="微软雅黑" w:hAnsi="微软雅黑"/>
                <w:b/>
                <w:color w:val="306785"/>
                <w:sz w:val="40"/>
              </w:rPr>
            </w:pPr>
          </w:p>
        </w:tc>
      </w:tr>
      <w:tr>
        <w:tblPrEx/>
        <w:trPr/>
        <w:tc>
          <w:tcPr>
            <w:tcW w:w="7167" w:type="dxa"/>
            <w:tcBorders/>
          </w:tcPr>
          <w:p>
            <w:pPr>
              <w:pStyle w:val="style157"/>
              <w:spacing w:lineRule="auto" w:line="360"/>
              <w:jc w:val="center"/>
              <w:rPr>
                <w:rFonts w:ascii="微软雅黑" w:cs="宋体" w:hAnsi="微软雅黑"/>
                <w:b/>
                <w:color w:val="5e5e5e"/>
                <w:sz w:val="40"/>
                <w:szCs w:val="88"/>
              </w:rPr>
            </w:pPr>
            <w:r>
              <w:rPr>
                <w:rFonts w:ascii="微软雅黑" w:cs="宋体" w:hAnsi="微软雅黑" w:hint="eastAsia"/>
                <w:b/>
                <w:color w:val="5e5e5e"/>
                <w:sz w:val="44"/>
                <w:szCs w:val="88"/>
              </w:rPr>
              <w:t>医疗设备</w:t>
            </w:r>
            <w:r>
              <w:rPr>
                <w:rFonts w:ascii="微软雅黑" w:cs="宋体" w:hAnsi="微软雅黑"/>
                <w:b/>
                <w:color w:val="5e5e5e"/>
                <w:sz w:val="44"/>
                <w:szCs w:val="88"/>
              </w:rPr>
              <w:t>信息化管理</w:t>
            </w:r>
            <w:r>
              <w:rPr>
                <w:rFonts w:ascii="微软雅黑" w:cs="宋体" w:hAnsi="微软雅黑" w:hint="eastAsia"/>
                <w:b/>
                <w:color w:val="5e5e5e"/>
                <w:sz w:val="44"/>
                <w:szCs w:val="88"/>
              </w:rPr>
              <w:t>平台</w:t>
            </w:r>
          </w:p>
        </w:tc>
      </w:tr>
      <w:tr>
        <w:tblPrEx/>
        <w:trPr/>
        <w:tc>
          <w:tcPr>
            <w:tcW w:w="7167" w:type="dxa"/>
            <w:tcBorders/>
            <w:tcMar>
              <w:top w:w="216" w:type="dxa"/>
              <w:left w:w="115" w:type="dxa"/>
              <w:bottom w:w="216" w:type="dxa"/>
              <w:right w:w="115" w:type="dxa"/>
            </w:tcMar>
          </w:tcPr>
          <w:p>
            <w:pPr>
              <w:pStyle w:val="style157"/>
              <w:spacing w:lineRule="auto" w:line="360"/>
              <w:jc w:val="center"/>
              <w:rPr>
                <w:rFonts w:ascii="微软雅黑" w:hAnsi="微软雅黑"/>
                <w:b/>
                <w:color w:val="5e5e5e"/>
                <w:sz w:val="40"/>
              </w:rPr>
            </w:pPr>
            <w:r>
              <w:rPr>
                <w:rFonts w:ascii="微软雅黑" w:hAnsi="微软雅黑" w:hint="eastAsia"/>
                <w:b/>
                <w:color w:val="5e5e5e"/>
                <w:sz w:val="36"/>
                <w:szCs w:val="24"/>
              </w:rPr>
              <w:t>项目方案</w:t>
            </w:r>
          </w:p>
        </w:tc>
      </w:tr>
    </w:tbl>
    <w:p/>
    <w:tbl>
      <w:tblPr>
        <w:tblpPr w:leftFromText="187" w:rightFromText="187" w:topFromText="0" w:bottomFromText="0" w:vertAnchor="page" w:horzAnchor="page" w:tblpX="2861" w:tblpY="12673"/>
        <w:tblW w:w="6585" w:type="dxa"/>
        <w:tblLayout w:type="fixed"/>
        <w:tblLook w:val="04A0" w:firstRow="1" w:lastRow="0" w:firstColumn="1" w:lastColumn="0" w:noHBand="0" w:noVBand="1"/>
      </w:tblPr>
      <w:tblGrid>
        <w:gridCol w:w="6585"/>
      </w:tblGrid>
      <w:tr>
        <w:trPr/>
        <w:tc>
          <w:tcPr>
            <w:tcW w:w="6585" w:type="dxa"/>
            <w:tcBorders/>
            <w:tcMar>
              <w:top w:w="216" w:type="dxa"/>
              <w:left w:w="115" w:type="dxa"/>
              <w:bottom w:w="216" w:type="dxa"/>
              <w:right w:w="115" w:type="dxa"/>
            </w:tcMar>
          </w:tcPr>
          <w:p>
            <w:pPr>
              <w:pStyle w:val="style157"/>
              <w:spacing w:lineRule="auto" w:line="360"/>
              <w:jc w:val="center"/>
              <w:rPr>
                <w:rFonts w:ascii="微软雅黑" w:hAnsi="微软雅黑"/>
                <w:color w:val="5e5e5e"/>
                <w:sz w:val="32"/>
                <w:szCs w:val="28"/>
              </w:rPr>
            </w:pPr>
            <w:r>
              <w:rPr>
                <w:rFonts w:ascii="微软雅黑" w:hAnsi="微软雅黑" w:hint="eastAsia"/>
                <w:color w:val="5e5e5e"/>
                <w:sz w:val="32"/>
                <w:szCs w:val="28"/>
              </w:rPr>
              <w:t>lenovo</w:t>
            </w:r>
          </w:p>
          <w:p>
            <w:pPr>
              <w:pStyle w:val="style157"/>
              <w:spacing w:lineRule="auto" w:line="360"/>
              <w:jc w:val="center"/>
              <w:rPr>
                <w:rFonts w:ascii="微软雅黑" w:hAnsi="微软雅黑"/>
                <w:color w:val="5e5e5e"/>
                <w:sz w:val="28"/>
                <w:szCs w:val="28"/>
              </w:rPr>
            </w:pPr>
            <w:r>
              <w:rPr>
                <w:rFonts w:ascii="微软雅黑" w:hAnsi="微软雅黑"/>
                <w:color w:val="5e5e5e"/>
                <w:sz w:val="28"/>
                <w:szCs w:val="28"/>
              </w:rPr>
              <w:t>2017-</w:t>
            </w:r>
            <w:r>
              <w:rPr>
                <w:rFonts w:ascii="微软雅黑" w:hAnsi="微软雅黑" w:hint="eastAsia"/>
                <w:color w:val="5e5e5e"/>
                <w:sz w:val="28"/>
                <w:szCs w:val="28"/>
              </w:rPr>
              <w:t>12</w:t>
            </w:r>
            <w:r>
              <w:rPr>
                <w:rFonts w:ascii="微软雅黑" w:hAnsi="微软雅黑"/>
                <w:color w:val="5e5e5e"/>
                <w:sz w:val="28"/>
                <w:szCs w:val="28"/>
              </w:rPr>
              <w:t>-</w:t>
            </w:r>
            <w:r>
              <w:rPr>
                <w:rFonts w:ascii="微软雅黑" w:hAnsi="微软雅黑" w:hint="eastAsia"/>
                <w:color w:val="5e5e5e"/>
                <w:sz w:val="28"/>
                <w:szCs w:val="28"/>
              </w:rPr>
              <w:t>17</w:t>
            </w:r>
          </w:p>
          <w:p>
            <w:pPr>
              <w:pStyle w:val="style157"/>
              <w:spacing w:lineRule="auto" w:line="360"/>
              <w:rPr>
                <w:rFonts w:ascii="微软雅黑" w:hAnsi="微软雅黑"/>
                <w:b/>
                <w:color w:val="5e5e5e"/>
                <w:sz w:val="32"/>
              </w:rPr>
            </w:pPr>
          </w:p>
        </w:tc>
      </w:tr>
    </w:tbl>
    <w:p>
      <w:pPr>
        <w:pStyle w:val="style0"/>
        <w:widowControl/>
        <w:spacing w:lineRule="auto" w:line="360"/>
        <w:jc w:val="left"/>
        <w:rPr>
          <w:rFonts w:ascii="微软雅黑" w:cs="宋体" w:hAnsi="微软雅黑"/>
          <w:caps/>
          <w:color w:val="5e5e5e"/>
          <w:kern w:val="0"/>
          <w:sz w:val="72"/>
          <w:szCs w:val="72"/>
        </w:rPr>
      </w:pPr>
      <w:r>
        <w:rPr>
          <w:rFonts w:ascii="微软雅黑" w:cs="宋体" w:hAnsi="微软雅黑"/>
          <w:caps/>
          <w:color w:val="5e5e5e"/>
          <w:kern w:val="0"/>
          <w:sz w:val="72"/>
          <w:szCs w:val="72"/>
        </w:rPr>
        <w:br w:type="page"/>
      </w:r>
    </w:p>
    <w:p>
      <w:pPr>
        <w:pStyle w:val="style4101"/>
        <w:spacing w:lineRule="auto" w:line="360"/>
        <w:jc w:val="center"/>
        <w:rPr>
          <w:rFonts w:ascii="微软雅黑" w:eastAsia="微软雅黑" w:hAnsi="微软雅黑"/>
          <w:b/>
          <w:lang w:val="zh-CN"/>
        </w:rPr>
      </w:pPr>
      <w:r>
        <w:rPr>
          <w:rFonts w:ascii="微软雅黑" w:eastAsia="微软雅黑" w:hAnsi="微软雅黑"/>
          <w:b/>
          <w:lang w:val="zh-CN"/>
        </w:rPr>
        <w:t>目</w:t>
      </w:r>
      <w:r>
        <w:rPr>
          <w:rFonts w:ascii="微软雅黑" w:eastAsia="微软雅黑" w:hAnsi="微软雅黑"/>
          <w:b/>
          <w:lang w:val="zh-CN"/>
        </w:rPr>
        <w:t xml:space="preserve">    </w:t>
      </w:r>
      <w:r>
        <w:rPr>
          <w:rFonts w:ascii="微软雅黑" w:eastAsia="微软雅黑" w:hAnsi="微软雅黑"/>
          <w:b/>
          <w:lang w:val="zh-CN"/>
        </w:rPr>
        <w:t>录</w:t>
      </w:r>
    </w:p>
    <w:p>
      <w:pPr>
        <w:pStyle w:val="style0"/>
        <w:rPr>
          <w:sz w:val="20"/>
        </w:rPr>
      </w:pPr>
    </w:p>
    <w:p>
      <w:pPr>
        <w:pStyle w:val="style19"/>
        <w:tabs>
          <w:tab w:val="left" w:leader="none" w:pos="420"/>
          <w:tab w:val="right" w:leader="dot" w:pos="8296"/>
        </w:tabs>
        <w:rPr/>
      </w:pPr>
      <w:r>
        <w:rPr>
          <w:rFonts w:ascii="微软雅黑" w:hAnsi="微软雅黑"/>
          <w:sz w:val="16"/>
          <w:szCs w:val="18"/>
        </w:rPr>
        <w:fldChar w:fldCharType="begin"/>
      </w:r>
      <w:r>
        <w:rPr>
          <w:rFonts w:ascii="微软雅黑" w:hAnsi="微软雅黑"/>
          <w:sz w:val="16"/>
          <w:szCs w:val="18"/>
        </w:rPr>
        <w:instrText xml:space="preserve"> TOC \o "1-3" \h \z \u </w:instrText>
      </w:r>
      <w:r>
        <w:rPr>
          <w:rFonts w:ascii="微软雅黑" w:hAnsi="微软雅黑"/>
          <w:sz w:val="16"/>
          <w:szCs w:val="18"/>
        </w:rPr>
        <w:fldChar w:fldCharType="separate"/>
      </w:r>
      <w:r>
        <w:rPr/>
        <w:fldChar w:fldCharType="begin"/>
      </w:r>
      <w:r>
        <w:instrText xml:space="preserve"> HYPERLINK \l "_Toc487642438" </w:instrText>
      </w:r>
      <w:r>
        <w:rPr/>
        <w:fldChar w:fldCharType="separate"/>
      </w:r>
      <w:r>
        <w:rPr>
          <w:rStyle w:val="style85"/>
          <w:rFonts w:ascii="Cambria" w:hAnsi="Cambria"/>
        </w:rPr>
        <w:t>1.</w:t>
      </w:r>
      <w:r>
        <w:tab/>
      </w:r>
      <w:r>
        <w:rPr>
          <w:rStyle w:val="style85"/>
          <w:rFonts w:ascii="微软雅黑" w:hAnsi="微软雅黑" w:hint="eastAsia"/>
        </w:rPr>
        <w:t>项目背景</w:t>
      </w:r>
      <w:r>
        <w:tab/>
      </w:r>
      <w:r>
        <w:rPr/>
        <w:fldChar w:fldCharType="begin"/>
      </w:r>
      <w:r>
        <w:instrText xml:space="preserve"> PAGEREF _Toc487642438 \h </w:instrText>
      </w:r>
      <w:r>
        <w:rPr/>
        <w:fldChar w:fldCharType="separate"/>
      </w:r>
      <w:r>
        <w:t>2</w:t>
      </w:r>
      <w:r>
        <w:rPr/>
        <w:fldChar w:fldCharType="end"/>
      </w:r>
      <w:r>
        <w:rPr/>
        <w:fldChar w:fldCharType="end"/>
      </w:r>
    </w:p>
    <w:p>
      <w:pPr>
        <w:pStyle w:val="style20"/>
        <w:rPr/>
      </w:pPr>
      <w:r>
        <w:rPr/>
        <w:fldChar w:fldCharType="begin"/>
      </w:r>
      <w:r>
        <w:instrText xml:space="preserve"> HYPERLINK \l "_Toc487642439" </w:instrText>
      </w:r>
      <w:r>
        <w:rPr/>
        <w:fldChar w:fldCharType="separate"/>
      </w:r>
      <w:r>
        <w:rPr>
          <w:rStyle w:val="style85"/>
        </w:rPr>
        <w:t>1.1.</w:t>
      </w:r>
      <w:r>
        <w:tab/>
      </w:r>
      <w:r>
        <w:rPr>
          <w:rStyle w:val="style85"/>
          <w:rFonts w:ascii="微软雅黑" w:hAnsi="微软雅黑" w:hint="eastAsia"/>
        </w:rPr>
        <w:t>政府政策法规要求</w:t>
      </w:r>
      <w:r>
        <w:tab/>
      </w:r>
      <w:r>
        <w:rPr/>
        <w:fldChar w:fldCharType="begin"/>
      </w:r>
      <w:r>
        <w:instrText xml:space="preserve"> PAGEREF _Toc487642439 \h </w:instrText>
      </w:r>
      <w:r>
        <w:rPr/>
        <w:fldChar w:fldCharType="separate"/>
      </w:r>
      <w:r>
        <w:t>2</w:t>
      </w:r>
      <w:r>
        <w:rPr/>
        <w:fldChar w:fldCharType="end"/>
      </w:r>
      <w:r>
        <w:rPr/>
        <w:fldChar w:fldCharType="end"/>
      </w:r>
    </w:p>
    <w:p>
      <w:pPr>
        <w:pStyle w:val="style20"/>
        <w:rPr/>
      </w:pPr>
      <w:r>
        <w:rPr/>
        <w:fldChar w:fldCharType="begin"/>
      </w:r>
      <w:r>
        <w:instrText xml:space="preserve"> HYPERLINK \l "_Toc487642440" </w:instrText>
      </w:r>
      <w:r>
        <w:rPr/>
        <w:fldChar w:fldCharType="separate"/>
      </w:r>
      <w:r>
        <w:rPr>
          <w:rStyle w:val="style85"/>
        </w:rPr>
        <w:t>1.2.</w:t>
      </w:r>
      <w:r>
        <w:tab/>
      </w:r>
      <w:r>
        <w:rPr>
          <w:rStyle w:val="style85"/>
          <w:rFonts w:ascii="微软雅黑" w:hAnsi="微软雅黑" w:hint="eastAsia"/>
        </w:rPr>
        <w:t>医院医疗设备管理的痛点</w:t>
      </w:r>
      <w:r>
        <w:tab/>
      </w:r>
      <w:r>
        <w:rPr/>
        <w:fldChar w:fldCharType="begin"/>
      </w:r>
      <w:r>
        <w:instrText xml:space="preserve"> PAGEREF _Toc487642440 \h </w:instrText>
      </w:r>
      <w:r>
        <w:rPr/>
        <w:fldChar w:fldCharType="separate"/>
      </w:r>
      <w:r>
        <w:t>3</w:t>
      </w:r>
      <w:r>
        <w:rPr/>
        <w:fldChar w:fldCharType="end"/>
      </w:r>
      <w:r>
        <w:rPr/>
        <w:fldChar w:fldCharType="end"/>
      </w:r>
    </w:p>
    <w:p>
      <w:pPr>
        <w:pStyle w:val="style19"/>
        <w:tabs>
          <w:tab w:val="left" w:leader="none" w:pos="420"/>
          <w:tab w:val="right" w:leader="dot" w:pos="8296"/>
        </w:tabs>
        <w:rPr/>
      </w:pPr>
      <w:r>
        <w:rPr/>
        <w:fldChar w:fldCharType="begin"/>
      </w:r>
      <w:r>
        <w:instrText xml:space="preserve"> HYPERLINK \l "_Toc487642441" </w:instrText>
      </w:r>
      <w:r>
        <w:rPr/>
        <w:fldChar w:fldCharType="separate"/>
      </w:r>
      <w:r>
        <w:rPr>
          <w:rStyle w:val="style85"/>
          <w:rFonts w:ascii="Cambria" w:hAnsi="Cambria"/>
        </w:rPr>
        <w:t>2.</w:t>
      </w:r>
      <w:r>
        <w:tab/>
      </w:r>
      <w:r>
        <w:rPr>
          <w:rStyle w:val="style85"/>
          <w:rFonts w:ascii="微软雅黑" w:hAnsi="微软雅黑" w:hint="eastAsia"/>
        </w:rPr>
        <w:t>项目策划</w:t>
      </w:r>
      <w:r>
        <w:tab/>
      </w:r>
      <w:r>
        <w:rPr/>
        <w:fldChar w:fldCharType="begin"/>
      </w:r>
      <w:r>
        <w:instrText xml:space="preserve"> PAGEREF _Toc487642441 \h </w:instrText>
      </w:r>
      <w:r>
        <w:rPr/>
        <w:fldChar w:fldCharType="separate"/>
      </w:r>
      <w:r>
        <w:t>5</w:t>
      </w:r>
      <w:r>
        <w:rPr/>
        <w:fldChar w:fldCharType="end"/>
      </w:r>
      <w:r>
        <w:rPr/>
        <w:fldChar w:fldCharType="end"/>
      </w:r>
    </w:p>
    <w:p>
      <w:pPr>
        <w:pStyle w:val="style19"/>
        <w:tabs>
          <w:tab w:val="left" w:leader="none" w:pos="420"/>
          <w:tab w:val="right" w:leader="dot" w:pos="8296"/>
        </w:tabs>
        <w:rPr/>
      </w:pPr>
      <w:r>
        <w:rPr/>
        <w:fldChar w:fldCharType="begin"/>
      </w:r>
      <w:r>
        <w:instrText xml:space="preserve"> HYPERLINK \l "_Toc487642442" </w:instrText>
      </w:r>
      <w:r>
        <w:rPr/>
        <w:fldChar w:fldCharType="separate"/>
      </w:r>
      <w:r>
        <w:rPr>
          <w:rStyle w:val="style85"/>
          <w:rFonts w:ascii="Cambria" w:hAnsi="Cambria"/>
        </w:rPr>
        <w:t>3.</w:t>
      </w:r>
      <w:r>
        <w:tab/>
      </w:r>
      <w:r>
        <w:rPr>
          <w:rStyle w:val="style85"/>
          <w:rFonts w:ascii="微软雅黑" w:hAnsi="微软雅黑" w:hint="eastAsia"/>
        </w:rPr>
        <w:t>项目方案</w:t>
      </w:r>
      <w:r>
        <w:tab/>
      </w:r>
      <w:r>
        <w:rPr/>
        <w:fldChar w:fldCharType="begin"/>
      </w:r>
      <w:r>
        <w:instrText xml:space="preserve"> PAGEREF _Toc487642442 \h </w:instrText>
      </w:r>
      <w:r>
        <w:rPr/>
        <w:fldChar w:fldCharType="separate"/>
      </w:r>
      <w:r>
        <w:t>7</w:t>
      </w:r>
      <w:r>
        <w:rPr/>
        <w:fldChar w:fldCharType="end"/>
      </w:r>
      <w:r>
        <w:rPr/>
        <w:fldChar w:fldCharType="end"/>
      </w:r>
    </w:p>
    <w:p>
      <w:pPr>
        <w:pStyle w:val="style20"/>
        <w:rPr/>
      </w:pPr>
      <w:r>
        <w:rPr/>
        <w:fldChar w:fldCharType="begin"/>
      </w:r>
      <w:r>
        <w:instrText xml:space="preserve"> HYPERLINK \l "_Toc487642443" </w:instrText>
      </w:r>
      <w:r>
        <w:rPr/>
        <w:fldChar w:fldCharType="separate"/>
      </w:r>
      <w:r>
        <w:rPr>
          <w:rStyle w:val="style85"/>
        </w:rPr>
        <w:t>3.1.</w:t>
      </w:r>
      <w:r>
        <w:tab/>
      </w:r>
      <w:r>
        <w:rPr>
          <w:rStyle w:val="style85"/>
          <w:rFonts w:ascii="微软雅黑" w:hAnsi="微软雅黑" w:hint="eastAsia"/>
        </w:rPr>
        <w:t>方案实现目标</w:t>
      </w:r>
      <w:r>
        <w:tab/>
      </w:r>
      <w:r>
        <w:rPr/>
        <w:fldChar w:fldCharType="begin"/>
      </w:r>
      <w:r>
        <w:instrText xml:space="preserve"> PAGEREF _Toc487642443 \h </w:instrText>
      </w:r>
      <w:r>
        <w:rPr/>
        <w:fldChar w:fldCharType="separate"/>
      </w:r>
      <w:r>
        <w:t>7</w:t>
      </w:r>
      <w:r>
        <w:rPr/>
        <w:fldChar w:fldCharType="end"/>
      </w:r>
      <w:r>
        <w:rPr/>
        <w:fldChar w:fldCharType="end"/>
      </w:r>
    </w:p>
    <w:p>
      <w:pPr>
        <w:pStyle w:val="style20"/>
        <w:rPr/>
      </w:pPr>
      <w:r>
        <w:rPr/>
        <w:fldChar w:fldCharType="begin"/>
      </w:r>
      <w:r>
        <w:instrText xml:space="preserve"> HYPERLINK \l "_Toc487642444" </w:instrText>
      </w:r>
      <w:r>
        <w:rPr/>
        <w:fldChar w:fldCharType="separate"/>
      </w:r>
      <w:r>
        <w:rPr>
          <w:rStyle w:val="style85"/>
        </w:rPr>
        <w:t>3.1.1.</w:t>
      </w:r>
      <w:r>
        <w:tab/>
      </w:r>
      <w:r>
        <w:rPr>
          <w:rStyle w:val="style85"/>
          <w:rFonts w:ascii="微软雅黑" w:hAnsi="微软雅黑" w:hint="eastAsia"/>
        </w:rPr>
        <w:t>四大原则</w:t>
      </w:r>
      <w:r>
        <w:rPr>
          <w:rStyle w:val="style85"/>
          <w:rFonts w:ascii="微软雅黑" w:hAnsi="微软雅黑"/>
        </w:rPr>
        <w:t xml:space="preserve"> -- </w:t>
      </w:r>
      <w:r>
        <w:rPr>
          <w:rStyle w:val="style85"/>
          <w:rFonts w:ascii="微软雅黑" w:hAnsi="微软雅黑" w:hint="eastAsia"/>
        </w:rPr>
        <w:t>安全性、规范性、实用性和整体性：</w:t>
      </w:r>
      <w:r>
        <w:tab/>
      </w:r>
      <w:r>
        <w:rPr/>
        <w:fldChar w:fldCharType="begin"/>
      </w:r>
      <w:r>
        <w:instrText xml:space="preserve"> PAGEREF _Toc487642444 \h </w:instrText>
      </w:r>
      <w:r>
        <w:rPr/>
        <w:fldChar w:fldCharType="separate"/>
      </w:r>
      <w:r>
        <w:t>7</w:t>
      </w:r>
      <w:r>
        <w:rPr/>
        <w:fldChar w:fldCharType="end"/>
      </w:r>
      <w:r>
        <w:rPr/>
        <w:fldChar w:fldCharType="end"/>
      </w:r>
    </w:p>
    <w:p>
      <w:pPr>
        <w:pStyle w:val="style20"/>
        <w:rPr/>
      </w:pPr>
      <w:r>
        <w:rPr/>
        <w:fldChar w:fldCharType="begin"/>
      </w:r>
      <w:r>
        <w:instrText xml:space="preserve"> HYPERLINK \l "_Toc487642445" </w:instrText>
      </w:r>
      <w:r>
        <w:rPr/>
        <w:fldChar w:fldCharType="separate"/>
      </w:r>
      <w:r>
        <w:rPr>
          <w:rStyle w:val="style85"/>
        </w:rPr>
        <w:t>3.1.2.</w:t>
      </w:r>
      <w:r>
        <w:tab/>
      </w:r>
      <w:r>
        <w:rPr>
          <w:rStyle w:val="style85"/>
          <w:rFonts w:ascii="微软雅黑" w:hAnsi="微软雅黑" w:hint="eastAsia"/>
        </w:rPr>
        <w:t>三大体系</w:t>
      </w:r>
      <w:r>
        <w:rPr>
          <w:rStyle w:val="style85"/>
          <w:rFonts w:ascii="微软雅黑" w:hAnsi="微软雅黑"/>
        </w:rPr>
        <w:t>–</w:t>
      </w:r>
      <w:r>
        <w:rPr>
          <w:rStyle w:val="style85"/>
          <w:rFonts w:ascii="微软雅黑" w:hAnsi="微软雅黑" w:hint="eastAsia"/>
        </w:rPr>
        <w:t>全生命周期管理、运营管控和质量监管：</w:t>
      </w:r>
      <w:r>
        <w:tab/>
      </w:r>
      <w:r>
        <w:rPr/>
        <w:fldChar w:fldCharType="begin"/>
      </w:r>
      <w:r>
        <w:instrText xml:space="preserve"> PAGEREF _Toc487642445 \h </w:instrText>
      </w:r>
      <w:r>
        <w:rPr/>
        <w:fldChar w:fldCharType="separate"/>
      </w:r>
      <w:r>
        <w:t>8</w:t>
      </w:r>
      <w:r>
        <w:rPr/>
        <w:fldChar w:fldCharType="end"/>
      </w:r>
      <w:r>
        <w:rPr/>
        <w:fldChar w:fldCharType="end"/>
      </w:r>
    </w:p>
    <w:p>
      <w:pPr>
        <w:pStyle w:val="style20"/>
        <w:rPr/>
      </w:pPr>
      <w:r>
        <w:rPr/>
        <w:fldChar w:fldCharType="begin"/>
      </w:r>
      <w:r>
        <w:instrText xml:space="preserve"> HYPERLINK \l "_Toc487642446" </w:instrText>
      </w:r>
      <w:r>
        <w:rPr/>
        <w:fldChar w:fldCharType="separate"/>
      </w:r>
      <w:r>
        <w:rPr>
          <w:rStyle w:val="style85"/>
        </w:rPr>
        <w:t>3.2.</w:t>
      </w:r>
      <w:r>
        <w:tab/>
      </w:r>
      <w:r>
        <w:rPr>
          <w:rStyle w:val="style85"/>
          <w:rFonts w:ascii="微软雅黑" w:hAnsi="微软雅黑" w:hint="eastAsia"/>
        </w:rPr>
        <w:t>方案实现功能</w:t>
      </w:r>
      <w:r>
        <w:tab/>
      </w:r>
      <w:r>
        <w:rPr/>
        <w:fldChar w:fldCharType="begin"/>
      </w:r>
      <w:r>
        <w:instrText xml:space="preserve"> PAGEREF _Toc487642446 \h </w:instrText>
      </w:r>
      <w:r>
        <w:rPr/>
        <w:fldChar w:fldCharType="separate"/>
      </w:r>
      <w:r>
        <w:t>9</w:t>
      </w:r>
      <w:r>
        <w:rPr/>
        <w:fldChar w:fldCharType="end"/>
      </w:r>
      <w:r>
        <w:rPr/>
        <w:fldChar w:fldCharType="end"/>
      </w:r>
    </w:p>
    <w:p>
      <w:pPr>
        <w:pStyle w:val="style20"/>
        <w:rPr/>
      </w:pPr>
      <w:r>
        <w:rPr/>
        <w:fldChar w:fldCharType="begin"/>
      </w:r>
      <w:r>
        <w:instrText xml:space="preserve"> HYPERLINK \l "_Toc487642447" </w:instrText>
      </w:r>
      <w:r>
        <w:rPr/>
        <w:fldChar w:fldCharType="separate"/>
      </w:r>
      <w:r>
        <w:rPr>
          <w:rStyle w:val="style85"/>
        </w:rPr>
        <w:t>3.2.1.</w:t>
      </w:r>
      <w:r>
        <w:tab/>
      </w:r>
      <w:r>
        <w:rPr>
          <w:rStyle w:val="style85"/>
          <w:rFonts w:ascii="微软雅黑" w:hAnsi="微软雅黑" w:hint="eastAsia"/>
        </w:rPr>
        <w:t>医疗设备资产管理：</w:t>
      </w:r>
      <w:r>
        <w:tab/>
      </w:r>
      <w:r>
        <w:rPr/>
        <w:fldChar w:fldCharType="begin"/>
      </w:r>
      <w:r>
        <w:instrText xml:space="preserve"> PAGEREF _Toc487642447 \h </w:instrText>
      </w:r>
      <w:r>
        <w:rPr/>
        <w:fldChar w:fldCharType="separate"/>
      </w:r>
      <w:r>
        <w:t>10</w:t>
      </w:r>
      <w:r>
        <w:rPr/>
        <w:fldChar w:fldCharType="end"/>
      </w:r>
      <w:r>
        <w:rPr/>
        <w:fldChar w:fldCharType="end"/>
      </w:r>
    </w:p>
    <w:p>
      <w:pPr>
        <w:pStyle w:val="style20"/>
        <w:rPr/>
      </w:pPr>
      <w:r>
        <w:rPr/>
        <w:fldChar w:fldCharType="begin"/>
      </w:r>
      <w:r>
        <w:instrText xml:space="preserve"> HYPERLINK \l "_Toc487642448" </w:instrText>
      </w:r>
      <w:r>
        <w:rPr/>
        <w:fldChar w:fldCharType="separate"/>
      </w:r>
      <w:r>
        <w:rPr>
          <w:rStyle w:val="style85"/>
        </w:rPr>
        <w:t>3.2.2.</w:t>
      </w:r>
      <w:r>
        <w:tab/>
      </w:r>
      <w:r>
        <w:rPr>
          <w:rStyle w:val="style85"/>
          <w:rFonts w:ascii="微软雅黑" w:hAnsi="微软雅黑" w:hint="eastAsia"/>
        </w:rPr>
        <w:t>医疗设备运维管理：</w:t>
      </w:r>
      <w:r>
        <w:tab/>
      </w:r>
      <w:r>
        <w:rPr/>
        <w:fldChar w:fldCharType="begin"/>
      </w:r>
      <w:r>
        <w:instrText xml:space="preserve"> PAGEREF _Toc487642448 \h </w:instrText>
      </w:r>
      <w:r>
        <w:rPr/>
        <w:fldChar w:fldCharType="separate"/>
      </w:r>
      <w:r>
        <w:t>13</w:t>
      </w:r>
      <w:r>
        <w:rPr/>
        <w:fldChar w:fldCharType="end"/>
      </w:r>
      <w:r>
        <w:rPr/>
        <w:fldChar w:fldCharType="end"/>
      </w:r>
    </w:p>
    <w:p>
      <w:pPr>
        <w:pStyle w:val="style20"/>
        <w:rPr/>
      </w:pPr>
      <w:r>
        <w:rPr/>
        <w:fldChar w:fldCharType="begin"/>
      </w:r>
      <w:r>
        <w:instrText xml:space="preserve"> HYPERLINK \l "_Toc487642449" </w:instrText>
      </w:r>
      <w:r>
        <w:rPr/>
        <w:fldChar w:fldCharType="separate"/>
      </w:r>
      <w:r>
        <w:rPr>
          <w:rStyle w:val="style85"/>
        </w:rPr>
        <w:t>3.2.3.</w:t>
      </w:r>
      <w:r>
        <w:tab/>
      </w:r>
      <w:r>
        <w:rPr>
          <w:rStyle w:val="style85"/>
          <w:rFonts w:ascii="微软雅黑" w:hAnsi="微软雅黑" w:hint="eastAsia"/>
        </w:rPr>
        <w:t>医疗设备运营分析管理：</w:t>
      </w:r>
      <w:r>
        <w:tab/>
      </w:r>
      <w:r>
        <w:rPr/>
        <w:fldChar w:fldCharType="begin"/>
      </w:r>
      <w:r>
        <w:instrText xml:space="preserve"> PAGEREF _Toc487642449 \h </w:instrText>
      </w:r>
      <w:r>
        <w:rPr/>
        <w:fldChar w:fldCharType="separate"/>
      </w:r>
      <w:r>
        <w:t>14</w:t>
      </w:r>
      <w:r>
        <w:rPr/>
        <w:fldChar w:fldCharType="end"/>
      </w:r>
      <w:r>
        <w:rPr/>
        <w:fldChar w:fldCharType="end"/>
      </w:r>
    </w:p>
    <w:p>
      <w:pPr>
        <w:pStyle w:val="style20"/>
        <w:rPr/>
      </w:pPr>
      <w:r>
        <w:rPr/>
        <w:fldChar w:fldCharType="begin"/>
      </w:r>
      <w:r>
        <w:instrText xml:space="preserve"> HYPERLINK \l "_Toc487642450" </w:instrText>
      </w:r>
      <w:r>
        <w:rPr/>
        <w:fldChar w:fldCharType="separate"/>
      </w:r>
      <w:r>
        <w:rPr>
          <w:rStyle w:val="style85"/>
        </w:rPr>
        <w:t>3.2.4.</w:t>
      </w:r>
      <w:r>
        <w:tab/>
      </w:r>
      <w:r>
        <w:rPr>
          <w:rStyle w:val="style85"/>
          <w:rFonts w:ascii="微软雅黑" w:hAnsi="微软雅黑" w:hint="eastAsia"/>
        </w:rPr>
        <w:t>医疗设备监管大屏：</w:t>
      </w:r>
      <w:r>
        <w:tab/>
      </w:r>
      <w:r>
        <w:rPr/>
        <w:fldChar w:fldCharType="begin"/>
      </w:r>
      <w:r>
        <w:instrText xml:space="preserve"> PAGEREF _Toc487642450 \h </w:instrText>
      </w:r>
      <w:r>
        <w:rPr/>
        <w:fldChar w:fldCharType="separate"/>
      </w:r>
      <w:r>
        <w:t>15</w:t>
      </w:r>
      <w:r>
        <w:rPr/>
        <w:fldChar w:fldCharType="end"/>
      </w:r>
      <w:r>
        <w:rPr/>
        <w:fldChar w:fldCharType="end"/>
      </w:r>
    </w:p>
    <w:p>
      <w:pPr>
        <w:pStyle w:val="style20"/>
        <w:rPr/>
      </w:pPr>
      <w:r>
        <w:rPr/>
        <w:fldChar w:fldCharType="begin"/>
      </w:r>
      <w:r>
        <w:instrText xml:space="preserve"> HYPERLINK \l "_Toc487642451" </w:instrText>
      </w:r>
      <w:r>
        <w:rPr/>
        <w:fldChar w:fldCharType="separate"/>
      </w:r>
      <w:r>
        <w:rPr>
          <w:rStyle w:val="style85"/>
        </w:rPr>
        <w:t>3.2.5.</w:t>
      </w:r>
      <w:r>
        <w:tab/>
      </w:r>
      <w:r>
        <w:rPr>
          <w:rStyle w:val="style85"/>
          <w:rFonts w:ascii="微软雅黑" w:hAnsi="微软雅黑" w:hint="eastAsia"/>
        </w:rPr>
        <w:t>方案运行环境：</w:t>
      </w:r>
      <w:r>
        <w:tab/>
      </w:r>
      <w:r>
        <w:rPr/>
        <w:fldChar w:fldCharType="begin"/>
      </w:r>
      <w:r>
        <w:instrText xml:space="preserve"> PAGEREF _Toc487642451 \h </w:instrText>
      </w:r>
      <w:r>
        <w:rPr/>
        <w:fldChar w:fldCharType="separate"/>
      </w:r>
      <w:r>
        <w:t>16</w:t>
      </w:r>
      <w:r>
        <w:rPr/>
        <w:fldChar w:fldCharType="end"/>
      </w:r>
      <w:r>
        <w:rPr/>
        <w:fldChar w:fldCharType="end"/>
      </w:r>
    </w:p>
    <w:p>
      <w:pPr>
        <w:pStyle w:val="style20"/>
        <w:rPr/>
      </w:pPr>
      <w:r>
        <w:rPr/>
        <w:fldChar w:fldCharType="begin"/>
      </w:r>
      <w:r>
        <w:instrText xml:space="preserve"> HYPERLINK \l "_Toc487642452" </w:instrText>
      </w:r>
      <w:r>
        <w:rPr/>
        <w:fldChar w:fldCharType="separate"/>
      </w:r>
      <w:r>
        <w:rPr>
          <w:rStyle w:val="style85"/>
        </w:rPr>
        <w:t>3.3.</w:t>
      </w:r>
      <w:r>
        <w:tab/>
      </w:r>
      <w:r>
        <w:rPr>
          <w:rStyle w:val="style85"/>
          <w:rFonts w:ascii="微软雅黑" w:hAnsi="微软雅黑" w:hint="eastAsia"/>
        </w:rPr>
        <w:t>方案实施计划</w:t>
      </w:r>
      <w:r>
        <w:tab/>
      </w:r>
      <w:r>
        <w:rPr/>
        <w:fldChar w:fldCharType="begin"/>
      </w:r>
      <w:r>
        <w:instrText xml:space="preserve"> PAGEREF _Toc487642452 \h </w:instrText>
      </w:r>
      <w:r>
        <w:rPr/>
        <w:fldChar w:fldCharType="separate"/>
      </w:r>
      <w:r>
        <w:t>16</w:t>
      </w:r>
      <w:r>
        <w:rPr/>
        <w:fldChar w:fldCharType="end"/>
      </w:r>
      <w:r>
        <w:rPr/>
        <w:fldChar w:fldCharType="end"/>
      </w:r>
    </w:p>
    <w:p>
      <w:pPr>
        <w:pStyle w:val="style20"/>
        <w:rPr/>
      </w:pPr>
      <w:r>
        <w:rPr/>
        <w:fldChar w:fldCharType="begin"/>
      </w:r>
      <w:r>
        <w:instrText xml:space="preserve"> HYPERLINK \l "_Toc487642453" </w:instrText>
      </w:r>
      <w:r>
        <w:rPr/>
        <w:fldChar w:fldCharType="separate"/>
      </w:r>
      <w:r>
        <w:rPr>
          <w:rStyle w:val="style85"/>
        </w:rPr>
        <w:t>3.3.1.</w:t>
      </w:r>
      <w:r>
        <w:tab/>
      </w:r>
      <w:r>
        <w:rPr>
          <w:rStyle w:val="style85"/>
          <w:rFonts w:ascii="微软雅黑" w:hAnsi="微软雅黑" w:hint="eastAsia"/>
        </w:rPr>
        <w:t>项目实施准备：</w:t>
      </w:r>
      <w:r>
        <w:tab/>
      </w:r>
      <w:r>
        <w:rPr/>
        <w:fldChar w:fldCharType="begin"/>
      </w:r>
      <w:r>
        <w:instrText xml:space="preserve"> PAGEREF _Toc487642453 \h </w:instrText>
      </w:r>
      <w:r>
        <w:rPr/>
        <w:fldChar w:fldCharType="separate"/>
      </w:r>
      <w:r>
        <w:t>16</w:t>
      </w:r>
      <w:r>
        <w:rPr/>
        <w:fldChar w:fldCharType="end"/>
      </w:r>
      <w:r>
        <w:rPr/>
        <w:fldChar w:fldCharType="end"/>
      </w:r>
    </w:p>
    <w:p>
      <w:pPr>
        <w:pStyle w:val="style20"/>
        <w:rPr/>
      </w:pPr>
      <w:r>
        <w:rPr/>
        <w:fldChar w:fldCharType="begin"/>
      </w:r>
      <w:r>
        <w:instrText xml:space="preserve"> HYPERLINK \l "_Toc487642454" </w:instrText>
      </w:r>
      <w:r>
        <w:rPr/>
        <w:fldChar w:fldCharType="separate"/>
      </w:r>
      <w:r>
        <w:rPr>
          <w:rStyle w:val="style85"/>
        </w:rPr>
        <w:t>3.3.2.</w:t>
      </w:r>
      <w:r>
        <w:tab/>
      </w:r>
      <w:r>
        <w:rPr>
          <w:rStyle w:val="style85"/>
          <w:rFonts w:ascii="微软雅黑" w:hAnsi="微软雅黑" w:hint="eastAsia"/>
        </w:rPr>
        <w:t>医疗设备建档：</w:t>
      </w:r>
      <w:r>
        <w:tab/>
      </w:r>
      <w:r>
        <w:rPr/>
        <w:fldChar w:fldCharType="begin"/>
      </w:r>
      <w:r>
        <w:instrText xml:space="preserve"> PAGEREF _Toc487642454 \h </w:instrText>
      </w:r>
      <w:r>
        <w:rPr/>
        <w:fldChar w:fldCharType="separate"/>
      </w:r>
      <w:r>
        <w:t>17</w:t>
      </w:r>
      <w:r>
        <w:rPr/>
        <w:fldChar w:fldCharType="end"/>
      </w:r>
      <w:r>
        <w:rPr/>
        <w:fldChar w:fldCharType="end"/>
      </w:r>
    </w:p>
    <w:p>
      <w:pPr>
        <w:pStyle w:val="style20"/>
        <w:rPr/>
      </w:pPr>
      <w:r>
        <w:rPr/>
        <w:fldChar w:fldCharType="begin"/>
      </w:r>
      <w:r>
        <w:instrText xml:space="preserve"> HYPERLINK \l "_Toc487642455" </w:instrText>
      </w:r>
      <w:r>
        <w:rPr/>
        <w:fldChar w:fldCharType="separate"/>
      </w:r>
      <w:r>
        <w:rPr>
          <w:rStyle w:val="style85"/>
        </w:rPr>
        <w:t>3.3.3.</w:t>
      </w:r>
      <w:r>
        <w:tab/>
      </w:r>
      <w:r>
        <w:rPr>
          <w:rStyle w:val="style85"/>
          <w:rFonts w:ascii="微软雅黑" w:hAnsi="微软雅黑" w:hint="eastAsia"/>
        </w:rPr>
        <w:t>医疗设备运维计划（结合质控和安全管理要求）制定</w:t>
      </w:r>
      <w:r>
        <w:tab/>
      </w:r>
      <w:r>
        <w:rPr/>
        <w:fldChar w:fldCharType="begin"/>
      </w:r>
      <w:r>
        <w:instrText xml:space="preserve"> PAGEREF _Toc487642455 \h </w:instrText>
      </w:r>
      <w:r>
        <w:rPr/>
        <w:fldChar w:fldCharType="separate"/>
      </w:r>
      <w:r>
        <w:t>17</w:t>
      </w:r>
      <w:r>
        <w:rPr/>
        <w:fldChar w:fldCharType="end"/>
      </w:r>
      <w:r>
        <w:rPr/>
        <w:fldChar w:fldCharType="end"/>
      </w:r>
    </w:p>
    <w:p>
      <w:pPr>
        <w:pStyle w:val="style20"/>
        <w:rPr/>
      </w:pPr>
      <w:r>
        <w:rPr/>
        <w:fldChar w:fldCharType="begin"/>
      </w:r>
      <w:r>
        <w:instrText xml:space="preserve"> HYPERLINK \l "_Toc487642456" </w:instrText>
      </w:r>
      <w:r>
        <w:rPr/>
        <w:fldChar w:fldCharType="separate"/>
      </w:r>
      <w:r>
        <w:rPr>
          <w:rStyle w:val="style85"/>
        </w:rPr>
        <w:t>3.3.4.</w:t>
      </w:r>
      <w:r>
        <w:tab/>
      </w:r>
      <w:r>
        <w:rPr>
          <w:rStyle w:val="style85"/>
          <w:rFonts w:ascii="微软雅黑" w:hAnsi="微软雅黑" w:hint="eastAsia"/>
        </w:rPr>
        <w:t>信息化平台实施：</w:t>
      </w:r>
      <w:r>
        <w:tab/>
      </w:r>
      <w:r>
        <w:rPr/>
        <w:fldChar w:fldCharType="begin"/>
      </w:r>
      <w:r>
        <w:instrText xml:space="preserve"> PAGEREF _Toc487642456 \h </w:instrText>
      </w:r>
      <w:r>
        <w:rPr/>
        <w:fldChar w:fldCharType="separate"/>
      </w:r>
      <w:r>
        <w:t>18</w:t>
      </w:r>
      <w:r>
        <w:rPr/>
        <w:fldChar w:fldCharType="end"/>
      </w:r>
      <w:r>
        <w:rPr/>
        <w:fldChar w:fldCharType="end"/>
      </w:r>
    </w:p>
    <w:p>
      <w:pPr>
        <w:pStyle w:val="style20"/>
        <w:rPr/>
      </w:pPr>
      <w:r>
        <w:rPr/>
        <w:fldChar w:fldCharType="begin"/>
      </w:r>
      <w:r>
        <w:instrText xml:space="preserve"> HYPERLINK \l "_Toc487642457" </w:instrText>
      </w:r>
      <w:r>
        <w:rPr/>
        <w:fldChar w:fldCharType="separate"/>
      </w:r>
      <w:r>
        <w:rPr>
          <w:rStyle w:val="style85"/>
        </w:rPr>
        <w:t>3.3.5.</w:t>
      </w:r>
      <w:r>
        <w:tab/>
      </w:r>
      <w:r>
        <w:rPr>
          <w:rStyle w:val="style85"/>
          <w:rFonts w:ascii="微软雅黑" w:hAnsi="微软雅黑" w:hint="eastAsia"/>
        </w:rPr>
        <w:t>项目运维：</w:t>
      </w:r>
      <w:r>
        <w:tab/>
      </w:r>
      <w:r>
        <w:rPr/>
        <w:fldChar w:fldCharType="begin"/>
      </w:r>
      <w:r>
        <w:instrText xml:space="preserve"> PAGEREF _Toc487642457 \h </w:instrText>
      </w:r>
      <w:r>
        <w:rPr/>
        <w:fldChar w:fldCharType="separate"/>
      </w:r>
      <w:r>
        <w:t>18</w:t>
      </w:r>
      <w:r>
        <w:rPr/>
        <w:fldChar w:fldCharType="end"/>
      </w:r>
      <w:r>
        <w:rPr/>
        <w:fldChar w:fldCharType="end"/>
      </w:r>
    </w:p>
    <w:p>
      <w:pPr>
        <w:pStyle w:val="style0"/>
        <w:spacing w:lineRule="auto" w:line="360"/>
        <w:rPr>
          <w:rFonts w:ascii="微软雅黑" w:hAnsi="微软雅黑"/>
          <w:b/>
          <w:bCs/>
          <w:sz w:val="18"/>
          <w:szCs w:val="18"/>
          <w:lang w:val="zh-CN"/>
        </w:rPr>
      </w:pPr>
      <w:r>
        <w:rPr>
          <w:rFonts w:ascii="微软雅黑" w:hAnsi="微软雅黑"/>
          <w:b/>
          <w:bCs/>
          <w:sz w:val="16"/>
          <w:szCs w:val="18"/>
          <w:lang w:val="zh-CN"/>
        </w:rPr>
        <w:fldChar w:fldCharType="end"/>
      </w:r>
    </w:p>
    <w:bookmarkStart w:id="0" w:name="_Toc487642438"/>
    <w:p>
      <w:pPr>
        <w:pStyle w:val="style1"/>
        <w:numPr>
          <w:ilvl w:val="0"/>
          <w:numId w:val="2"/>
        </w:numPr>
        <w:spacing w:lineRule="auto" w:line="240"/>
        <w:rPr>
          <w:rFonts w:ascii="微软雅黑" w:hAnsi="微软雅黑"/>
        </w:rPr>
      </w:pPr>
      <w:r>
        <w:rPr>
          <w:rFonts w:ascii="微软雅黑" w:hAnsi="微软雅黑" w:hint="eastAsia"/>
        </w:rPr>
        <w:t>项目背景</w:t>
      </w:r>
      <w:bookmarkEnd w:id="0"/>
    </w:p>
    <w:p>
      <w:pPr>
        <w:pStyle w:val="style0"/>
        <w:rPr>
          <w:rFonts w:ascii="微软雅黑" w:eastAsia="微软雅黑" w:hAnsi="微软雅黑"/>
          <w:color w:val="000000"/>
          <w:szCs w:val="21"/>
        </w:rPr>
      </w:pPr>
      <w:r>
        <w:rPr>
          <w:rFonts w:ascii="微软雅黑" w:eastAsia="微软雅黑" w:hAnsi="微软雅黑" w:hint="eastAsia"/>
          <w:szCs w:val="21"/>
        </w:rPr>
        <w:t xml:space="preserve">    </w:t>
      </w:r>
      <w:r>
        <w:rPr>
          <w:rFonts w:ascii="微软雅黑" w:eastAsia="微软雅黑" w:hAnsi="微软雅黑" w:hint="eastAsia"/>
          <w:szCs w:val="21"/>
        </w:rPr>
        <w:t>随着医疗行业的进一步开放，医疗市场竞争将日趋激烈。医院医疗设备</w:t>
      </w:r>
      <w:r>
        <w:rPr>
          <w:rFonts w:ascii="微软雅黑" w:eastAsia="微软雅黑" w:hAnsi="微软雅黑" w:hint="eastAsia"/>
          <w:szCs w:val="21"/>
        </w:rPr>
        <w:t>的保有量越来越大，购置并投入使用先进技术水平的医疗设备是现阶段中国国情下增强医院治疗能力、提升医院市场核心竞争力的最直接手段。同时，医院拥有先进医疗设备的数量和质量，不仅成为医院医疗技术水平高低的体现，同时也反映了医院现代化建设的程度和规模。大批高精尖的医疗设备快速进入各级医院。在提高医院技术设备水平的同时，医疗器材和设备的安全使用、科学管理问题也日益突出，如何保证设备运营保持最佳状态是一个重要课题。设备的保养、巡检、计量和强检是医院设备质量控制的保障，需要信息化系统进行监管、计划和实施。同时政府对大中型医</w:t>
      </w:r>
      <w:r>
        <w:rPr>
          <w:rFonts w:ascii="微软雅黑" w:eastAsia="微软雅黑" w:hAnsi="微软雅黑" w:hint="eastAsia"/>
          <w:szCs w:val="21"/>
        </w:rPr>
        <w:t>疗设备监管的重视程度不断和国际接轨，所有相关信息需要形成可追溯的设备档案。同时因医疗器械的运营不当带来的医源性医疗风险加大，由此引发的不良事件比例呈上升趋势，</w:t>
      </w:r>
      <w:r>
        <w:rPr>
          <w:rFonts w:ascii="微软雅黑" w:eastAsia="微软雅黑" w:hAnsi="微软雅黑" w:hint="eastAsia"/>
          <w:szCs w:val="21"/>
        </w:rPr>
        <w:t xml:space="preserve"> </w:t>
      </w:r>
      <w:r>
        <w:rPr>
          <w:rFonts w:ascii="微软雅黑" w:eastAsia="微软雅黑" w:hAnsi="微软雅黑" w:hint="eastAsia"/>
          <w:szCs w:val="21"/>
        </w:rPr>
        <w:t>国家对此高度重视。</w:t>
      </w:r>
      <w:r>
        <w:rPr>
          <w:rFonts w:ascii="微软雅黑" w:eastAsia="微软雅黑" w:hAnsi="微软雅黑" w:hint="eastAsia"/>
          <w:color w:val="000000"/>
          <w:szCs w:val="21"/>
        </w:rPr>
        <w:t>医院有明确的加强医疗设备监管的内部需求，但是目前市场上缺乏专业的设备信息化管理系统。</w:t>
      </w:r>
      <w:r>
        <w:rPr>
          <w:rFonts w:ascii="微软雅黑" w:eastAsia="微软雅黑" w:hAnsi="微软雅黑" w:hint="eastAsia"/>
          <w:color w:val="000000"/>
          <w:szCs w:val="21"/>
        </w:rPr>
        <w:t>HIS/RIS/PCAS</w:t>
      </w:r>
      <w:r>
        <w:rPr>
          <w:rFonts w:ascii="微软雅黑" w:eastAsia="微软雅黑" w:hAnsi="微软雅黑" w:hint="eastAsia"/>
          <w:color w:val="000000"/>
          <w:szCs w:val="21"/>
        </w:rPr>
        <w:t>都不是针对设备管理的专用信息化系统，不能满足广大医院客户对于设备管理的需求。未来大数据、物联网和人工智能的运用会更加普及和深入人心，医疗设备大数据、医疗设备和监管设备的互联互通、智能设备状态分析和紧急故障的提前预测将成为市场需</w:t>
      </w:r>
      <w:r>
        <w:rPr>
          <w:rFonts w:ascii="微软雅黑" w:eastAsia="微软雅黑" w:hAnsi="微软雅黑" w:hint="eastAsia"/>
          <w:color w:val="000000"/>
          <w:szCs w:val="21"/>
        </w:rPr>
        <w:t>求的下一个风向标。</w:t>
      </w:r>
    </w:p>
    <w:p>
      <w:pPr>
        <w:pStyle w:val="style0"/>
        <w:rPr>
          <w:color w:val="000000"/>
        </w:rPr>
      </w:pPr>
      <w:r>
        <w:rPr>
          <w:rFonts w:ascii="微软雅黑" w:eastAsia="微软雅黑" w:hAnsi="微软雅黑" w:hint="eastAsia"/>
          <w:color w:val="000000"/>
          <w:szCs w:val="21"/>
        </w:rPr>
        <w:t xml:space="preserve">    </w:t>
      </w:r>
      <w:r>
        <w:rPr>
          <w:rFonts w:ascii="微软雅黑" w:eastAsia="微软雅黑" w:hAnsi="微软雅黑" w:hint="eastAsia"/>
          <w:color w:val="000000"/>
          <w:szCs w:val="21"/>
        </w:rPr>
        <w:t>医疗设备信息管理系统的开发和实施仅有重大的现实意义，对于实现医疗资产状态全面和科学的评估、提高医学装备全生命周期使用的安全性和精确性、帮助国有资产保值增值，提升医学装备开机时间、更好的服务于临床和病患能发挥关键的作用；并可以为医疗资产管理提供更全面的数据支撑，辅助医院管理层进行科学决策。</w:t>
      </w:r>
    </w:p>
    <w:bookmarkStart w:id="1" w:name="_Toc487642439"/>
    <w:p>
      <w:pPr>
        <w:pStyle w:val="style2"/>
        <w:numPr>
          <w:ilvl w:val="1"/>
          <w:numId w:val="2"/>
        </w:numPr>
        <w:spacing w:lineRule="auto" w:line="360"/>
        <w:rPr>
          <w:rFonts w:ascii="微软雅黑" w:eastAsia="微软雅黑" w:hAnsi="微软雅黑"/>
        </w:rPr>
      </w:pPr>
      <w:r>
        <w:rPr>
          <w:rFonts w:ascii="微软雅黑" w:eastAsia="微软雅黑" w:hAnsi="微软雅黑"/>
        </w:rPr>
        <w:t/>
      </w:r>
      <w:r>
        <w:rPr>
          <w:rFonts w:ascii="微软雅黑" w:eastAsia="微软雅黑" w:hAnsi="微软雅黑"/>
        </w:rPr>
        <w:t/>
      </w:r>
      <w:r>
        <w:rPr>
          <w:rFonts w:ascii="微软雅黑" w:eastAsia="微软雅黑" w:hAnsi="微软雅黑" w:hint="eastAsia"/>
        </w:rPr>
        <w:t>政府政策法规要求</w:t>
      </w:r>
      <w:bookmarkEnd w:id="1"/>
    </w:p>
    <w:p>
      <w:pPr>
        <w:pStyle w:val="style0"/>
        <w:spacing w:lineRule="auto" w:line="276"/>
        <w:ind w:firstLine="420" w:firstLineChars="200"/>
        <w:rPr>
          <w:rFonts w:ascii="微软雅黑" w:eastAsia="微软雅黑" w:hAnsi="微软雅黑"/>
          <w:szCs w:val="21"/>
        </w:rPr>
      </w:pPr>
      <w:r>
        <w:rPr>
          <w:rFonts w:ascii="微软雅黑" w:eastAsia="微软雅黑" w:hAnsi="微软雅黑" w:hint="eastAsia"/>
          <w:szCs w:val="21"/>
        </w:rPr>
        <w:t>2010</w:t>
      </w:r>
      <w:r>
        <w:rPr>
          <w:rFonts w:ascii="微软雅黑" w:eastAsia="微软雅黑" w:hAnsi="微软雅黑" w:hint="eastAsia"/>
          <w:szCs w:val="21"/>
        </w:rPr>
        <w:t>年</w:t>
      </w:r>
      <w:r>
        <w:rPr>
          <w:rFonts w:ascii="微软雅黑" w:eastAsia="微软雅黑" w:hAnsi="微软雅黑" w:hint="eastAsia"/>
          <w:szCs w:val="21"/>
        </w:rPr>
        <w:t>1</w:t>
      </w:r>
      <w:r>
        <w:rPr>
          <w:rFonts w:ascii="微软雅黑" w:eastAsia="微软雅黑" w:hAnsi="微软雅黑" w:hint="eastAsia"/>
          <w:szCs w:val="21"/>
        </w:rPr>
        <w:t>月卫生部以政府部门法规的形式颁布了《医疗器械临床使用安全管理规范》，其目的在于防范医疗风险、提高医疗质量的重要措施。</w:t>
      </w:r>
      <w:r>
        <w:rPr>
          <w:rFonts w:ascii="微软雅黑" w:eastAsia="微软雅黑" w:hAnsi="微软雅黑"/>
          <w:szCs w:val="21"/>
        </w:rPr>
        <w:t>国家食品药品监督管理总局在</w:t>
      </w:r>
      <w:r>
        <w:rPr>
          <w:rFonts w:ascii="微软雅黑" w:eastAsia="微软雅黑" w:hAnsi="微软雅黑" w:hint="eastAsia"/>
          <w:szCs w:val="21"/>
        </w:rPr>
        <w:t>2015</w:t>
      </w:r>
      <w:r>
        <w:rPr>
          <w:rFonts w:ascii="微软雅黑" w:eastAsia="微软雅黑" w:hAnsi="微软雅黑" w:hint="eastAsia"/>
          <w:szCs w:val="21"/>
        </w:rPr>
        <w:t>年</w:t>
      </w:r>
      <w:r>
        <w:rPr>
          <w:rFonts w:ascii="微软雅黑" w:eastAsia="微软雅黑" w:hAnsi="微软雅黑"/>
          <w:szCs w:val="21"/>
        </w:rPr>
        <w:t>10</w:t>
      </w:r>
      <w:r>
        <w:rPr>
          <w:rFonts w:ascii="微软雅黑" w:eastAsia="微软雅黑" w:hAnsi="微软雅黑"/>
          <w:szCs w:val="21"/>
        </w:rPr>
        <w:t>月</w:t>
      </w:r>
      <w:r>
        <w:rPr>
          <w:rFonts w:ascii="微软雅黑" w:eastAsia="微软雅黑" w:hAnsi="微软雅黑"/>
          <w:szCs w:val="21"/>
        </w:rPr>
        <w:t>21</w:t>
      </w:r>
      <w:r>
        <w:rPr>
          <w:rFonts w:ascii="微软雅黑" w:eastAsia="微软雅黑" w:hAnsi="微软雅黑"/>
          <w:szCs w:val="21"/>
        </w:rPr>
        <w:t>号颁布的《医疗器械使用质量监督管理办法》</w:t>
      </w:r>
      <w:r>
        <w:rPr>
          <w:rFonts w:ascii="微软雅黑" w:eastAsia="微软雅黑" w:hAnsi="微软雅黑" w:hint="eastAsia"/>
          <w:szCs w:val="21"/>
        </w:rPr>
        <w:t>，意</w:t>
      </w:r>
      <w:r>
        <w:rPr>
          <w:rFonts w:ascii="微软雅黑" w:eastAsia="微软雅黑" w:hAnsi="微软雅黑"/>
          <w:szCs w:val="21"/>
        </w:rPr>
        <w:t>为加强医疗</w:t>
      </w:r>
      <w:r>
        <w:rPr>
          <w:rFonts w:ascii="微软雅黑" w:eastAsia="微软雅黑" w:hAnsi="微软雅黑" w:hint="eastAsia"/>
          <w:szCs w:val="21"/>
        </w:rPr>
        <w:t>设备</w:t>
      </w:r>
      <w:r>
        <w:rPr>
          <w:rFonts w:ascii="微软雅黑" w:eastAsia="微软雅黑" w:hAnsi="微软雅黑"/>
          <w:szCs w:val="21"/>
        </w:rPr>
        <w:t>使用环节监管，</w:t>
      </w:r>
      <w:r>
        <w:rPr>
          <w:rFonts w:ascii="微软雅黑" w:eastAsia="微软雅黑" w:hAnsi="微软雅黑" w:hint="eastAsia"/>
          <w:szCs w:val="21"/>
        </w:rPr>
        <w:t>为</w:t>
      </w:r>
      <w:r>
        <w:rPr>
          <w:rFonts w:ascii="微软雅黑" w:eastAsia="微软雅黑" w:hAnsi="微软雅黑"/>
          <w:szCs w:val="21"/>
        </w:rPr>
        <w:t>公众用械安全有效提供了重要的制度保障</w:t>
      </w:r>
      <w:r>
        <w:rPr>
          <w:rFonts w:ascii="微软雅黑" w:eastAsia="微软雅黑" w:hAnsi="微软雅黑" w:hint="eastAsia"/>
          <w:szCs w:val="21"/>
        </w:rPr>
        <w:t>，也要求原厂开放设备维护相关的资源</w:t>
      </w:r>
      <w:r>
        <w:rPr>
          <w:rFonts w:ascii="微软雅黑" w:eastAsia="微软雅黑" w:hAnsi="微软雅黑" w:hint="eastAsia"/>
          <w:szCs w:val="21"/>
        </w:rPr>
        <w:t>。</w:t>
      </w:r>
    </w:p>
    <w:p>
      <w:pPr>
        <w:pStyle w:val="style0"/>
        <w:shd w:val="clear" w:color="auto" w:fill="ffffff"/>
        <w:wordWrap w:val="false"/>
        <w:spacing w:lineRule="atLeast" w:line="378"/>
        <w:ind w:firstLine="420"/>
        <w:rPr>
          <w:rFonts w:ascii="微软雅黑" w:cs="宋体" w:hAnsi="微软雅黑"/>
          <w:kern w:val="0"/>
          <w:szCs w:val="21"/>
        </w:rPr>
      </w:pPr>
      <w:r>
        <w:rPr>
          <w:rFonts w:ascii="微软雅黑" w:cs="宋体" w:hAnsi="微软雅黑"/>
          <w:kern w:val="0"/>
          <w:szCs w:val="21"/>
        </w:rPr>
        <w:t>根据食品药品监管部门和卫生计生主管部门的职责分工，对使用环节的医疗器械质量监管制度进行了细化</w:t>
      </w:r>
      <w:r>
        <w:rPr>
          <w:rFonts w:ascii="微软雅黑" w:cs="宋体" w:hAnsi="微软雅黑" w:hint="eastAsia"/>
          <w:kern w:val="0"/>
          <w:szCs w:val="21"/>
        </w:rPr>
        <w:t>，</w:t>
      </w:r>
      <w:r>
        <w:rPr>
          <w:rFonts w:ascii="微软雅黑" w:cs="宋体" w:hAnsi="微软雅黑"/>
          <w:kern w:val="0"/>
          <w:szCs w:val="21"/>
        </w:rPr>
        <w:t>对医疗器械实施</w:t>
      </w:r>
      <w:r>
        <w:rPr>
          <w:rFonts w:ascii="微软雅黑" w:cs="宋体" w:hAnsi="微软雅黑"/>
          <w:kern w:val="0"/>
          <w:szCs w:val="21"/>
        </w:rPr>
        <w:t>“</w:t>
      </w:r>
      <w:r>
        <w:rPr>
          <w:rFonts w:ascii="微软雅黑" w:cs="宋体" w:hAnsi="微软雅黑"/>
          <w:kern w:val="0"/>
          <w:szCs w:val="21"/>
        </w:rPr>
        <w:t>全过程</w:t>
      </w:r>
      <w:r>
        <w:rPr>
          <w:rFonts w:ascii="微软雅黑" w:cs="宋体" w:hAnsi="微软雅黑"/>
          <w:kern w:val="0"/>
          <w:szCs w:val="21"/>
        </w:rPr>
        <w:t>”</w:t>
      </w:r>
      <w:r>
        <w:rPr>
          <w:rFonts w:ascii="微软雅黑" w:cs="宋体" w:hAnsi="微软雅黑"/>
          <w:kern w:val="0"/>
          <w:szCs w:val="21"/>
        </w:rPr>
        <w:t>监管理念的具体体现。《</w:t>
      </w:r>
      <w:r>
        <w:rPr>
          <w:rFonts w:ascii="微软雅黑" w:cs="宋体" w:hAnsi="微软雅黑" w:hint="eastAsia"/>
          <w:kern w:val="0"/>
          <w:szCs w:val="21"/>
        </w:rPr>
        <w:t>规范</w:t>
      </w:r>
      <w:r>
        <w:rPr>
          <w:rFonts w:ascii="微软雅黑" w:cs="宋体" w:hAnsi="微软雅黑"/>
          <w:kern w:val="0"/>
          <w:szCs w:val="21"/>
        </w:rPr>
        <w:t>》</w:t>
      </w:r>
      <w:r>
        <w:rPr>
          <w:rFonts w:ascii="微软雅黑" w:cs="宋体" w:hAnsi="微软雅黑" w:hint="eastAsia"/>
          <w:kern w:val="0"/>
          <w:szCs w:val="21"/>
        </w:rPr>
        <w:t>和</w:t>
      </w:r>
      <w:r>
        <w:rPr>
          <w:rFonts w:ascii="微软雅黑" w:cs="宋体" w:hAnsi="微软雅黑"/>
          <w:kern w:val="0"/>
          <w:szCs w:val="21"/>
        </w:rPr>
        <w:t>《办法》</w:t>
      </w:r>
      <w:r>
        <w:rPr>
          <w:rFonts w:ascii="微软雅黑" w:cs="宋体" w:hAnsi="微软雅黑" w:hint="eastAsia"/>
          <w:kern w:val="0"/>
          <w:szCs w:val="21"/>
        </w:rPr>
        <w:t>中都明确</w:t>
      </w:r>
      <w:r>
        <w:rPr>
          <w:rFonts w:ascii="微软雅黑" w:cs="宋体" w:hAnsi="微软雅黑"/>
          <w:kern w:val="0"/>
          <w:szCs w:val="21"/>
        </w:rPr>
        <w:t>规定</w:t>
      </w:r>
      <w:r>
        <w:rPr>
          <w:rFonts w:ascii="微软雅黑" w:cs="宋体" w:hAnsi="微软雅黑" w:hint="eastAsia"/>
          <w:kern w:val="0"/>
          <w:szCs w:val="21"/>
        </w:rPr>
        <w:t>了对医疗设备</w:t>
      </w:r>
      <w:r>
        <w:rPr>
          <w:rFonts w:ascii="微软雅黑" w:cs="宋体" w:hAnsi="微软雅黑"/>
          <w:kern w:val="0"/>
          <w:szCs w:val="21"/>
        </w:rPr>
        <w:t>质量检查、维护保养等使用环节的质量管理进行细化、补充和完善，力图解决医疗</w:t>
      </w:r>
      <w:r>
        <w:rPr>
          <w:rFonts w:ascii="微软雅黑" w:cs="宋体" w:hAnsi="微软雅黑" w:hint="eastAsia"/>
          <w:kern w:val="0"/>
          <w:szCs w:val="21"/>
        </w:rPr>
        <w:t>设备</w:t>
      </w:r>
      <w:r>
        <w:rPr>
          <w:rFonts w:ascii="微软雅黑" w:cs="宋体" w:hAnsi="微软雅黑"/>
          <w:kern w:val="0"/>
          <w:szCs w:val="21"/>
        </w:rPr>
        <w:t>使用环节存在的采购渠道不规范、进货查验不落实、维护保养不严格、质量监管不完善等问题，要求使用单位建</w:t>
      </w:r>
      <w:r>
        <w:rPr>
          <w:rFonts w:ascii="微软雅黑" w:cs="宋体" w:hAnsi="微软雅黑"/>
          <w:kern w:val="0"/>
          <w:szCs w:val="21"/>
        </w:rPr>
        <w:t>立医疗器械使用前质量检查制度，解决医疗器械带病上岗，效果失真等问题</w:t>
      </w:r>
      <w:r>
        <w:rPr>
          <w:rFonts w:ascii="微软雅黑" w:cs="宋体" w:hAnsi="微软雅黑" w:hint="eastAsia"/>
          <w:kern w:val="0"/>
          <w:szCs w:val="21"/>
        </w:rPr>
        <w:t>。</w:t>
      </w:r>
    </w:p>
    <w:p>
      <w:pPr>
        <w:pStyle w:val="style0"/>
        <w:shd w:val="clear" w:color="auto" w:fill="ffffff"/>
        <w:wordWrap w:val="false"/>
        <w:spacing w:lineRule="atLeast" w:line="378"/>
        <w:ind w:firstLine="420"/>
        <w:rPr>
          <w:rFonts w:ascii="微软雅黑" w:cs="宋体" w:hAnsi="微软雅黑"/>
          <w:kern w:val="0"/>
          <w:szCs w:val="21"/>
        </w:rPr>
      </w:pPr>
      <w:r>
        <w:rPr>
          <w:rFonts w:ascii="微软雅黑" w:cs="宋体" w:hAnsi="微软雅黑" w:hint="eastAsia"/>
          <w:kern w:val="0"/>
          <w:szCs w:val="21"/>
        </w:rPr>
        <w:t>同时，</w:t>
      </w:r>
      <w:r>
        <w:rPr>
          <w:rFonts w:ascii="微软雅黑" w:cs="宋体" w:hAnsi="微软雅黑"/>
          <w:kern w:val="0"/>
          <w:szCs w:val="21"/>
        </w:rPr>
        <w:t>以信息化为重点的监管模式革新，代表着未来监管的发展方向。全国建立统一的医疗器械监管信息平台，监管部门通过平台依法及时公布医疗器械</w:t>
      </w:r>
      <w:r>
        <w:rPr>
          <w:rFonts w:ascii="微软雅黑" w:cs="宋体" w:hAnsi="微软雅黑" w:hint="eastAsia"/>
          <w:kern w:val="0"/>
          <w:szCs w:val="21"/>
        </w:rPr>
        <w:t>相关监管信息</w:t>
      </w:r>
      <w:r>
        <w:rPr>
          <w:rFonts w:ascii="微软雅黑" w:cs="宋体" w:hAnsi="微软雅黑"/>
          <w:kern w:val="0"/>
          <w:szCs w:val="21"/>
        </w:rPr>
        <w:t>。</w:t>
      </w:r>
    </w:p>
    <w:bookmarkStart w:id="2" w:name="_Toc487642440"/>
    <w:p>
      <w:pPr>
        <w:pStyle w:val="style2"/>
        <w:numPr>
          <w:ilvl w:val="1"/>
          <w:numId w:val="2"/>
        </w:numPr>
        <w:spacing w:lineRule="auto" w:line="360"/>
        <w:rPr>
          <w:rFonts w:ascii="微软雅黑" w:eastAsia="微软雅黑" w:hAnsi="微软雅黑"/>
        </w:rPr>
      </w:pPr>
      <w:r>
        <w:rPr>
          <w:rFonts w:ascii="微软雅黑" w:eastAsia="微软雅黑" w:hAnsi="微软雅黑" w:hint="eastAsia"/>
        </w:rPr>
        <w:t>医院医疗设备管理难点</w:t>
      </w:r>
      <w:bookmarkEnd w:id="2"/>
    </w:p>
    <w:p>
      <w:pPr>
        <w:pStyle w:val="style0"/>
        <w:spacing w:lineRule="auto" w:line="276"/>
        <w:rPr>
          <w:rFonts w:ascii="微软雅黑" w:eastAsia="微软雅黑" w:hAnsi="微软雅黑"/>
          <w:szCs w:val="21"/>
        </w:rPr>
      </w:pPr>
      <w:r>
        <w:rPr>
          <w:rFonts w:ascii="微软雅黑" w:eastAsia="微软雅黑" w:hAnsi="微软雅黑"/>
          <w:szCs w:val="21"/>
        </w:rPr>
        <w:t>长期以来，医疗</w:t>
      </w:r>
      <w:r>
        <w:rPr>
          <w:rFonts w:ascii="微软雅黑" w:eastAsia="微软雅黑" w:hAnsi="微软雅黑" w:hint="eastAsia"/>
          <w:szCs w:val="21"/>
        </w:rPr>
        <w:t>设备</w:t>
      </w:r>
      <w:r>
        <w:rPr>
          <w:rFonts w:ascii="微软雅黑" w:eastAsia="微软雅黑" w:hAnsi="微软雅黑"/>
          <w:szCs w:val="21"/>
        </w:rPr>
        <w:t>监管过程</w:t>
      </w:r>
      <w:r>
        <w:rPr>
          <w:rFonts w:ascii="微软雅黑" w:eastAsia="微软雅黑" w:hAnsi="微软雅黑" w:hint="eastAsia"/>
          <w:szCs w:val="21"/>
        </w:rPr>
        <w:t>一直是</w:t>
      </w:r>
      <w:r>
        <w:rPr>
          <w:rFonts w:ascii="微软雅黑" w:eastAsia="微软雅黑" w:hAnsi="微软雅黑"/>
          <w:szCs w:val="21"/>
        </w:rPr>
        <w:t>“</w:t>
      </w:r>
      <w:r>
        <w:rPr>
          <w:rFonts w:ascii="微软雅黑" w:eastAsia="微软雅黑" w:hAnsi="微软雅黑"/>
          <w:szCs w:val="21"/>
        </w:rPr>
        <w:t>重产品审批，轻过程监管</w:t>
      </w:r>
      <w:r>
        <w:rPr>
          <w:rFonts w:ascii="微软雅黑" w:eastAsia="微软雅黑" w:hAnsi="微软雅黑"/>
          <w:szCs w:val="21"/>
        </w:rPr>
        <w:t>”</w:t>
      </w:r>
      <w:r>
        <w:rPr>
          <w:rFonts w:ascii="微软雅黑" w:eastAsia="微软雅黑" w:hAnsi="微软雅黑"/>
          <w:szCs w:val="21"/>
        </w:rPr>
        <w:t>的状态。许多医疗设备在上市之前非常严格，往往几年都审批不过一个产品，但上市以后，在医院的使用过程中的质量问</w:t>
      </w:r>
      <w:r>
        <w:rPr>
          <w:rFonts w:ascii="微软雅黑" w:eastAsia="微软雅黑" w:hAnsi="微软雅黑" w:hint="eastAsia"/>
          <w:szCs w:val="21"/>
        </w:rPr>
        <w:t>缺乏</w:t>
      </w:r>
      <w:r>
        <w:rPr>
          <w:rFonts w:ascii="微软雅黑" w:eastAsia="微软雅黑" w:hAnsi="微软雅黑"/>
          <w:szCs w:val="21"/>
        </w:rPr>
        <w:t>监管，往往出现许多设备带病运行</w:t>
      </w:r>
      <w:r>
        <w:rPr>
          <w:rFonts w:ascii="微软雅黑" w:eastAsia="微软雅黑" w:hAnsi="微软雅黑" w:hint="eastAsia"/>
          <w:szCs w:val="21"/>
        </w:rPr>
        <w:t>，</w:t>
      </w:r>
      <w:r>
        <w:rPr>
          <w:rFonts w:ascii="微软雅黑" w:eastAsia="微软雅黑" w:hAnsi="微软雅黑"/>
          <w:szCs w:val="21"/>
        </w:rPr>
        <w:t>效果失真</w:t>
      </w:r>
      <w:r>
        <w:rPr>
          <w:rFonts w:ascii="微软雅黑" w:eastAsia="微软雅黑" w:hAnsi="微软雅黑" w:hint="eastAsia"/>
          <w:szCs w:val="21"/>
        </w:rPr>
        <w:t>，</w:t>
      </w:r>
      <w:r>
        <w:rPr>
          <w:rFonts w:ascii="微软雅黑" w:eastAsia="微软雅黑" w:hAnsi="微软雅黑"/>
          <w:szCs w:val="21"/>
        </w:rPr>
        <w:t>中途没有任何检测、保养，或者设备维修之后没有检测标准</w:t>
      </w:r>
      <w:r>
        <w:rPr>
          <w:rFonts w:ascii="微软雅黑" w:eastAsia="微软雅黑" w:hAnsi="微软雅黑" w:hint="eastAsia"/>
          <w:szCs w:val="21"/>
        </w:rPr>
        <w:t>，</w:t>
      </w:r>
      <w:r>
        <w:rPr>
          <w:rFonts w:ascii="微软雅黑" w:eastAsia="微软雅黑" w:hAnsi="微软雅黑"/>
          <w:szCs w:val="21"/>
        </w:rPr>
        <w:t>甚至没有</w:t>
      </w:r>
      <w:r>
        <w:rPr>
          <w:rFonts w:ascii="微软雅黑" w:eastAsia="微软雅黑" w:hAnsi="微软雅黑" w:hint="eastAsia"/>
          <w:szCs w:val="21"/>
        </w:rPr>
        <w:t>计量</w:t>
      </w:r>
      <w:r>
        <w:rPr>
          <w:rFonts w:ascii="微软雅黑" w:eastAsia="微软雅黑" w:hAnsi="微软雅黑"/>
          <w:szCs w:val="21"/>
        </w:rPr>
        <w:t>检测就给病人使用了</w:t>
      </w:r>
      <w:r>
        <w:rPr>
          <w:rFonts w:ascii="微软雅黑" w:eastAsia="微软雅黑" w:hAnsi="微软雅黑" w:hint="eastAsia"/>
          <w:szCs w:val="21"/>
        </w:rPr>
        <w:t>，</w:t>
      </w:r>
      <w:r>
        <w:rPr>
          <w:rFonts w:ascii="微软雅黑" w:eastAsia="微软雅黑" w:hAnsi="微软雅黑"/>
          <w:szCs w:val="21"/>
        </w:rPr>
        <w:t>从而造成了大量的</w:t>
      </w:r>
      <w:r>
        <w:rPr>
          <w:rFonts w:ascii="微软雅黑" w:eastAsia="微软雅黑" w:hAnsi="微软雅黑" w:hint="eastAsia"/>
          <w:szCs w:val="21"/>
        </w:rPr>
        <w:t>安全</w:t>
      </w:r>
      <w:r>
        <w:rPr>
          <w:rFonts w:ascii="微软雅黑" w:eastAsia="微软雅黑" w:hAnsi="微软雅黑"/>
          <w:szCs w:val="21"/>
        </w:rPr>
        <w:t>隐患</w:t>
      </w:r>
      <w:r>
        <w:rPr>
          <w:rFonts w:ascii="微软雅黑" w:eastAsia="微软雅黑" w:hAnsi="微软雅黑" w:hint="eastAsia"/>
          <w:szCs w:val="21"/>
        </w:rPr>
        <w:t>。同时，</w:t>
      </w:r>
      <w:r>
        <w:rPr>
          <w:rFonts w:ascii="微软雅黑" w:eastAsia="微软雅黑" w:hAnsi="微软雅黑"/>
          <w:szCs w:val="21"/>
        </w:rPr>
        <w:t>中国</w:t>
      </w:r>
      <w:r>
        <w:rPr>
          <w:rFonts w:ascii="微软雅黑" w:eastAsia="微软雅黑" w:hAnsi="微软雅黑"/>
          <w:szCs w:val="21"/>
        </w:rPr>
        <w:t>2</w:t>
      </w:r>
      <w:r>
        <w:rPr>
          <w:rFonts w:ascii="微软雅黑" w:eastAsia="微软雅黑" w:hAnsi="微软雅黑"/>
          <w:szCs w:val="21"/>
        </w:rPr>
        <w:t>万多家医院</w:t>
      </w:r>
      <w:r>
        <w:rPr>
          <w:rFonts w:ascii="微软雅黑" w:eastAsia="微软雅黑" w:hAnsi="微软雅黑" w:hint="eastAsia"/>
          <w:szCs w:val="21"/>
        </w:rPr>
        <w:t>、十几万家社区卫生院和私立医院</w:t>
      </w:r>
      <w:r>
        <w:rPr>
          <w:rFonts w:ascii="微软雅黑" w:eastAsia="微软雅黑" w:hAnsi="微软雅黑"/>
          <w:szCs w:val="21"/>
        </w:rPr>
        <w:t>的医疗设备存量</w:t>
      </w:r>
      <w:r>
        <w:rPr>
          <w:rFonts w:ascii="微软雅黑" w:eastAsia="微软雅黑" w:hAnsi="微软雅黑" w:hint="eastAsia"/>
          <w:szCs w:val="21"/>
        </w:rPr>
        <w:t>巨大</w:t>
      </w:r>
      <w:r>
        <w:rPr>
          <w:rFonts w:ascii="微软雅黑" w:eastAsia="微软雅黑" w:hAnsi="微软雅黑"/>
          <w:szCs w:val="21"/>
        </w:rPr>
        <w:t>，每年还以</w:t>
      </w:r>
      <w:r>
        <w:rPr>
          <w:rFonts w:ascii="微软雅黑" w:eastAsia="微软雅黑" w:hAnsi="微软雅黑" w:hint="eastAsia"/>
          <w:szCs w:val="21"/>
        </w:rPr>
        <w:t>15%</w:t>
      </w:r>
      <w:r>
        <w:rPr>
          <w:rFonts w:ascii="微软雅黑" w:eastAsia="微软雅黑" w:hAnsi="微软雅黑" w:hint="eastAsia"/>
          <w:szCs w:val="21"/>
        </w:rPr>
        <w:t>到</w:t>
      </w:r>
      <w:r>
        <w:rPr>
          <w:rFonts w:ascii="微软雅黑" w:eastAsia="微软雅黑" w:hAnsi="微软雅黑"/>
          <w:szCs w:val="21"/>
        </w:rPr>
        <w:t>20%</w:t>
      </w:r>
      <w:r>
        <w:rPr>
          <w:rFonts w:ascii="微软雅黑" w:eastAsia="微软雅黑" w:hAnsi="微软雅黑"/>
          <w:szCs w:val="21"/>
        </w:rPr>
        <w:t>的速度在增加</w:t>
      </w:r>
      <w:r>
        <w:rPr>
          <w:rFonts w:ascii="微软雅黑" w:eastAsia="微软雅黑" w:hAnsi="微软雅黑" w:hint="eastAsia"/>
          <w:szCs w:val="21"/>
        </w:rPr>
        <w:t>，</w:t>
      </w:r>
      <w:r>
        <w:rPr>
          <w:rFonts w:ascii="微软雅黑" w:eastAsia="微软雅黑" w:hAnsi="微软雅黑"/>
          <w:szCs w:val="21"/>
        </w:rPr>
        <w:t>但医院自身设备管理部门（设备科、医学工程部</w:t>
      </w:r>
      <w:r>
        <w:rPr>
          <w:rFonts w:ascii="微软雅黑" w:eastAsia="微软雅黑" w:hAnsi="微软雅黑" w:hint="eastAsia"/>
          <w:szCs w:val="21"/>
        </w:rPr>
        <w:t>等</w:t>
      </w:r>
      <w:r>
        <w:rPr>
          <w:rFonts w:ascii="微软雅黑" w:eastAsia="微软雅黑" w:hAnsi="微软雅黑"/>
          <w:szCs w:val="21"/>
        </w:rPr>
        <w:t>）的建设却没有</w:t>
      </w:r>
      <w:r>
        <w:rPr>
          <w:rFonts w:ascii="微软雅黑" w:eastAsia="微软雅黑" w:hAnsi="微软雅黑" w:hint="eastAsia"/>
          <w:szCs w:val="21"/>
        </w:rPr>
        <w:t>得到与之匹配的</w:t>
      </w:r>
      <w:r>
        <w:rPr>
          <w:rFonts w:ascii="微软雅黑" w:eastAsia="微软雅黑" w:hAnsi="微软雅黑"/>
          <w:szCs w:val="21"/>
        </w:rPr>
        <w:t>发展，</w:t>
      </w:r>
      <w:r>
        <w:rPr>
          <w:rFonts w:ascii="微软雅黑" w:eastAsia="微软雅黑" w:hAnsi="微软雅黑" w:hint="eastAsia"/>
          <w:szCs w:val="21"/>
        </w:rPr>
        <w:t>没有正规的管理培训，没有厂家的技术授权，实际能力</w:t>
      </w:r>
      <w:r>
        <w:rPr>
          <w:rFonts w:ascii="微软雅黑" w:eastAsia="微软雅黑" w:hAnsi="微软雅黑"/>
          <w:szCs w:val="21"/>
        </w:rPr>
        <w:t>甚至还</w:t>
      </w:r>
      <w:r>
        <w:rPr>
          <w:rFonts w:ascii="微软雅黑" w:eastAsia="微软雅黑" w:hAnsi="微软雅黑"/>
          <w:szCs w:val="21"/>
        </w:rPr>
        <w:t>在倒退</w:t>
      </w:r>
      <w:r>
        <w:rPr>
          <w:rFonts w:ascii="微软雅黑" w:eastAsia="微软雅黑" w:hAnsi="微软雅黑" w:hint="eastAsia"/>
          <w:szCs w:val="21"/>
        </w:rPr>
        <w:t>，</w:t>
      </w:r>
      <w:r>
        <w:rPr>
          <w:rFonts w:ascii="微软雅黑" w:eastAsia="微软雅黑" w:hAnsi="微软雅黑"/>
          <w:szCs w:val="21"/>
        </w:rPr>
        <w:t>管理部门的建设跟不上设备发展的需要</w:t>
      </w:r>
      <w:r>
        <w:rPr>
          <w:rFonts w:ascii="微软雅黑" w:eastAsia="微软雅黑" w:hAnsi="微软雅黑" w:hint="eastAsia"/>
          <w:szCs w:val="21"/>
        </w:rPr>
        <w:t>。造成当前的现状</w:t>
      </w:r>
      <w:r>
        <w:rPr>
          <w:rFonts w:ascii="微软雅黑" w:eastAsia="微软雅黑" w:hAnsi="微软雅黑"/>
          <w:szCs w:val="21"/>
        </w:rPr>
        <w:t>不是一个简单的问题，</w:t>
      </w:r>
      <w:r>
        <w:rPr>
          <w:rFonts w:ascii="微软雅黑" w:eastAsia="微软雅黑" w:hAnsi="微软雅黑" w:hint="eastAsia"/>
          <w:szCs w:val="21"/>
        </w:rPr>
        <w:t>也不</w:t>
      </w:r>
      <w:r>
        <w:rPr>
          <w:rFonts w:ascii="微软雅黑" w:eastAsia="微软雅黑" w:hAnsi="微软雅黑" w:hint="eastAsia"/>
          <w:szCs w:val="21"/>
        </w:rPr>
        <w:t>仅仅</w:t>
      </w:r>
      <w:r>
        <w:rPr>
          <w:rFonts w:ascii="微软雅黑" w:eastAsia="微软雅黑" w:hAnsi="微软雅黑" w:hint="eastAsia"/>
          <w:szCs w:val="21"/>
        </w:rPr>
        <w:t>是</w:t>
      </w:r>
      <w:r>
        <w:rPr>
          <w:rFonts w:ascii="微软雅黑" w:eastAsia="微软雅黑" w:hAnsi="微软雅黑"/>
          <w:szCs w:val="21"/>
        </w:rPr>
        <w:t>医院不重视或经费不足。主要</w:t>
      </w:r>
      <w:r>
        <w:rPr>
          <w:rFonts w:ascii="微软雅黑" w:eastAsia="微软雅黑" w:hAnsi="微软雅黑" w:hint="eastAsia"/>
          <w:szCs w:val="21"/>
        </w:rPr>
        <w:t>原因</w:t>
      </w:r>
      <w:r>
        <w:rPr>
          <w:rFonts w:ascii="微软雅黑" w:eastAsia="微软雅黑" w:hAnsi="微软雅黑"/>
          <w:szCs w:val="21"/>
        </w:rPr>
        <w:t>还是</w:t>
      </w:r>
      <w:r>
        <w:rPr>
          <w:rFonts w:ascii="微软雅黑" w:eastAsia="微软雅黑" w:hAnsi="微软雅黑" w:hint="eastAsia"/>
          <w:szCs w:val="21"/>
        </w:rPr>
        <w:t>医疗</w:t>
      </w:r>
      <w:r>
        <w:rPr>
          <w:rFonts w:ascii="微软雅黑" w:eastAsia="微软雅黑" w:hAnsi="微软雅黑"/>
          <w:szCs w:val="21"/>
        </w:rPr>
        <w:t>设备发展太快，从数量到质量突飞猛进，专业化程度越来越高，医院很难一下培养</w:t>
      </w:r>
      <w:r>
        <w:rPr>
          <w:rFonts w:ascii="微软雅黑" w:eastAsia="微软雅黑" w:hAnsi="微软雅黑" w:hint="eastAsia"/>
          <w:szCs w:val="21"/>
        </w:rPr>
        <w:t>出合乎标准的</w:t>
      </w:r>
      <w:r>
        <w:rPr>
          <w:rFonts w:ascii="微软雅黑" w:eastAsia="微软雅黑" w:hAnsi="微软雅黑"/>
          <w:szCs w:val="21"/>
        </w:rPr>
        <w:t>工程</w:t>
      </w:r>
      <w:r>
        <w:rPr>
          <w:rFonts w:ascii="微软雅黑" w:eastAsia="微软雅黑" w:hAnsi="微软雅黑"/>
          <w:szCs w:val="21"/>
        </w:rPr>
        <w:t>技术</w:t>
      </w:r>
      <w:r>
        <w:rPr>
          <w:rFonts w:ascii="微软雅黑" w:eastAsia="微软雅黑" w:hAnsi="微软雅黑" w:hint="eastAsia"/>
          <w:szCs w:val="21"/>
        </w:rPr>
        <w:t>和管理</w:t>
      </w:r>
      <w:r>
        <w:rPr>
          <w:rFonts w:ascii="微软雅黑" w:eastAsia="微软雅黑" w:hAnsi="微软雅黑"/>
          <w:szCs w:val="21"/>
        </w:rPr>
        <w:t>人员。即使有一定</w:t>
      </w:r>
      <w:r>
        <w:rPr>
          <w:rFonts w:ascii="微软雅黑" w:eastAsia="微软雅黑" w:hAnsi="微软雅黑" w:hint="eastAsia"/>
          <w:szCs w:val="21"/>
        </w:rPr>
        <w:t>数量</w:t>
      </w:r>
      <w:r>
        <w:rPr>
          <w:rFonts w:ascii="微软雅黑" w:eastAsia="微软雅黑" w:hAnsi="微软雅黑"/>
          <w:szCs w:val="21"/>
        </w:rPr>
        <w:t>的技术人员，</w:t>
      </w:r>
      <w:r>
        <w:rPr>
          <w:rFonts w:ascii="微软雅黑" w:eastAsia="微软雅黑" w:hAnsi="微软雅黑" w:hint="eastAsia"/>
          <w:szCs w:val="21"/>
        </w:rPr>
        <w:t>还面临</w:t>
      </w:r>
      <w:r>
        <w:rPr>
          <w:rFonts w:ascii="微软雅黑" w:eastAsia="微软雅黑" w:hAnsi="微软雅黑" w:hint="eastAsia"/>
          <w:szCs w:val="21"/>
        </w:rPr>
        <w:t>授权、</w:t>
      </w:r>
      <w:r>
        <w:rPr>
          <w:rFonts w:ascii="微软雅黑" w:eastAsia="微软雅黑" w:hAnsi="微软雅黑"/>
          <w:szCs w:val="21"/>
        </w:rPr>
        <w:t>配件、工具、检测仪器</w:t>
      </w:r>
      <w:r>
        <w:rPr>
          <w:rFonts w:ascii="微软雅黑" w:eastAsia="微软雅黑" w:hAnsi="微软雅黑" w:hint="eastAsia"/>
          <w:szCs w:val="21"/>
        </w:rPr>
        <w:t>等</w:t>
      </w:r>
      <w:r>
        <w:rPr>
          <w:rFonts w:ascii="微软雅黑" w:eastAsia="微软雅黑" w:hAnsi="微软雅黑"/>
          <w:szCs w:val="21"/>
        </w:rPr>
        <w:t>问题</w:t>
      </w:r>
      <w:r>
        <w:rPr>
          <w:rFonts w:ascii="微软雅黑" w:eastAsia="微软雅黑" w:hAnsi="微软雅黑" w:hint="eastAsia"/>
          <w:szCs w:val="21"/>
        </w:rPr>
        <w:t>。</w:t>
      </w:r>
    </w:p>
    <w:p>
      <w:pPr>
        <w:pStyle w:val="style0"/>
        <w:spacing w:lineRule="auto" w:line="276"/>
        <w:ind w:firstLine="420"/>
        <w:rPr>
          <w:rFonts w:ascii="微软雅黑" w:eastAsia="微软雅黑" w:hAnsi="微软雅黑"/>
          <w:szCs w:val="21"/>
        </w:rPr>
      </w:pPr>
      <w:r>
        <w:rPr>
          <w:rFonts w:ascii="微软雅黑" w:eastAsia="微软雅黑" w:hAnsi="微软雅黑" w:hint="eastAsia"/>
          <w:szCs w:val="21"/>
        </w:rPr>
        <w:t>目前医院医疗设备管理所面临的问题归结为一下</w:t>
      </w:r>
      <w:r>
        <w:rPr>
          <w:rFonts w:ascii="微软雅黑" w:eastAsia="微软雅黑" w:hAnsi="微软雅黑" w:hint="eastAsia"/>
          <w:szCs w:val="21"/>
        </w:rPr>
        <w:t>七</w:t>
      </w:r>
      <w:r>
        <w:rPr>
          <w:rFonts w:ascii="微软雅黑" w:eastAsia="微软雅黑" w:hAnsi="微软雅黑" w:hint="eastAsia"/>
          <w:szCs w:val="21"/>
        </w:rPr>
        <w:t>点：</w:t>
      </w:r>
    </w:p>
    <w:p>
      <w:pPr>
        <w:pStyle w:val="style0"/>
        <w:numPr>
          <w:ilvl w:val="0"/>
          <w:numId w:val="7"/>
        </w:numPr>
        <w:spacing w:lineRule="auto" w:line="276"/>
        <w:ind w:left="227" w:leftChars="108" w:firstLine="0"/>
        <w:rPr>
          <w:rFonts w:ascii="微软雅黑" w:eastAsia="微软雅黑" w:hAnsi="微软雅黑"/>
          <w:b/>
          <w:szCs w:val="21"/>
        </w:rPr>
      </w:pPr>
      <w:r>
        <w:rPr>
          <w:rFonts w:ascii="微软雅黑" w:eastAsia="微软雅黑" w:hAnsi="微软雅黑" w:hint="eastAsia"/>
          <w:b/>
          <w:szCs w:val="21"/>
        </w:rPr>
        <w:t>管理方式落后</w:t>
      </w:r>
    </w:p>
    <w:p>
      <w:pPr>
        <w:pStyle w:val="style0"/>
        <w:spacing w:lineRule="auto" w:line="276"/>
        <w:ind w:left="210" w:leftChars="100" w:firstLine="420"/>
        <w:jc w:val="left"/>
        <w:rPr>
          <w:rFonts w:ascii="微软雅黑" w:eastAsia="微软雅黑" w:hAnsi="微软雅黑"/>
          <w:szCs w:val="21"/>
        </w:rPr>
      </w:pPr>
      <w:r>
        <w:rPr>
          <w:rFonts w:ascii="微软雅黑" w:eastAsia="微软雅黑" w:hAnsi="微软雅黑" w:hint="eastAsia"/>
          <w:szCs w:val="21"/>
        </w:rPr>
        <w:t>医院保持原始的人工清点、盘查设备信息，并手工记录</w:t>
      </w:r>
      <w:r>
        <w:rPr>
          <w:rFonts w:ascii="微软雅黑" w:eastAsia="微软雅黑" w:hAnsi="微软雅黑"/>
          <w:szCs w:val="21"/>
        </w:rPr>
        <w:t>设备的</w:t>
      </w:r>
      <w:r>
        <w:rPr>
          <w:rFonts w:ascii="微软雅黑" w:eastAsia="微软雅黑" w:hAnsi="微软雅黑" w:hint="eastAsia"/>
          <w:szCs w:val="21"/>
        </w:rPr>
        <w:t>采购</w:t>
      </w:r>
      <w:r>
        <w:rPr>
          <w:rFonts w:ascii="微软雅黑" w:eastAsia="微软雅黑" w:hAnsi="微软雅黑"/>
          <w:szCs w:val="21"/>
        </w:rPr>
        <w:t>、入库、出库、安装、调试、保养、维修、计量、报废等情况，不但工作量大、</w:t>
      </w:r>
      <w:r>
        <w:rPr>
          <w:rFonts w:ascii="微软雅黑" w:eastAsia="微软雅黑" w:hAnsi="微软雅黑" w:hint="eastAsia"/>
          <w:szCs w:val="21"/>
        </w:rPr>
        <w:t>效率低下，无法进行</w:t>
      </w:r>
      <w:r>
        <w:rPr>
          <w:rFonts w:ascii="微软雅黑" w:eastAsia="微软雅黑" w:hAnsi="微软雅黑"/>
          <w:szCs w:val="21"/>
        </w:rPr>
        <w:t>各类数据统计，使医疗设备管理工作具有</w:t>
      </w:r>
      <w:r>
        <w:rPr>
          <w:rFonts w:ascii="微软雅黑" w:eastAsia="微软雅黑" w:hAnsi="微软雅黑" w:hint="eastAsia"/>
          <w:szCs w:val="21"/>
        </w:rPr>
        <w:t>较大的</w:t>
      </w:r>
      <w:r>
        <w:rPr>
          <w:rFonts w:ascii="微软雅黑" w:eastAsia="微软雅黑" w:hAnsi="微软雅黑"/>
          <w:szCs w:val="21"/>
        </w:rPr>
        <w:t>局限性</w:t>
      </w:r>
      <w:r>
        <w:rPr>
          <w:rFonts w:ascii="微软雅黑" w:eastAsia="微软雅黑" w:hAnsi="微软雅黑" w:hint="eastAsia"/>
          <w:szCs w:val="21"/>
        </w:rPr>
        <w:t>。</w:t>
      </w:r>
    </w:p>
    <w:p>
      <w:pPr>
        <w:pStyle w:val="style0"/>
        <w:numPr>
          <w:ilvl w:val="0"/>
          <w:numId w:val="7"/>
        </w:numPr>
        <w:spacing w:lineRule="auto" w:line="276"/>
        <w:ind w:left="227" w:leftChars="108" w:firstLine="0"/>
        <w:rPr>
          <w:rFonts w:ascii="微软雅黑" w:eastAsia="微软雅黑" w:hAnsi="微软雅黑"/>
          <w:b/>
          <w:szCs w:val="21"/>
        </w:rPr>
      </w:pPr>
      <w:r>
        <w:rPr>
          <w:rFonts w:ascii="微软雅黑" w:eastAsia="微软雅黑" w:hAnsi="微软雅黑" w:hint="eastAsia"/>
          <w:b/>
          <w:szCs w:val="21"/>
        </w:rPr>
        <w:t>管理缺乏规范</w:t>
      </w:r>
    </w:p>
    <w:p>
      <w:pPr>
        <w:pStyle w:val="style0"/>
        <w:spacing w:lineRule="auto" w:line="276"/>
        <w:ind w:left="653" w:leftChars="311"/>
        <w:rPr>
          <w:rFonts w:ascii="微软雅黑" w:eastAsia="微软雅黑" w:hAnsi="微软雅黑"/>
          <w:szCs w:val="21"/>
        </w:rPr>
      </w:pPr>
      <w:r>
        <w:rPr>
          <w:rFonts w:ascii="微软雅黑" w:eastAsia="微软雅黑" w:hAnsi="微软雅黑" w:hint="eastAsia"/>
          <w:szCs w:val="21"/>
        </w:rPr>
        <w:t>设备信息采集缺乏统一标准，信息杂乱，且容易丢失原始数据；设备资料档案数量</w:t>
      </w:r>
    </w:p>
    <w:p>
      <w:pPr>
        <w:pStyle w:val="style0"/>
        <w:spacing w:lineRule="auto" w:line="276"/>
        <w:rPr>
          <w:rFonts w:ascii="微软雅黑" w:eastAsia="微软雅黑" w:hAnsi="微软雅黑"/>
          <w:szCs w:val="21"/>
        </w:rPr>
      </w:pPr>
      <w:r>
        <w:rPr>
          <w:rFonts w:ascii="微软雅黑" w:eastAsia="微软雅黑" w:hAnsi="微软雅黑" w:hint="eastAsia"/>
          <w:szCs w:val="21"/>
        </w:rPr>
        <w:t>庞大，使得设备信息的查阅检索复杂，长期保存也非常困难。使得一些必要的数据无法追溯。</w:t>
      </w:r>
    </w:p>
    <w:p>
      <w:pPr>
        <w:pStyle w:val="style0"/>
        <w:numPr>
          <w:ilvl w:val="0"/>
          <w:numId w:val="7"/>
        </w:numPr>
        <w:spacing w:lineRule="auto" w:line="276"/>
        <w:ind w:left="227" w:leftChars="108" w:firstLine="0"/>
        <w:rPr>
          <w:rFonts w:ascii="微软雅黑" w:eastAsia="微软雅黑" w:hAnsi="微软雅黑"/>
          <w:b/>
          <w:szCs w:val="21"/>
        </w:rPr>
      </w:pPr>
      <w:r>
        <w:rPr>
          <w:rFonts w:ascii="微软雅黑" w:eastAsia="微软雅黑" w:hAnsi="微软雅黑" w:hint="eastAsia"/>
          <w:b/>
          <w:szCs w:val="21"/>
        </w:rPr>
        <w:t>专业人员匮乏</w:t>
      </w:r>
    </w:p>
    <w:p>
      <w:pPr>
        <w:pStyle w:val="style0"/>
        <w:spacing w:lineRule="auto" w:line="276"/>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hint="eastAsia"/>
          <w:szCs w:val="21"/>
        </w:rPr>
        <w:t>由于专业学科设置和医院部门预算的局限，设备管理人力缺失，技术力量不足，难以自有管理。</w:t>
      </w:r>
    </w:p>
    <w:p>
      <w:pPr>
        <w:pStyle w:val="style0"/>
        <w:numPr>
          <w:ilvl w:val="0"/>
          <w:numId w:val="7"/>
        </w:numPr>
        <w:spacing w:lineRule="auto" w:line="276"/>
        <w:ind w:left="227" w:leftChars="108" w:firstLine="0"/>
        <w:rPr>
          <w:rFonts w:ascii="微软雅黑" w:eastAsia="微软雅黑" w:hAnsi="微软雅黑"/>
          <w:b/>
          <w:szCs w:val="21"/>
        </w:rPr>
      </w:pPr>
      <w:r>
        <w:rPr>
          <w:rFonts w:ascii="微软雅黑" w:eastAsia="微软雅黑" w:hAnsi="微软雅黑" w:hint="eastAsia"/>
          <w:b/>
          <w:szCs w:val="21"/>
        </w:rPr>
        <w:t>质量控制和安全管理薄弱</w:t>
      </w:r>
    </w:p>
    <w:p>
      <w:pPr>
        <w:pStyle w:val="style179"/>
        <w:spacing w:lineRule="auto" w:line="276"/>
        <w:ind w:left="420" w:firstLine="0" w:firstLineChars="0"/>
        <w:rPr>
          <w:rFonts w:ascii="微软雅黑" w:eastAsia="微软雅黑" w:hAnsi="微软雅黑"/>
          <w:szCs w:val="21"/>
        </w:rPr>
      </w:pPr>
      <w:r>
        <w:rPr>
          <w:rFonts w:ascii="微软雅黑" w:eastAsia="微软雅黑" w:hAnsi="微软雅黑" w:hint="eastAsia"/>
          <w:szCs w:val="21"/>
        </w:rPr>
        <w:t>设备运行状态不清晰；设备出保后，巡检、强检和保养基本没有；报修流程不清晰或不完善；维修管理不完善，重复维修、设备故障率、修复率、运行时间和因故障停机时间</w:t>
      </w:r>
    </w:p>
    <w:p>
      <w:pPr>
        <w:pStyle w:val="style179"/>
        <w:spacing w:lineRule="auto" w:line="276"/>
        <w:ind w:left="420" w:firstLine="0" w:firstLineChars="0"/>
        <w:rPr>
          <w:rFonts w:ascii="微软雅黑" w:eastAsia="微软雅黑" w:hAnsi="微软雅黑"/>
          <w:b/>
          <w:szCs w:val="21"/>
        </w:rPr>
      </w:pPr>
      <w:r>
        <w:rPr>
          <w:rFonts w:ascii="微软雅黑" w:eastAsia="微软雅黑" w:hAnsi="微软雅黑" w:hint="eastAsia"/>
          <w:szCs w:val="21"/>
        </w:rPr>
        <w:t>不清晰；设备使用和管理的培训意识不足；带病运行的设备可能会带来安全隐患</w:t>
      </w:r>
    </w:p>
    <w:p>
      <w:pPr>
        <w:pStyle w:val="style0"/>
        <w:numPr>
          <w:ilvl w:val="0"/>
          <w:numId w:val="7"/>
        </w:numPr>
        <w:spacing w:lineRule="auto" w:line="276"/>
        <w:ind w:left="227" w:leftChars="108" w:firstLine="0"/>
        <w:rPr>
          <w:rFonts w:ascii="微软雅黑" w:eastAsia="微软雅黑" w:hAnsi="微软雅黑"/>
          <w:b/>
          <w:szCs w:val="21"/>
        </w:rPr>
      </w:pPr>
      <w:r>
        <w:rPr>
          <w:rFonts w:ascii="微软雅黑" w:eastAsia="微软雅黑" w:hAnsi="微软雅黑" w:hint="eastAsia"/>
          <w:b/>
          <w:szCs w:val="21"/>
        </w:rPr>
        <w:t>运营效率有待提升</w:t>
      </w:r>
    </w:p>
    <w:p>
      <w:pPr>
        <w:pStyle w:val="style0"/>
        <w:spacing w:lineRule="auto" w:line="276"/>
        <w:ind w:left="653" w:leftChars="311"/>
        <w:rPr>
          <w:rFonts w:ascii="微软雅黑" w:eastAsia="微软雅黑" w:hAnsi="微软雅黑"/>
          <w:szCs w:val="21"/>
        </w:rPr>
      </w:pPr>
      <w:r>
        <w:rPr>
          <w:rFonts w:ascii="微软雅黑" w:eastAsia="微软雅黑" w:hAnsi="微软雅黑" w:hint="eastAsia"/>
          <w:szCs w:val="21"/>
        </w:rPr>
        <w:t>设备日常运营成本高，数据支持不够；设备收益能力不明确，资源浪费；设备使用率不清晰；</w:t>
      </w:r>
    </w:p>
    <w:p>
      <w:pPr>
        <w:pStyle w:val="style0"/>
        <w:numPr>
          <w:ilvl w:val="0"/>
          <w:numId w:val="7"/>
        </w:numPr>
        <w:spacing w:lineRule="auto" w:line="276"/>
        <w:ind w:left="227" w:leftChars="108" w:firstLine="0"/>
        <w:rPr>
          <w:rFonts w:ascii="微软雅黑" w:eastAsia="微软雅黑" w:hAnsi="微软雅黑"/>
          <w:b/>
          <w:szCs w:val="21"/>
        </w:rPr>
      </w:pPr>
      <w:r>
        <w:rPr>
          <w:rFonts w:ascii="微软雅黑" w:eastAsia="微软雅黑" w:hAnsi="微软雅黑" w:hint="eastAsia"/>
          <w:b/>
          <w:szCs w:val="21"/>
        </w:rPr>
        <w:t>设备配置（采购）评估不科学</w:t>
      </w:r>
    </w:p>
    <w:p>
      <w:pPr>
        <w:pStyle w:val="style0"/>
        <w:spacing w:lineRule="auto" w:line="276"/>
        <w:ind w:left="653" w:leftChars="311"/>
        <w:rPr>
          <w:rFonts w:ascii="微软雅黑" w:eastAsia="微软雅黑" w:hAnsi="微软雅黑"/>
          <w:szCs w:val="21"/>
        </w:rPr>
      </w:pPr>
      <w:r>
        <w:rPr>
          <w:rFonts w:ascii="微软雅黑" w:eastAsia="微软雅黑" w:hAnsi="微软雅黑" w:hint="eastAsia"/>
          <w:szCs w:val="21"/>
        </w:rPr>
        <w:t>设备采购决策缺乏数据支撑（主要是缺乏设备运营相关数据）；</w:t>
      </w:r>
      <w:r>
        <w:rPr>
          <w:rFonts w:ascii="微软雅黑" w:eastAsia="微软雅黑" w:hAnsi="微软雅黑" w:hint="eastAsia"/>
          <w:szCs w:val="21"/>
        </w:rPr>
        <w:t>决策层对设备性能和实际使用不甚了解，对购买选择缺乏科学依据，</w:t>
      </w:r>
      <w:r>
        <w:rPr>
          <w:rFonts w:ascii="微软雅黑" w:eastAsia="微软雅黑" w:hAnsi="微软雅黑" w:hint="eastAsia"/>
          <w:szCs w:val="21"/>
        </w:rPr>
        <w:t>供应商管理参差不齐；</w:t>
      </w:r>
    </w:p>
    <w:p>
      <w:pPr>
        <w:pStyle w:val="style0"/>
        <w:numPr>
          <w:ilvl w:val="0"/>
          <w:numId w:val="7"/>
        </w:numPr>
        <w:spacing w:lineRule="auto" w:line="276"/>
        <w:ind w:left="227" w:leftChars="108" w:firstLine="0"/>
        <w:rPr>
          <w:rFonts w:ascii="微软雅黑" w:eastAsia="微软雅黑" w:hAnsi="微软雅黑"/>
          <w:b/>
          <w:szCs w:val="21"/>
        </w:rPr>
      </w:pPr>
      <w:r>
        <w:rPr>
          <w:rFonts w:ascii="微软雅黑" w:eastAsia="微软雅黑" w:hAnsi="微软雅黑" w:hint="eastAsia"/>
          <w:b/>
          <w:szCs w:val="21"/>
        </w:rPr>
        <w:t>缺乏管理工具</w:t>
      </w:r>
    </w:p>
    <w:p>
      <w:pPr>
        <w:pStyle w:val="style0"/>
        <w:spacing w:lineRule="auto" w:line="276"/>
        <w:ind w:left="653" w:leftChars="311"/>
        <w:rPr>
          <w:rFonts w:ascii="微软雅黑" w:eastAsia="微软雅黑" w:hAnsi="微软雅黑"/>
          <w:szCs w:val="21"/>
        </w:rPr>
      </w:pPr>
      <w:r>
        <w:rPr>
          <w:rFonts w:ascii="微软雅黑" w:eastAsia="微软雅黑" w:hAnsi="微软雅黑" w:hint="eastAsia"/>
          <w:szCs w:val="21"/>
        </w:rPr>
        <w:t>由于设备管理对专业性要求很强，医院的信息系统相对比较健全，唯独缺乏设备管理的工具和系统</w:t>
      </w:r>
      <w:r>
        <w:rPr>
          <w:rFonts w:ascii="微软雅黑" w:eastAsia="微软雅黑" w:hAnsi="微软雅黑" w:hint="eastAsia"/>
          <w:szCs w:val="21"/>
        </w:rPr>
        <w:t>；</w:t>
      </w:r>
    </w:p>
    <w:p>
      <w:pPr>
        <w:pStyle w:val="style0"/>
        <w:spacing w:lineRule="auto" w:line="276"/>
        <w:ind w:left="653" w:leftChars="311"/>
        <w:rPr>
          <w:rFonts w:ascii="微软雅黑" w:eastAsia="微软雅黑" w:hAnsi="微软雅黑"/>
          <w:szCs w:val="21"/>
        </w:rPr>
      </w:pPr>
    </w:p>
    <w:p>
      <w:pPr>
        <w:pStyle w:val="style0"/>
        <w:spacing w:lineRule="auto" w:line="276"/>
        <w:ind w:left="653" w:leftChars="311"/>
        <w:rPr>
          <w:rFonts w:ascii="微软雅黑" w:eastAsia="微软雅黑" w:hAnsi="微软雅黑"/>
          <w:szCs w:val="21"/>
        </w:rPr>
      </w:pPr>
    </w:p>
    <w:p>
      <w:pPr>
        <w:pStyle w:val="style0"/>
        <w:spacing w:lineRule="auto" w:line="276"/>
        <w:ind w:left="653" w:leftChars="311"/>
        <w:rPr>
          <w:rFonts w:ascii="微软雅黑" w:eastAsia="微软雅黑" w:hAnsi="微软雅黑"/>
          <w:szCs w:val="21"/>
        </w:rPr>
      </w:pPr>
    </w:p>
    <w:p>
      <w:pPr>
        <w:pStyle w:val="style0"/>
        <w:spacing w:lineRule="auto" w:line="276"/>
        <w:ind w:left="653" w:leftChars="311"/>
        <w:rPr>
          <w:rFonts w:ascii="微软雅黑" w:eastAsia="微软雅黑" w:hAnsi="微软雅黑"/>
          <w:szCs w:val="21"/>
        </w:rPr>
      </w:pPr>
    </w:p>
    <w:p>
      <w:pPr>
        <w:pStyle w:val="style0"/>
        <w:spacing w:lineRule="auto" w:line="276"/>
        <w:ind w:left="653" w:leftChars="311"/>
        <w:rPr>
          <w:rFonts w:ascii="微软雅黑" w:eastAsia="微软雅黑" w:hAnsi="微软雅黑"/>
          <w:szCs w:val="21"/>
        </w:rPr>
      </w:pPr>
    </w:p>
    <w:p>
      <w:pPr>
        <w:pStyle w:val="style0"/>
        <w:spacing w:lineRule="auto" w:line="276"/>
        <w:ind w:left="653" w:leftChars="311"/>
        <w:rPr>
          <w:rFonts w:ascii="微软雅黑" w:eastAsia="微软雅黑" w:hAnsi="微软雅黑"/>
          <w:szCs w:val="21"/>
        </w:rPr>
      </w:pPr>
    </w:p>
    <w:p>
      <w:pPr>
        <w:pStyle w:val="style0"/>
        <w:spacing w:lineRule="auto" w:line="276"/>
        <w:ind w:left="653" w:leftChars="311"/>
        <w:rPr>
          <w:rFonts w:ascii="微软雅黑" w:eastAsia="微软雅黑" w:hAnsi="微软雅黑"/>
          <w:szCs w:val="21"/>
        </w:rPr>
      </w:pPr>
    </w:p>
    <w:p>
      <w:pPr>
        <w:pStyle w:val="style0"/>
        <w:spacing w:lineRule="auto" w:line="276"/>
        <w:ind w:left="653" w:leftChars="311"/>
        <w:rPr>
          <w:rFonts w:ascii="微软雅黑" w:eastAsia="微软雅黑" w:hAnsi="微软雅黑"/>
          <w:szCs w:val="21"/>
        </w:rPr>
      </w:pPr>
    </w:p>
    <w:p>
      <w:pPr>
        <w:pStyle w:val="style0"/>
        <w:spacing w:lineRule="auto" w:line="276"/>
        <w:ind w:left="653" w:leftChars="311"/>
        <w:rPr>
          <w:rFonts w:ascii="微软雅黑" w:eastAsia="微软雅黑" w:hAnsi="微软雅黑"/>
          <w:szCs w:val="21"/>
        </w:rPr>
      </w:pPr>
    </w:p>
    <w:p>
      <w:pPr>
        <w:pStyle w:val="style0"/>
        <w:spacing w:lineRule="auto" w:line="276"/>
        <w:ind w:left="653" w:leftChars="311"/>
        <w:rPr>
          <w:rFonts w:ascii="微软雅黑" w:eastAsia="微软雅黑" w:hAnsi="微软雅黑"/>
          <w:szCs w:val="21"/>
        </w:rPr>
      </w:pPr>
    </w:p>
    <w:p>
      <w:pPr>
        <w:pStyle w:val="style0"/>
        <w:spacing w:lineRule="auto" w:line="276"/>
        <w:ind w:left="653" w:leftChars="311"/>
        <w:rPr>
          <w:rFonts w:ascii="微软雅黑" w:eastAsia="微软雅黑" w:hAnsi="微软雅黑"/>
          <w:szCs w:val="21"/>
        </w:rPr>
      </w:pPr>
    </w:p>
    <w:p>
      <w:pPr>
        <w:pStyle w:val="style0"/>
        <w:spacing w:lineRule="auto" w:line="276"/>
        <w:ind w:left="653" w:leftChars="311"/>
        <w:rPr>
          <w:rFonts w:ascii="微软雅黑" w:eastAsia="微软雅黑" w:hAnsi="微软雅黑"/>
          <w:szCs w:val="21"/>
        </w:rPr>
      </w:pPr>
    </w:p>
    <w:p>
      <w:pPr>
        <w:pStyle w:val="style0"/>
        <w:spacing w:lineRule="auto" w:line="276"/>
        <w:ind w:left="653" w:leftChars="311"/>
        <w:rPr>
          <w:rFonts w:ascii="微软雅黑" w:eastAsia="微软雅黑" w:hAnsi="微软雅黑"/>
          <w:szCs w:val="21"/>
        </w:rPr>
      </w:pPr>
    </w:p>
    <w:p>
      <w:pPr>
        <w:pStyle w:val="style0"/>
        <w:spacing w:lineRule="auto" w:line="276"/>
        <w:ind w:left="653" w:leftChars="311"/>
        <w:rPr>
          <w:rFonts w:ascii="微软雅黑" w:eastAsia="微软雅黑" w:hAnsi="微软雅黑"/>
          <w:szCs w:val="21"/>
        </w:rPr>
      </w:pPr>
    </w:p>
    <w:p>
      <w:pPr>
        <w:pStyle w:val="style0"/>
        <w:spacing w:lineRule="auto" w:line="276"/>
        <w:ind w:left="653" w:leftChars="311"/>
        <w:rPr>
          <w:rFonts w:ascii="微软雅黑" w:eastAsia="微软雅黑" w:hAnsi="微软雅黑"/>
          <w:szCs w:val="21"/>
        </w:rPr>
      </w:pPr>
    </w:p>
    <w:bookmarkStart w:id="3" w:name="_Toc487642441"/>
    <w:p>
      <w:pPr>
        <w:pStyle w:val="style1"/>
        <w:numPr>
          <w:ilvl w:val="0"/>
          <w:numId w:val="2"/>
        </w:numPr>
        <w:spacing w:lineRule="auto" w:line="360"/>
        <w:rPr>
          <w:rFonts w:ascii="微软雅黑" w:hAnsi="微软雅黑"/>
        </w:rPr>
      </w:pPr>
      <w:r>
        <w:rPr>
          <w:rFonts w:ascii="微软雅黑" w:hAnsi="微软雅黑" w:hint="eastAsia"/>
        </w:rPr>
        <w:t>项目</w:t>
      </w:r>
      <w:bookmarkEnd w:id="3"/>
      <w:r>
        <w:rPr>
          <w:rFonts w:ascii="微软雅黑" w:hAnsi="微软雅黑" w:hint="eastAsia"/>
        </w:rPr>
        <w:t>策划</w:t>
      </w:r>
    </w:p>
    <w:p>
      <w:pPr>
        <w:pStyle w:val="style0"/>
        <w:spacing w:lineRule="auto" w:line="276"/>
        <w:ind w:firstLine="420" w:firstLineChars="200"/>
        <w:rPr>
          <w:rFonts w:ascii="微软雅黑" w:eastAsia="微软雅黑" w:hAnsi="微软雅黑"/>
          <w:szCs w:val="21"/>
        </w:rPr>
      </w:pPr>
      <w:r>
        <w:rPr>
          <w:rFonts w:ascii="微软雅黑" w:eastAsia="微软雅黑" w:hAnsi="微软雅黑" w:hint="eastAsia"/>
          <w:szCs w:val="21"/>
        </w:rPr>
        <w:t>医院</w:t>
      </w:r>
      <w:r>
        <w:rPr>
          <w:rFonts w:ascii="微软雅黑" w:eastAsia="微软雅黑" w:hAnsi="微软雅黑"/>
          <w:szCs w:val="21"/>
        </w:rPr>
        <w:t>信息化建设包括</w:t>
      </w:r>
      <w:r>
        <w:rPr>
          <w:rFonts w:ascii="微软雅黑" w:eastAsia="微软雅黑" w:hAnsi="微软雅黑"/>
          <w:szCs w:val="21"/>
        </w:rPr>
        <w:t>HIS\PACS\HRP</w:t>
      </w:r>
      <w:r>
        <w:rPr>
          <w:rFonts w:ascii="微软雅黑" w:eastAsia="微软雅黑" w:hAnsi="微软雅黑"/>
          <w:szCs w:val="21"/>
        </w:rPr>
        <w:t>等系统</w:t>
      </w:r>
      <w:r>
        <w:rPr>
          <w:rFonts w:ascii="微软雅黑" w:eastAsia="微软雅黑" w:hAnsi="微软雅黑" w:hint="eastAsia"/>
          <w:szCs w:val="21"/>
        </w:rPr>
        <w:t>，</w:t>
      </w:r>
      <w:r>
        <w:rPr>
          <w:rFonts w:ascii="微软雅黑" w:eastAsia="微软雅黑" w:hAnsi="微软雅黑" w:hint="eastAsia"/>
          <w:szCs w:val="21"/>
        </w:rPr>
        <w:t>因此在医疗设备运行管理和质量监控上，</w:t>
      </w:r>
      <w:r>
        <w:rPr>
          <w:rFonts w:ascii="微软雅黑" w:eastAsia="微软雅黑" w:hAnsi="微软雅黑" w:hint="eastAsia"/>
          <w:szCs w:val="21"/>
        </w:rPr>
        <w:t>项目团队</w:t>
      </w:r>
      <w:r>
        <w:rPr>
          <w:rFonts w:ascii="微软雅黑" w:eastAsia="微软雅黑" w:hAnsi="微软雅黑" w:hint="eastAsia"/>
          <w:szCs w:val="21"/>
        </w:rPr>
        <w:t>希望借助</w:t>
      </w:r>
      <w:r>
        <w:rPr>
          <w:rFonts w:ascii="微软雅黑" w:eastAsia="微软雅黑" w:hAnsi="微软雅黑" w:hint="eastAsia"/>
          <w:szCs w:val="21"/>
        </w:rPr>
        <w:t>云</w:t>
      </w:r>
      <w:r>
        <w:rPr>
          <w:rFonts w:ascii="微软雅黑" w:eastAsia="微软雅黑" w:hAnsi="微软雅黑" w:hint="eastAsia"/>
          <w:szCs w:val="21"/>
        </w:rPr>
        <w:t>平台，以信息化系统为基础，帮助</w:t>
      </w:r>
      <w:r>
        <w:rPr>
          <w:rFonts w:ascii="微软雅黑" w:eastAsia="微软雅黑" w:hAnsi="微软雅黑" w:hint="eastAsia"/>
          <w:szCs w:val="21"/>
        </w:rPr>
        <w:t>医院实现专业的</w:t>
      </w:r>
      <w:r>
        <w:rPr>
          <w:rFonts w:ascii="微软雅黑" w:eastAsia="微软雅黑" w:hAnsi="微软雅黑" w:hint="eastAsia"/>
          <w:szCs w:val="21"/>
        </w:rPr>
        <w:t>医疗设备使用质量管理</w:t>
      </w:r>
      <w:r>
        <w:rPr>
          <w:rFonts w:ascii="微软雅黑" w:eastAsia="微软雅黑" w:hAnsi="微软雅黑" w:hint="eastAsia"/>
          <w:szCs w:val="21"/>
        </w:rPr>
        <w:t>、</w:t>
      </w:r>
      <w:r>
        <w:rPr>
          <w:rFonts w:ascii="微软雅黑" w:eastAsia="微软雅黑" w:hAnsi="微软雅黑" w:hint="eastAsia"/>
          <w:szCs w:val="21"/>
        </w:rPr>
        <w:t>医疗机构医疗设备运营管理</w:t>
      </w:r>
      <w:r>
        <w:rPr>
          <w:rFonts w:ascii="微软雅黑" w:eastAsia="微软雅黑" w:hAnsi="微软雅黑" w:hint="eastAsia"/>
          <w:szCs w:val="21"/>
        </w:rPr>
        <w:t>和医疗设备绩效管理三大主要</w:t>
      </w:r>
      <w:r>
        <w:rPr>
          <w:rFonts w:ascii="微软雅黑" w:eastAsia="微软雅黑" w:hAnsi="微软雅黑" w:hint="eastAsia"/>
          <w:szCs w:val="21"/>
        </w:rPr>
        <w:t>功能。</w:t>
      </w:r>
      <w:r>
        <w:rPr>
          <w:rFonts w:ascii="微软雅黑" w:eastAsia="微软雅黑" w:hAnsi="微软雅黑" w:hint="eastAsia"/>
          <w:szCs w:val="21"/>
        </w:rPr>
        <w:t>同时该平台可以实现</w:t>
      </w:r>
      <w:r>
        <w:rPr>
          <w:rFonts w:ascii="微软雅黑" w:eastAsia="微软雅黑" w:hAnsi="微软雅黑" w:hint="eastAsia"/>
          <w:szCs w:val="21"/>
        </w:rPr>
        <w:t>覆盖全</w:t>
      </w:r>
      <w:r>
        <w:rPr>
          <w:rFonts w:ascii="微软雅黑" w:eastAsia="微软雅黑" w:hAnsi="微软雅黑" w:hint="eastAsia"/>
          <w:szCs w:val="21"/>
        </w:rPr>
        <w:t>市或者全区的</w:t>
      </w:r>
      <w:r>
        <w:rPr>
          <w:rFonts w:ascii="微软雅黑" w:eastAsia="微软雅黑" w:hAnsi="微软雅黑" w:hint="eastAsia"/>
          <w:szCs w:val="21"/>
        </w:rPr>
        <w:t>各级医疗服务机构，包括民营医疗</w:t>
      </w:r>
      <w:bookmarkStart w:id="4" w:name="_GoBack"/>
      <w:bookmarkEnd w:id="4"/>
      <w:r>
        <w:rPr>
          <w:rFonts w:ascii="微软雅黑" w:eastAsia="微软雅黑" w:hAnsi="微软雅黑" w:hint="eastAsia"/>
          <w:szCs w:val="21"/>
        </w:rPr>
        <w:t>机构。同时与市场监督管理局监管数据实现对接。最终实现全区医疗设备监管。</w:t>
      </w:r>
    </w:p>
    <w:p>
      <w:pPr>
        <w:pStyle w:val="style0"/>
        <w:spacing w:lineRule="auto" w:line="276"/>
        <w:ind w:firstLine="420"/>
        <w:rPr>
          <w:rFonts w:ascii="微软雅黑" w:eastAsia="微软雅黑" w:hAnsi="微软雅黑"/>
          <w:szCs w:val="21"/>
        </w:rPr>
      </w:pPr>
      <w:r>
        <w:rPr>
          <w:rFonts w:ascii="微软雅黑" w:eastAsia="微软雅黑" w:hAnsi="微软雅黑" w:hint="eastAsia"/>
          <w:szCs w:val="21"/>
        </w:rPr>
        <w:t>平台化的管理系统将为</w:t>
      </w:r>
      <w:r>
        <w:rPr>
          <w:rFonts w:ascii="微软雅黑" w:eastAsia="微软雅黑" w:hAnsi="微软雅黑" w:hint="eastAsia"/>
          <w:szCs w:val="21"/>
        </w:rPr>
        <w:t>医疗机构</w:t>
      </w:r>
      <w:r>
        <w:rPr>
          <w:rFonts w:ascii="微软雅黑" w:eastAsia="微软雅黑" w:hAnsi="微软雅黑" w:hint="eastAsia"/>
          <w:szCs w:val="21"/>
        </w:rPr>
        <w:t>提供设备准入管理、属性管理、运维管理、使用管理、质量控制、应用效益和文档管理。以最终实现对医疗设备的运营质量和使用效益的全面管理目的</w:t>
      </w:r>
      <w:r>
        <w:rPr>
          <w:rFonts w:ascii="微软雅黑" w:eastAsia="微软雅黑" w:hAnsi="微软雅黑" w:hint="eastAsia"/>
          <w:szCs w:val="21"/>
        </w:rPr>
        <w:t>。为了提高平台系统的使用效率和相关数据的实时、准确，系统还需要与设备运营管理相关的其他系统的无缝集成，具备成熟的系统接口。实现与院内科室的终端联网；应用效益分析数据自动从</w:t>
      </w:r>
      <w:r>
        <w:rPr>
          <w:rFonts w:ascii="微软雅黑" w:eastAsia="微软雅黑" w:hAnsi="微软雅黑" w:hint="eastAsia"/>
          <w:szCs w:val="21"/>
        </w:rPr>
        <w:t>HIS\PACS\LIS</w:t>
      </w:r>
      <w:r>
        <w:rPr>
          <w:rFonts w:ascii="微软雅黑" w:eastAsia="微软雅黑" w:hAnsi="微软雅黑" w:hint="eastAsia"/>
          <w:szCs w:val="21"/>
        </w:rPr>
        <w:t>以及耗材管理系统中提取；财务和行政管理系统数据对接实现资产、审批数据互传；设备厂商、供应商等公共平台的信息互传，实现厂商、供应商提供数据上传和相关业务的实时对接。</w:t>
      </w:r>
    </w:p>
    <w:p>
      <w:pPr>
        <w:pStyle w:val="style0"/>
        <w:spacing w:lineRule="auto" w:line="276"/>
        <w:ind w:firstLine="420"/>
        <w:rPr>
          <w:rFonts w:ascii="微软雅黑" w:eastAsia="微软雅黑" w:hAnsi="微软雅黑"/>
          <w:szCs w:val="21"/>
        </w:rPr>
      </w:pPr>
      <w:r>
        <w:rPr>
          <w:rFonts w:ascii="微软雅黑" w:eastAsia="微软雅黑" w:hAnsi="微软雅黑" w:hint="eastAsia"/>
          <w:szCs w:val="21"/>
        </w:rPr>
        <w:t>此次项目还应考虑为系统用户提供最为便捷的使用方式，如采用移动终端应用和无线射频（识别）技术。最大限度的实现用户随时随地使用系统和了解设备状态及运营业务的实</w:t>
      </w:r>
      <w:r>
        <w:rPr>
          <w:rFonts w:ascii="微软雅黑" w:eastAsia="微软雅黑" w:hAnsi="微软雅黑" w:hint="eastAsia"/>
          <w:szCs w:val="21"/>
        </w:rPr>
        <w:t>时动态信息。</w:t>
      </w:r>
    </w:p>
    <w:p>
      <w:pPr>
        <w:pStyle w:val="style0"/>
        <w:spacing w:lineRule="auto" w:line="276"/>
        <w:ind w:left="6" w:leftChars="3"/>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hint="eastAsia"/>
          <w:szCs w:val="21"/>
        </w:rPr>
        <w:t>通过以上要求的实现，该平台可以实现</w:t>
      </w:r>
      <w:r>
        <w:rPr>
          <w:rFonts w:ascii="微软雅黑" w:eastAsia="微软雅黑" w:hAnsi="微软雅黑" w:hint="eastAsia"/>
          <w:szCs w:val="21"/>
        </w:rPr>
        <w:t>各家医疗机构的医疗设备全生命周期信息化管</w:t>
      </w:r>
      <w:r>
        <w:rPr>
          <w:rFonts w:ascii="微软雅黑" w:eastAsia="微软雅黑" w:hAnsi="微软雅黑" w:hint="eastAsia"/>
          <w:szCs w:val="21"/>
        </w:rPr>
        <w:t>理和医疗设备运营质量信息化管理，同时以这两部分数据为基础实现</w:t>
      </w:r>
      <w:r>
        <w:rPr>
          <w:rFonts w:ascii="微软雅黑" w:eastAsia="微软雅黑" w:hAnsi="微软雅黑" w:hint="eastAsia"/>
          <w:szCs w:val="21"/>
        </w:rPr>
        <w:t>医疗设备使用、运维及效益的实时、动态监管。将可以实现对全区医疗机构所有在用的医疗设备和其他相关设备实时、动态和全面的管理。同时以现代化信息技术为工具，融合科学、先进的管理理论和方法，以安全有</w:t>
      </w:r>
      <w:r>
        <w:rPr>
          <w:rFonts w:ascii="微软雅黑" w:eastAsia="微软雅黑" w:hAnsi="微软雅黑"/>
          <w:szCs w:val="21"/>
        </w:rPr>
        <w:t>效为起点，以质量管理为核心，与临床紧密结合，强化技术管理和应用管理于医疗</w:t>
      </w:r>
      <w:r>
        <w:rPr>
          <w:rFonts w:ascii="微软雅黑" w:eastAsia="微软雅黑" w:hAnsi="微软雅黑"/>
          <w:szCs w:val="21"/>
        </w:rPr>
        <w:t>设备全生命周期的整个过程</w:t>
      </w:r>
      <w:r>
        <w:rPr>
          <w:rFonts w:ascii="微软雅黑" w:eastAsia="微软雅黑" w:hAnsi="微软雅黑" w:hint="eastAsia"/>
          <w:szCs w:val="21"/>
        </w:rPr>
        <w:t>。以</w:t>
      </w:r>
      <w:r>
        <w:rPr>
          <w:rFonts w:ascii="微软雅黑" w:eastAsia="微软雅黑" w:hAnsi="微软雅黑"/>
          <w:szCs w:val="21"/>
        </w:rPr>
        <w:t>实现技术管理</w:t>
      </w:r>
      <w:r>
        <w:rPr>
          <w:rFonts w:ascii="微软雅黑" w:eastAsia="微软雅黑" w:hAnsi="微软雅黑" w:hint="eastAsia"/>
          <w:szCs w:val="21"/>
        </w:rPr>
        <w:t>、</w:t>
      </w:r>
      <w:r>
        <w:rPr>
          <w:rFonts w:ascii="微软雅黑" w:eastAsia="微软雅黑" w:hAnsi="微软雅黑"/>
          <w:szCs w:val="21"/>
        </w:rPr>
        <w:t>经济管理</w:t>
      </w:r>
      <w:r>
        <w:rPr>
          <w:rFonts w:ascii="微软雅黑" w:eastAsia="微软雅黑" w:hAnsi="微软雅黑" w:hint="eastAsia"/>
          <w:szCs w:val="21"/>
        </w:rPr>
        <w:t>和行业监管的最佳融合</w:t>
      </w:r>
      <w:r>
        <w:rPr>
          <w:rFonts w:ascii="微软雅黑" w:eastAsia="微软雅黑" w:hAnsi="微软雅黑"/>
          <w:szCs w:val="21"/>
        </w:rPr>
        <w:t>。</w:t>
      </w:r>
    </w:p>
    <w:p>
      <w:pPr>
        <w:pStyle w:val="style0"/>
        <w:spacing w:lineRule="auto" w:line="276"/>
        <w:ind w:firstLine="420"/>
        <w:rPr>
          <w:rFonts w:ascii="微软雅黑" w:eastAsia="微软雅黑" w:hAnsi="微软雅黑"/>
          <w:szCs w:val="21"/>
        </w:rPr>
      </w:pPr>
    </w:p>
    <w:p>
      <w:pPr>
        <w:pStyle w:val="style0"/>
        <w:spacing w:lineRule="auto" w:line="276"/>
        <w:rPr>
          <w:rFonts w:ascii="微软雅黑" w:eastAsia="微软雅黑" w:hAnsi="微软雅黑"/>
          <w:szCs w:val="21"/>
        </w:rPr>
      </w:pPr>
    </w:p>
    <w:p>
      <w:pPr>
        <w:pStyle w:val="style0"/>
        <w:spacing w:lineRule="auto" w:line="276"/>
        <w:rPr>
          <w:rFonts w:ascii="微软雅黑" w:eastAsia="微软雅黑" w:hAnsi="微软雅黑"/>
          <w:szCs w:val="21"/>
        </w:rPr>
      </w:pPr>
    </w:p>
    <w:p>
      <w:pPr>
        <w:pStyle w:val="style0"/>
        <w:spacing w:lineRule="auto" w:line="276"/>
        <w:rPr>
          <w:rFonts w:ascii="微软雅黑" w:eastAsia="微软雅黑" w:hAnsi="微软雅黑"/>
          <w:szCs w:val="21"/>
        </w:rPr>
      </w:pPr>
    </w:p>
    <w:p>
      <w:pPr>
        <w:pStyle w:val="style0"/>
        <w:spacing w:lineRule="auto" w:line="276"/>
        <w:rPr>
          <w:rFonts w:ascii="微软雅黑" w:eastAsia="微软雅黑" w:hAnsi="微软雅黑"/>
          <w:szCs w:val="21"/>
        </w:rPr>
      </w:pPr>
    </w:p>
    <w:p>
      <w:pPr>
        <w:pStyle w:val="style0"/>
        <w:spacing w:lineRule="auto" w:line="276"/>
        <w:rPr>
          <w:rFonts w:ascii="微软雅黑" w:eastAsia="微软雅黑" w:hAnsi="微软雅黑"/>
          <w:szCs w:val="21"/>
        </w:rPr>
      </w:pPr>
    </w:p>
    <w:p>
      <w:pPr>
        <w:pStyle w:val="style0"/>
        <w:spacing w:lineRule="auto" w:line="276"/>
        <w:rPr>
          <w:rFonts w:ascii="微软雅黑" w:eastAsia="微软雅黑" w:hAnsi="微软雅黑"/>
          <w:szCs w:val="21"/>
        </w:rPr>
      </w:pPr>
    </w:p>
    <w:bookmarkStart w:id="5" w:name="_Toc487642442"/>
    <w:p>
      <w:pPr>
        <w:pStyle w:val="style1"/>
        <w:numPr>
          <w:ilvl w:val="0"/>
          <w:numId w:val="2"/>
        </w:numPr>
        <w:spacing w:lineRule="auto" w:line="360"/>
        <w:rPr>
          <w:rFonts w:ascii="微软雅黑" w:hAnsi="微软雅黑"/>
        </w:rPr>
      </w:pPr>
      <w:r>
        <w:rPr>
          <w:rFonts w:ascii="微软雅黑" w:hAnsi="微软雅黑" w:hint="eastAsia"/>
        </w:rPr>
        <w:t>项目方案</w:t>
      </w:r>
      <w:bookmarkEnd w:id="5"/>
    </w:p>
    <w:p>
      <w:pPr>
        <w:pStyle w:val="style0"/>
        <w:spacing w:lineRule="auto" w:line="276"/>
        <w:ind w:left="426"/>
        <w:rPr>
          <w:rFonts w:ascii="微软雅黑" w:eastAsia="微软雅黑" w:hAnsi="微软雅黑"/>
          <w:szCs w:val="21"/>
        </w:rPr>
      </w:pPr>
      <w:r>
        <w:rPr>
          <w:rFonts w:ascii="微软雅黑" w:eastAsia="微软雅黑" w:hAnsi="微软雅黑" w:hint="eastAsia"/>
          <w:szCs w:val="21"/>
        </w:rPr>
        <w:t>此次医疗设备监管及医疗设备管理平台将结合目前各家医疗机构信息化管理现状及技术要求、现代医疗设备管理的体系和标准以及前沿的信息化应用技术。</w:t>
      </w:r>
    </w:p>
    <w:bookmarkStart w:id="6" w:name="_Toc487642443"/>
    <w:p>
      <w:pPr>
        <w:pStyle w:val="style2"/>
        <w:numPr>
          <w:ilvl w:val="1"/>
          <w:numId w:val="2"/>
        </w:numPr>
        <w:spacing w:lineRule="auto" w:line="360"/>
        <w:rPr>
          <w:rFonts w:ascii="微软雅黑" w:eastAsia="微软雅黑" w:hAnsi="微软雅黑"/>
        </w:rPr>
      </w:pPr>
      <w:r>
        <w:rPr>
          <w:rFonts w:ascii="微软雅黑" w:eastAsia="微软雅黑" w:hAnsi="微软雅黑" w:hint="eastAsia"/>
        </w:rPr>
        <w:t>方案实现目标</w:t>
      </w:r>
      <w:bookmarkEnd w:id="6"/>
    </w:p>
    <w:p>
      <w:pPr>
        <w:pStyle w:val="style0"/>
        <w:spacing w:lineRule="auto" w:line="276"/>
        <w:rPr>
          <w:rFonts w:ascii="微软雅黑" w:eastAsia="微软雅黑" w:hAnsi="微软雅黑"/>
          <w:szCs w:val="21"/>
        </w:rPr>
      </w:pPr>
      <w:r>
        <w:rPr>
          <w:rFonts w:ascii="微软雅黑" w:eastAsia="微软雅黑" w:hAnsi="微软雅黑" w:hint="eastAsia"/>
          <w:szCs w:val="21"/>
        </w:rPr>
        <w:t>整体化平台解决方案以“安全性、规范性、实用性和整体性”</w:t>
      </w:r>
      <w:r>
        <w:rPr>
          <w:rFonts w:ascii="微软雅黑" w:eastAsia="微软雅黑" w:hAnsi="微软雅黑" w:hint="eastAsia"/>
          <w:szCs w:val="21"/>
        </w:rPr>
        <w:t> </w:t>
      </w:r>
      <w:r>
        <w:rPr>
          <w:rFonts w:ascii="微软雅黑" w:eastAsia="微软雅黑" w:hAnsi="微软雅黑" w:hint="eastAsia"/>
          <w:szCs w:val="21"/>
        </w:rPr>
        <w:t>为原则，来保证信息系统整体平台建设的安全、可靠的使用；以医疗设备资产管理、设备运维管理、统计报表、决策分析支持、专业项目服务团队为支撑，实现</w:t>
      </w:r>
      <w:r>
        <w:rPr>
          <w:rFonts w:ascii="微软雅黑" w:eastAsia="微软雅黑" w:hAnsi="微软雅黑" w:hint="eastAsia"/>
          <w:szCs w:val="21"/>
        </w:rPr>
        <w:t>各医疗机构的医疗设备信息化管理和区</w:t>
      </w:r>
      <w:r>
        <w:rPr>
          <w:rFonts w:ascii="微软雅黑" w:eastAsia="微软雅黑" w:hAnsi="微软雅黑"/>
          <w:szCs w:val="21"/>
        </w:rPr>
        <w:t>卫计委</w:t>
      </w:r>
      <w:r>
        <w:rPr>
          <w:rFonts w:ascii="微软雅黑" w:eastAsia="微软雅黑" w:hAnsi="微软雅黑" w:hint="eastAsia"/>
          <w:szCs w:val="21"/>
        </w:rPr>
        <w:t>对于全区医疗设备的使用、维护及效益监管。</w:t>
      </w:r>
    </w:p>
    <w:bookmarkStart w:id="7" w:name="_Toc487642444"/>
    <w:p>
      <w:pPr>
        <w:pStyle w:val="style2"/>
        <w:numPr>
          <w:ilvl w:val="2"/>
          <w:numId w:val="2"/>
        </w:numPr>
        <w:spacing w:lineRule="auto" w:line="360"/>
        <w:rPr>
          <w:rFonts w:ascii="微软雅黑" w:eastAsia="微软雅黑" w:hAnsi="微软雅黑"/>
          <w:sz w:val="24"/>
        </w:rPr>
      </w:pPr>
      <w:r>
        <w:rPr>
          <w:rFonts w:ascii="微软雅黑" w:eastAsia="微软雅黑" w:hAnsi="微软雅黑" w:hint="eastAsia"/>
          <w:sz w:val="24"/>
        </w:rPr>
        <w:t>四大原则</w:t>
      </w:r>
      <w:r>
        <w:rPr>
          <w:rFonts w:ascii="微软雅黑" w:eastAsia="微软雅黑" w:hAnsi="微软雅黑" w:hint="eastAsia"/>
          <w:sz w:val="24"/>
        </w:rPr>
        <w:t xml:space="preserve"> -- </w:t>
      </w:r>
      <w:r>
        <w:rPr>
          <w:rFonts w:ascii="微软雅黑" w:eastAsia="微软雅黑" w:hAnsi="微软雅黑" w:hint="eastAsia"/>
          <w:sz w:val="24"/>
        </w:rPr>
        <w:t>安全性、规范性、实用性和整体性：</w:t>
      </w:r>
      <w:bookmarkEnd w:id="7"/>
    </w:p>
    <w:p>
      <w:pPr>
        <w:pStyle w:val="style179"/>
        <w:numPr>
          <w:ilvl w:val="0"/>
          <w:numId w:val="6"/>
        </w:numPr>
        <w:spacing w:lineRule="auto" w:line="276"/>
        <w:ind w:firstLineChars="0"/>
        <w:rPr>
          <w:rFonts w:ascii="微软雅黑" w:eastAsia="微软雅黑" w:hAnsi="微软雅黑"/>
          <w:szCs w:val="21"/>
        </w:rPr>
      </w:pPr>
      <w:r>
        <w:rPr>
          <w:rFonts w:ascii="微软雅黑" w:eastAsia="微软雅黑" w:hAnsi="微软雅黑" w:hint="eastAsia"/>
          <w:b/>
          <w:szCs w:val="21"/>
        </w:rPr>
        <w:t>安全性原则：</w:t>
      </w:r>
      <w:r>
        <w:rPr>
          <w:rFonts w:ascii="微软雅黑" w:eastAsia="微软雅黑" w:hAnsi="微软雅黑" w:hint="eastAsia"/>
          <w:szCs w:val="21"/>
        </w:rPr>
        <w:t>基于大型数据中心</w:t>
      </w:r>
      <w:r>
        <w:rPr>
          <w:rFonts w:ascii="微软雅黑" w:eastAsia="微软雅黑" w:hAnsi="微软雅黑" w:hint="eastAsia"/>
          <w:szCs w:val="21"/>
        </w:rPr>
        <w:t>、强大信息处理环境和高速网络为一体，为医疗机构或者卫计委</w:t>
      </w:r>
      <w:r>
        <w:rPr>
          <w:rFonts w:ascii="微软雅黑" w:eastAsia="微软雅黑" w:hAnsi="微软雅黑" w:hint="eastAsia"/>
          <w:szCs w:val="21"/>
        </w:rPr>
        <w:t>设备监管的信息获取、共享、处理服务，支持实时数据信息处理、协</w:t>
      </w:r>
      <w:r>
        <w:rPr>
          <w:rFonts w:ascii="微软雅黑" w:eastAsia="微软雅黑" w:hAnsi="微软雅黑" w:hint="eastAsia"/>
          <w:szCs w:val="21"/>
        </w:rPr>
        <w:t>同工作及虚拟办公。平台流程操作、数据共享基于网络环境，所以融合了互联网应用信息安全及保密措施，确保系统中的信息资源不被非法窃取和篡改，数据中心不被破坏。同时还将保证用户能够正常使用系统中的共享资源。通过有效的安全保密技术，对终端用户的权限严格界定，根据平台使用的不同角色系统管理、卫计委（主任、业务科室）、医院（临床科室、设备科、管理层</w:t>
      </w:r>
      <w:r>
        <w:rPr>
          <w:rFonts w:ascii="微软雅黑" w:eastAsia="微软雅黑" w:hAnsi="微软雅黑" w:hint="eastAsia"/>
          <w:szCs w:val="21"/>
        </w:rPr>
        <w:t>-</w:t>
      </w:r>
      <w:r>
        <w:rPr>
          <w:rFonts w:ascii="微软雅黑" w:eastAsia="微软雅黑" w:hAnsi="微软雅黑" w:hint="eastAsia"/>
          <w:szCs w:val="21"/>
        </w:rPr>
        <w:t>院长及科室主任）、供应</w:t>
      </w:r>
      <w:r>
        <w:rPr>
          <w:rFonts w:ascii="微软雅黑" w:eastAsia="微软雅黑" w:hAnsi="微软雅黑" w:hint="eastAsia"/>
          <w:szCs w:val="21"/>
        </w:rPr>
        <w:t>商（设备厂商、服务商及工程师）进行权限设定，按照字段级别细分到流程操作和信息查询、修改。</w:t>
      </w:r>
    </w:p>
    <w:p>
      <w:pPr>
        <w:pStyle w:val="style179"/>
        <w:numPr>
          <w:ilvl w:val="0"/>
          <w:numId w:val="6"/>
        </w:numPr>
        <w:spacing w:lineRule="auto" w:line="276"/>
        <w:ind w:firstLineChars="0"/>
        <w:rPr>
          <w:rFonts w:ascii="微软雅黑" w:eastAsia="微软雅黑" w:hAnsi="微软雅黑"/>
          <w:szCs w:val="21"/>
        </w:rPr>
      </w:pPr>
      <w:r>
        <w:rPr>
          <w:rFonts w:ascii="微软雅黑" w:eastAsia="微软雅黑" w:hAnsi="微软雅黑" w:hint="eastAsia"/>
          <w:b/>
          <w:szCs w:val="21"/>
        </w:rPr>
        <w:t>规范性原则：</w:t>
      </w:r>
      <w:r>
        <w:rPr>
          <w:rFonts w:ascii="微软雅黑" w:eastAsia="微软雅黑" w:hAnsi="微软雅黑" w:hint="eastAsia"/>
          <w:szCs w:val="21"/>
        </w:rPr>
        <w:t>数据编码符合严格的技术规范：符合国家法规、区域监管及医疗机构管理要求。系统流程和统计分析严格按照医疗设备质控要求、资产管理标准、专业服务管理（暨考评体系）。通过结合国家医疗设备管理标准、区域化质控要求以及医院自身业务情况，既保证了数据的唯一性和管理的规范性也保留了流程、功能的可扩展性，为医疗设备信息化管理及监管的长期发展奠定良好的数据基础与流程规范。</w:t>
      </w:r>
    </w:p>
    <w:p>
      <w:pPr>
        <w:pStyle w:val="style179"/>
        <w:numPr>
          <w:ilvl w:val="0"/>
          <w:numId w:val="6"/>
        </w:numPr>
        <w:spacing w:lineRule="auto" w:line="276"/>
        <w:ind w:firstLineChars="0"/>
        <w:rPr>
          <w:rFonts w:ascii="微软雅黑" w:eastAsia="微软雅黑" w:hAnsi="微软雅黑"/>
          <w:szCs w:val="21"/>
        </w:rPr>
      </w:pPr>
      <w:r>
        <w:rPr>
          <w:rFonts w:ascii="微软雅黑" w:eastAsia="微软雅黑" w:hAnsi="微软雅黑" w:hint="eastAsia"/>
          <w:b/>
          <w:szCs w:val="21"/>
        </w:rPr>
        <w:t>实用性原则：</w:t>
      </w:r>
      <w:r>
        <w:rPr>
          <w:rFonts w:ascii="微软雅黑" w:eastAsia="微软雅黑" w:hAnsi="微软雅黑" w:hint="eastAsia"/>
          <w:szCs w:val="21"/>
        </w:rPr>
        <w:t>强大的数据处理以及业务管理功能结合</w:t>
      </w:r>
      <w:r>
        <w:rPr>
          <w:rFonts w:ascii="微软雅黑" w:eastAsia="微软雅黑" w:hAnsi="微软雅黑" w:hint="eastAsia"/>
          <w:b/>
          <w:szCs w:val="21"/>
        </w:rPr>
        <w:t>PC</w:t>
      </w:r>
      <w:r>
        <w:rPr>
          <w:rFonts w:ascii="微软雅黑" w:eastAsia="微软雅黑" w:hAnsi="微软雅黑" w:hint="eastAsia"/>
          <w:szCs w:val="21"/>
        </w:rPr>
        <w:t>浏览器</w:t>
      </w:r>
      <w:r>
        <w:rPr>
          <w:rFonts w:ascii="微软雅黑" w:eastAsia="微软雅黑" w:hAnsi="微软雅黑" w:hint="eastAsia"/>
          <w:szCs w:val="21"/>
        </w:rPr>
        <w:t>、智能手机（</w:t>
      </w:r>
      <w:r>
        <w:rPr>
          <w:rFonts w:ascii="微软雅黑" w:eastAsia="微软雅黑" w:hAnsi="微软雅黑" w:hint="eastAsia"/>
          <w:szCs w:val="21"/>
        </w:rPr>
        <w:t>APP</w:t>
      </w:r>
      <w:r>
        <w:rPr>
          <w:rFonts w:ascii="微软雅黑" w:eastAsia="微软雅黑" w:hAnsi="微软雅黑" w:hint="eastAsia"/>
          <w:szCs w:val="21"/>
        </w:rPr>
        <w:t>和微信）和</w:t>
      </w:r>
      <w:r>
        <w:rPr>
          <w:rFonts w:ascii="微软雅黑" w:eastAsia="微软雅黑" w:hAnsi="微软雅黑" w:hint="eastAsia"/>
          <w:szCs w:val="21"/>
        </w:rPr>
        <w:t>PDA</w:t>
      </w:r>
      <w:r>
        <w:rPr>
          <w:rFonts w:ascii="微软雅黑" w:eastAsia="微软雅黑" w:hAnsi="微软雅黑" w:hint="eastAsia"/>
          <w:szCs w:val="21"/>
        </w:rPr>
        <w:t>多种终端部署，方便用户随时随地访问系统，处理医疗设备管理及监管相关业务、实时的获取业务相关数据。同时采用灵活的互动式的功能设计和界面设计，以及便捷的操作实现了功能性和易用性的完美统一。</w:t>
      </w:r>
    </w:p>
    <w:p>
      <w:pPr>
        <w:pStyle w:val="style179"/>
        <w:numPr>
          <w:ilvl w:val="0"/>
          <w:numId w:val="6"/>
        </w:numPr>
        <w:spacing w:lineRule="auto" w:line="276"/>
        <w:ind w:firstLineChars="0"/>
        <w:rPr>
          <w:rFonts w:ascii="微软雅黑" w:eastAsia="微软雅黑" w:hAnsi="微软雅黑"/>
          <w:szCs w:val="21"/>
        </w:rPr>
      </w:pPr>
      <w:r>
        <w:rPr>
          <w:rFonts w:ascii="微软雅黑" w:eastAsia="微软雅黑" w:hAnsi="微软雅黑" w:hint="eastAsia"/>
          <w:b/>
          <w:szCs w:val="21"/>
        </w:rPr>
        <w:t>整体性原则：</w:t>
      </w:r>
      <w:r>
        <w:rPr>
          <w:rFonts w:ascii="微软雅黑" w:eastAsia="微软雅黑" w:hAnsi="微软雅黑" w:hint="eastAsia"/>
          <w:szCs w:val="21"/>
        </w:rPr>
        <w:t>平台融合各家医院的医疗设备管理和</w:t>
      </w:r>
      <w:r>
        <w:rPr>
          <w:rFonts w:ascii="微软雅黑" w:eastAsia="微软雅黑" w:hAnsi="微软雅黑" w:hint="eastAsia"/>
          <w:szCs w:val="21"/>
        </w:rPr>
        <w:t>卫计委的监管要求，同时也兼顾到</w:t>
      </w:r>
      <w:r>
        <w:rPr>
          <w:rFonts w:ascii="微软雅黑" w:eastAsia="微软雅黑" w:hAnsi="微软雅黑" w:hint="eastAsia"/>
          <w:szCs w:val="21"/>
        </w:rPr>
        <w:t>HIS</w:t>
      </w:r>
      <w:r>
        <w:rPr>
          <w:rFonts w:ascii="微软雅黑" w:eastAsia="微软雅黑" w:hAnsi="微软雅黑" w:hint="eastAsia"/>
          <w:szCs w:val="21"/>
        </w:rPr>
        <w:t>、</w:t>
      </w:r>
      <w:r>
        <w:rPr>
          <w:rFonts w:ascii="微软雅黑" w:eastAsia="微软雅黑" w:hAnsi="微软雅黑" w:hint="eastAsia"/>
          <w:szCs w:val="21"/>
        </w:rPr>
        <w:t>LIS</w:t>
      </w:r>
      <w:r>
        <w:rPr>
          <w:rFonts w:ascii="微软雅黑" w:eastAsia="微软雅黑" w:hAnsi="微软雅黑" w:hint="eastAsia"/>
          <w:szCs w:val="21"/>
        </w:rPr>
        <w:t>、</w:t>
      </w:r>
      <w:r>
        <w:rPr>
          <w:rFonts w:ascii="微软雅黑" w:eastAsia="微软雅黑" w:hAnsi="微软雅黑" w:hint="eastAsia"/>
          <w:szCs w:val="21"/>
        </w:rPr>
        <w:t>PACS</w:t>
      </w:r>
      <w:r>
        <w:rPr>
          <w:rFonts w:ascii="微软雅黑" w:eastAsia="微软雅黑" w:hAnsi="微软雅黑" w:hint="eastAsia"/>
          <w:szCs w:val="21"/>
        </w:rPr>
        <w:t>等多层面的结果和管理层次之间的联系，以及不同部门之间流程关联，使之构成一个有机的整体。</w:t>
      </w:r>
      <w:r>
        <w:rPr>
          <w:rFonts w:ascii="微软雅黑" w:eastAsia="微软雅黑" w:hAnsi="微软雅黑" w:hint="eastAsia"/>
          <w:szCs w:val="21"/>
        </w:rPr>
        <w:t xml:space="preserve"> </w:t>
      </w:r>
    </w:p>
    <w:bookmarkStart w:id="8" w:name="_Toc487642445"/>
    <w:p>
      <w:pPr>
        <w:pStyle w:val="style2"/>
        <w:numPr>
          <w:ilvl w:val="2"/>
          <w:numId w:val="2"/>
        </w:numPr>
        <w:spacing w:lineRule="auto" w:line="360"/>
        <w:rPr>
          <w:rFonts w:ascii="微软雅黑" w:eastAsia="微软雅黑" w:hAnsi="微软雅黑"/>
          <w:sz w:val="24"/>
        </w:rPr>
      </w:pPr>
      <w:r>
        <w:rPr>
          <w:rFonts w:ascii="微软雅黑" w:eastAsia="微软雅黑" w:hAnsi="微软雅黑" w:hint="eastAsia"/>
          <w:sz w:val="24"/>
        </w:rPr>
        <w:t>三大体系</w:t>
      </w:r>
      <w:r>
        <w:rPr>
          <w:rFonts w:ascii="微软雅黑" w:eastAsia="微软雅黑" w:hAnsi="微软雅黑"/>
          <w:sz w:val="24"/>
        </w:rPr>
        <w:t>–</w:t>
      </w:r>
      <w:r>
        <w:rPr>
          <w:rFonts w:ascii="微软雅黑" w:eastAsia="微软雅黑" w:hAnsi="微软雅黑" w:hint="eastAsia"/>
          <w:sz w:val="24"/>
        </w:rPr>
        <w:t>全生命周期管理、运营管控和质量监管：</w:t>
      </w:r>
      <w:bookmarkEnd w:id="8"/>
    </w:p>
    <w:p>
      <w:pPr>
        <w:pStyle w:val="style179"/>
        <w:numPr>
          <w:ilvl w:val="0"/>
          <w:numId w:val="6"/>
        </w:numPr>
        <w:spacing w:lineRule="auto" w:line="276"/>
        <w:ind w:firstLineChars="0"/>
        <w:rPr>
          <w:rFonts w:ascii="微软雅黑" w:eastAsia="微软雅黑" w:hAnsi="微软雅黑"/>
          <w:szCs w:val="21"/>
          <w:highlight w:val="yellow"/>
        </w:rPr>
      </w:pPr>
      <w:r>
        <w:rPr>
          <w:rFonts w:ascii="微软雅黑" w:eastAsia="微软雅黑" w:hAnsi="微软雅黑" w:hint="eastAsia"/>
          <w:b/>
          <w:szCs w:val="21"/>
        </w:rPr>
        <w:t>医疗设备全生命周期管理：</w:t>
      </w:r>
      <w:r>
        <w:rPr>
          <w:rFonts w:ascii="微软雅黑" w:eastAsia="微软雅黑" w:hAnsi="微软雅黑" w:hint="eastAsia"/>
          <w:szCs w:val="21"/>
          <w:highlight w:val="yellow"/>
        </w:rPr>
        <w:t>结合临床科室设备配置标准建立“一机一档”，包括：购置评估、采购、验收安装、借用调拨、直至报废处理，以及使用过程中的运行时间、操作人员、培训、维修、维护（保养、巡检、强检、计量、校正和风险巡查）。实现业务数据和扫描文档的管理。并对保养记录、设备故障和服务绩效进行分类，便于进行分析、优化。</w:t>
      </w:r>
    </w:p>
    <w:p>
      <w:pPr>
        <w:pStyle w:val="style179"/>
        <w:numPr>
          <w:ilvl w:val="0"/>
          <w:numId w:val="6"/>
        </w:numPr>
        <w:spacing w:lineRule="auto" w:line="276"/>
        <w:ind w:firstLineChars="0"/>
        <w:rPr>
          <w:rFonts w:ascii="微软雅黑" w:eastAsia="微软雅黑" w:hAnsi="微软雅黑"/>
          <w:szCs w:val="21"/>
          <w:highlight w:val="yellow"/>
        </w:rPr>
      </w:pPr>
      <w:r>
        <w:rPr>
          <w:rFonts w:ascii="微软雅黑" w:eastAsia="微软雅黑" w:hAnsi="微软雅黑" w:hint="eastAsia"/>
          <w:b/>
          <w:szCs w:val="21"/>
        </w:rPr>
        <w:t>医疗设备运营管控：</w:t>
      </w:r>
      <w:r>
        <w:rPr>
          <w:rFonts w:ascii="微软雅黑" w:eastAsia="微软雅黑" w:hAnsi="微软雅黑" w:hint="eastAsia"/>
          <w:b/>
          <w:szCs w:val="21"/>
          <w:highlight w:val="yellow"/>
        </w:rPr>
        <w:t>结合</w:t>
      </w:r>
      <w:r>
        <w:rPr>
          <w:rFonts w:ascii="微软雅黑" w:eastAsia="微软雅黑" w:hAnsi="微软雅黑" w:hint="eastAsia"/>
          <w:szCs w:val="21"/>
          <w:highlight w:val="yellow"/>
        </w:rPr>
        <w:t>国家与行业法规管理（主动收集、学习研讨、遵从落实）、质量控制体系的建设（组织、制度、流程、标准）、档案管理（存档管理规则，日常各类设备及服务报告实施档案管理）、质控自查管理（各类服务规划设计是否符合要求、各类服务规划是否得到执行、发现问题是否得到即时与妥善处理）对设备基础信息、使用维护数据、（效益及状态）评估结果进行组合分析，实现设备使用风险评估管理（临床功能、故障风险、预防性维护的作用、事故历史、设备管理部门或制造商有特殊要求，进行综合打分评定其检测的周期、设备安全使用规范、风险巡查内容和周期）、设备状态评估（保养年度规划、保养执行确认表、设备核心参数指标、设备年度维修信息汇总、设备使用年限、设备使用负荷状况、设备使用操作规则、设备应急预案、设备不良事件管理、设备召回信息监控管理，以综合的信息汇总来对设备状态进行评估和建议，从而确保其使用的安全、有效、可靠。</w:t>
      </w:r>
    </w:p>
    <w:p>
      <w:pPr>
        <w:pStyle w:val="style179"/>
        <w:numPr>
          <w:ilvl w:val="0"/>
          <w:numId w:val="6"/>
        </w:numPr>
        <w:spacing w:lineRule="auto" w:line="276"/>
        <w:ind w:firstLineChars="0"/>
        <w:rPr>
          <w:rFonts w:ascii="微软雅黑" w:eastAsia="微软雅黑" w:hAnsi="微软雅黑"/>
          <w:szCs w:val="21"/>
        </w:rPr>
      </w:pPr>
      <w:r>
        <w:rPr>
          <w:rFonts w:ascii="微软雅黑" w:eastAsia="微软雅黑" w:hAnsi="微软雅黑" w:hint="eastAsia"/>
          <w:b/>
          <w:szCs w:val="21"/>
        </w:rPr>
        <w:t>医疗设备监管：</w:t>
      </w:r>
      <w:r>
        <w:rPr>
          <w:rFonts w:ascii="微软雅黑" w:eastAsia="微软雅黑" w:hAnsi="微软雅黑" w:hint="eastAsia"/>
          <w:szCs w:val="21"/>
        </w:rPr>
        <w:t>基于各家医疗机构的设备运营管控数据，通过监控大屏对全区医疗设备总览、设备运行状态、设备维护进度、紧急事件、高危故障进行实时监控，并对异常事件进行准确定位和详情追溯，相关数据形成统计报表。同时可以对各家医疗机构的设备全生命周期管理和运营管控数据进行实时查询、分析。</w:t>
      </w:r>
    </w:p>
    <w:bookmarkStart w:id="9" w:name="_Toc487642446"/>
    <w:p>
      <w:pPr>
        <w:pStyle w:val="style2"/>
        <w:numPr>
          <w:ilvl w:val="1"/>
          <w:numId w:val="2"/>
        </w:numPr>
        <w:spacing w:lineRule="auto" w:line="360"/>
        <w:rPr>
          <w:rFonts w:ascii="微软雅黑" w:eastAsia="微软雅黑" w:hAnsi="微软雅黑"/>
        </w:rPr>
      </w:pPr>
      <w:r>
        <w:rPr>
          <w:rFonts w:ascii="微软雅黑" w:eastAsia="微软雅黑" w:hAnsi="微软雅黑" w:hint="eastAsia"/>
        </w:rPr>
        <w:t>方案实现功能</w:t>
      </w:r>
      <w:bookmarkEnd w:id="9"/>
    </w:p>
    <w:p>
      <w:pPr>
        <w:pStyle w:val="style0"/>
        <w:spacing w:lineRule="auto" w:line="276"/>
        <w:ind w:firstLine="283" w:firstLineChars="135"/>
        <w:rPr>
          <w:rFonts w:ascii="微软雅黑" w:eastAsia="微软雅黑" w:hAnsi="微软雅黑"/>
          <w:szCs w:val="21"/>
        </w:rPr>
      </w:pPr>
      <w:r>
        <w:rPr>
          <w:rFonts w:ascii="微软雅黑" w:eastAsia="微软雅黑" w:hAnsi="微软雅黑" w:hint="eastAsia"/>
          <w:szCs w:val="21"/>
        </w:rPr>
        <w:t>医疗设备管理工作资料纷繁复杂。设备管理信息靠人工进行采集和存档，就无法避免信</w:t>
      </w:r>
      <w:r>
        <w:rPr>
          <w:rFonts w:ascii="微软雅黑" w:eastAsia="微软雅黑" w:hAnsi="微软雅黑" w:hint="eastAsia"/>
          <w:szCs w:val="21"/>
        </w:rPr>
        <w:t>息采集和录入的不规范，会导致重要信息的遗漏。在医疗设备计划论证、采购合同、收发存储、验收入帐、安装使用、维修</w:t>
      </w:r>
      <w:r>
        <w:rPr>
          <w:rFonts w:ascii="微软雅黑" w:eastAsia="微软雅黑" w:hAnsi="微软雅黑" w:hint="eastAsia"/>
          <w:szCs w:val="21"/>
        </w:rPr>
        <w:t>保养、效益分析、文件存档、计量检定、商业信息等方面。我们的平台化系统方案应用计算机技术、移动应用技术和无线射频技术，实现管理工作信息化和标准化。从而规范临床医学工程部门的工作流程，完成对医疗设备的全生命周期管理、运营质量管控和行政监管。其主要包括医疗设备以医疗设备资产管理、设备运维管理、统计报表、决策分析支持、专业项目服务团队等主要功能支撑。</w:t>
      </w:r>
    </w:p>
    <w:bookmarkStart w:id="10" w:name="_Toc487642447"/>
    <w:p>
      <w:pPr>
        <w:pStyle w:val="style2"/>
        <w:numPr>
          <w:ilvl w:val="2"/>
          <w:numId w:val="2"/>
        </w:numPr>
        <w:spacing w:lineRule="auto" w:line="360"/>
        <w:rPr>
          <w:rFonts w:ascii="微软雅黑" w:eastAsia="微软雅黑" w:hAnsi="微软雅黑"/>
          <w:sz w:val="24"/>
        </w:rPr>
      </w:pPr>
      <w:r>
        <w:rPr>
          <w:rFonts w:ascii="微软雅黑" w:eastAsia="微软雅黑" w:hAnsi="微软雅黑" w:hint="eastAsia"/>
          <w:sz w:val="24"/>
        </w:rPr>
        <w:t>医疗设备资产管理：</w:t>
      </w:r>
      <w:bookmarkEnd w:id="10"/>
    </w:p>
    <w:p>
      <w:pPr>
        <w:pStyle w:val="style0"/>
        <w:spacing w:lineRule="auto" w:line="276"/>
        <w:ind w:firstLine="426"/>
        <w:rPr>
          <w:rFonts w:ascii="微软雅黑" w:eastAsia="微软雅黑" w:hAnsi="微软雅黑"/>
          <w:szCs w:val="21"/>
        </w:rPr>
      </w:pPr>
      <w:r>
        <w:rPr>
          <w:rFonts w:ascii="微软雅黑" w:eastAsia="微软雅黑" w:hAnsi="微软雅黑" w:hint="eastAsia"/>
          <w:szCs w:val="21"/>
        </w:rPr>
        <w:t>保证医疗设备的合理、合法引进，发挥它们的经济效益与社会效益，临床诊断与治疗的有效性等，而对它们的临床合理使用与安全管理却很少提及。该系统的实施和使</w:t>
      </w:r>
      <w:r>
        <w:rPr>
          <w:rFonts w:ascii="微软雅黑" w:eastAsia="微软雅黑" w:hAnsi="微软雅黑" w:hint="eastAsia"/>
          <w:szCs w:val="21"/>
        </w:rPr>
        <w:t>用，使得原先难以即时获取的设备信息可以实时反映，设备的历史记录、现用状态、预期情况等可以做到一目了然，能准确反映和统计每一个安全监管环节。</w:t>
      </w:r>
    </w:p>
    <w:p>
      <w:pPr>
        <w:pStyle w:val="style179"/>
        <w:spacing w:lineRule="auto" w:line="276"/>
        <w:ind w:left="907" w:firstLine="0" w:firstLineChars="0"/>
        <w:rPr>
          <w:rFonts w:ascii="微软雅黑" w:eastAsia="微软雅黑" w:hAnsi="微软雅黑"/>
          <w:szCs w:val="21"/>
        </w:rPr>
      </w:pPr>
    </w:p>
    <w:p>
      <w:pPr>
        <w:pStyle w:val="style179"/>
        <w:numPr>
          <w:ilvl w:val="0"/>
          <w:numId w:val="1"/>
        </w:numPr>
        <w:spacing w:lineRule="auto" w:line="276"/>
        <w:ind w:firstLineChars="0"/>
        <w:rPr>
          <w:rFonts w:ascii="微软雅黑" w:eastAsia="微软雅黑" w:hAnsi="微软雅黑"/>
          <w:b/>
          <w:sz w:val="22"/>
          <w:szCs w:val="21"/>
        </w:rPr>
      </w:pPr>
      <w:r>
        <w:rPr>
          <w:rFonts w:ascii="微软雅黑" w:eastAsia="微软雅黑" w:hAnsi="微软雅黑" w:hint="eastAsia"/>
          <w:b/>
          <w:sz w:val="22"/>
          <w:szCs w:val="21"/>
        </w:rPr>
        <w:t>合同管理</w:t>
      </w:r>
    </w:p>
    <w:p>
      <w:pPr>
        <w:pStyle w:val="style179"/>
        <w:numPr>
          <w:ilvl w:val="0"/>
          <w:numId w:val="5"/>
        </w:numPr>
        <w:spacing w:lineRule="auto" w:line="276"/>
        <w:ind w:firstLineChars="0"/>
        <w:rPr>
          <w:rFonts w:ascii="微软雅黑" w:eastAsia="微软雅黑" w:hAnsi="微软雅黑"/>
          <w:szCs w:val="21"/>
        </w:rPr>
      </w:pPr>
      <w:r>
        <w:rPr>
          <w:rFonts w:ascii="微软雅黑" w:eastAsia="微软雅黑" w:hAnsi="微软雅黑" w:hint="eastAsia"/>
          <w:szCs w:val="21"/>
        </w:rPr>
        <w:t>合同管理按照采购类别区分为：“设备采购”和“服务（保养和维修）采购”。录入合同其与发票和付款关联，记录合同详情并对合同期限和付款进行提醒。</w:t>
      </w:r>
    </w:p>
    <w:p>
      <w:pPr>
        <w:pStyle w:val="style179"/>
        <w:numPr>
          <w:ilvl w:val="0"/>
          <w:numId w:val="1"/>
        </w:numPr>
        <w:spacing w:lineRule="auto" w:line="276"/>
        <w:ind w:firstLineChars="0"/>
        <w:rPr>
          <w:rFonts w:ascii="微软雅黑" w:eastAsia="微软雅黑" w:hAnsi="微软雅黑"/>
          <w:b/>
          <w:sz w:val="22"/>
          <w:szCs w:val="21"/>
          <w:highlight w:val="yellow"/>
        </w:rPr>
      </w:pPr>
      <w:r>
        <w:rPr>
          <w:rFonts w:ascii="微软雅黑" w:eastAsia="微软雅黑" w:hAnsi="微软雅黑" w:hint="eastAsia"/>
          <w:b/>
          <w:sz w:val="22"/>
          <w:szCs w:val="21"/>
          <w:highlight w:val="yellow"/>
        </w:rPr>
        <w:t>验收、安装管理</w:t>
      </w:r>
    </w:p>
    <w:p>
      <w:pPr>
        <w:pStyle w:val="style179"/>
        <w:numPr>
          <w:ilvl w:val="1"/>
          <w:numId w:val="1"/>
        </w:numPr>
        <w:spacing w:lineRule="auto" w:line="276"/>
        <w:ind w:firstLineChars="0"/>
        <w:rPr>
          <w:rFonts w:ascii="微软雅黑" w:eastAsia="微软雅黑" w:hAnsi="微软雅黑"/>
          <w:b/>
          <w:sz w:val="22"/>
          <w:szCs w:val="21"/>
          <w:highlight w:val="yellow"/>
        </w:rPr>
      </w:pPr>
      <w:r>
        <w:rPr>
          <w:rFonts w:ascii="微软雅黑" w:eastAsia="微软雅黑" w:hAnsi="微软雅黑" w:hint="eastAsia"/>
          <w:b/>
          <w:sz w:val="22"/>
          <w:szCs w:val="21"/>
          <w:highlight w:val="yellow"/>
        </w:rPr>
        <w:t>验收</w:t>
      </w:r>
    </w:p>
    <w:p>
      <w:pPr>
        <w:pStyle w:val="style179"/>
        <w:numPr>
          <w:ilvl w:val="0"/>
          <w:numId w:val="5"/>
        </w:numPr>
        <w:spacing w:lineRule="auto" w:line="276"/>
        <w:ind w:firstLineChars="0"/>
        <w:rPr>
          <w:rFonts w:ascii="微软雅黑" w:eastAsia="微软雅黑" w:hAnsi="微软雅黑"/>
          <w:szCs w:val="21"/>
          <w:highlight w:val="yellow"/>
        </w:rPr>
      </w:pPr>
      <w:r>
        <w:rPr>
          <w:rFonts w:ascii="微软雅黑" w:eastAsia="微软雅黑" w:hAnsi="微软雅黑" w:hint="eastAsia"/>
          <w:szCs w:val="21"/>
          <w:highlight w:val="yellow"/>
        </w:rPr>
        <w:t>系统记录并显示已提交的到货验收列表，对应合同显示待验收信息行。显示合同约定的应到货数量及应到货时间等。同时也可手工新建到货验收单，根据工程师提供的验收单、合同（包括设备清单）和现场验收结果，在系统中录入验收单。</w:t>
      </w:r>
    </w:p>
    <w:p>
      <w:pPr>
        <w:pStyle w:val="style179"/>
        <w:numPr>
          <w:ilvl w:val="1"/>
          <w:numId w:val="1"/>
        </w:numPr>
        <w:spacing w:lineRule="auto" w:line="276"/>
        <w:ind w:firstLineChars="0"/>
        <w:rPr>
          <w:rFonts w:ascii="微软雅黑" w:eastAsia="微软雅黑" w:hAnsi="微软雅黑"/>
          <w:b/>
          <w:sz w:val="22"/>
          <w:szCs w:val="21"/>
          <w:highlight w:val="yellow"/>
        </w:rPr>
      </w:pPr>
      <w:r>
        <w:rPr>
          <w:rFonts w:ascii="微软雅黑" w:eastAsia="微软雅黑" w:hAnsi="微软雅黑" w:hint="eastAsia"/>
          <w:b/>
          <w:sz w:val="22"/>
          <w:szCs w:val="21"/>
          <w:highlight w:val="yellow"/>
        </w:rPr>
        <w:t>安装</w:t>
      </w:r>
    </w:p>
    <w:p>
      <w:pPr>
        <w:pStyle w:val="style179"/>
        <w:numPr>
          <w:ilvl w:val="0"/>
          <w:numId w:val="5"/>
        </w:numPr>
        <w:spacing w:lineRule="auto" w:line="276"/>
        <w:ind w:firstLineChars="0"/>
        <w:rPr>
          <w:rFonts w:ascii="微软雅黑" w:eastAsia="微软雅黑" w:hAnsi="微软雅黑"/>
          <w:szCs w:val="21"/>
          <w:highlight w:val="yellow"/>
        </w:rPr>
      </w:pPr>
      <w:r>
        <w:rPr>
          <w:rFonts w:ascii="微软雅黑" w:eastAsia="微软雅黑" w:hAnsi="微软雅黑" w:hint="eastAsia"/>
          <w:szCs w:val="21"/>
          <w:highlight w:val="yellow"/>
        </w:rPr>
        <w:t>系统记录并显示合同单号，使用科室，设备名称，厂家，产地，供应商（以上内容自动生成），设备安装日期，验收日期，验收评价，设备使用日期，设备入库日期，设备维护记录（分为自保和买保）</w:t>
      </w:r>
    </w:p>
    <w:p>
      <w:pPr>
        <w:pStyle w:val="style179"/>
        <w:spacing w:lineRule="auto" w:line="276"/>
        <w:ind w:left="900" w:firstLine="0" w:firstLineChars="0"/>
        <w:rPr>
          <w:rFonts w:ascii="微软雅黑" w:eastAsia="微软雅黑" w:hAnsi="微软雅黑"/>
          <w:szCs w:val="21"/>
          <w:highlight w:val="yellow"/>
        </w:rPr>
      </w:pPr>
    </w:p>
    <w:p>
      <w:pPr>
        <w:pStyle w:val="style179"/>
        <w:numPr>
          <w:ilvl w:val="0"/>
          <w:numId w:val="1"/>
        </w:numPr>
        <w:spacing w:lineRule="auto" w:line="276"/>
        <w:ind w:firstLineChars="0"/>
        <w:rPr>
          <w:rFonts w:ascii="微软雅黑" w:eastAsia="微软雅黑" w:hAnsi="微软雅黑"/>
          <w:b/>
          <w:sz w:val="22"/>
          <w:szCs w:val="21"/>
          <w:highlight w:val="yellow"/>
        </w:rPr>
      </w:pPr>
      <w:r>
        <w:rPr>
          <w:rFonts w:ascii="微软雅黑" w:eastAsia="微软雅黑" w:hAnsi="微软雅黑" w:hint="eastAsia"/>
          <w:b/>
          <w:sz w:val="22"/>
          <w:szCs w:val="21"/>
          <w:highlight w:val="yellow"/>
        </w:rPr>
        <w:t>设备基础档案管理</w:t>
      </w:r>
    </w:p>
    <w:p>
      <w:pPr>
        <w:pStyle w:val="style179"/>
        <w:numPr>
          <w:ilvl w:val="0"/>
          <w:numId w:val="5"/>
        </w:numPr>
        <w:spacing w:lineRule="auto" w:line="276"/>
        <w:ind w:firstLineChars="0"/>
        <w:rPr>
          <w:rFonts w:ascii="微软雅黑" w:eastAsia="微软雅黑" w:hAnsi="微软雅黑"/>
          <w:szCs w:val="21"/>
          <w:highlight w:val="yellow"/>
        </w:rPr>
      </w:pPr>
      <w:r>
        <w:rPr>
          <w:rFonts w:ascii="微软雅黑" w:eastAsia="微软雅黑" w:hAnsi="微软雅黑" w:hint="eastAsia"/>
          <w:szCs w:val="21"/>
          <w:highlight w:val="yellow"/>
        </w:rPr>
        <w:t>采购资料：购置申请、批文、标书、三证（医疗器械经营许可证、医疗器械注册证及登记表、营业执照）、合格证（国产）/海关商检证明（进口）、合同、验收记录单、发票。</w:t>
      </w:r>
    </w:p>
    <w:p>
      <w:pPr>
        <w:pStyle w:val="style179"/>
        <w:numPr>
          <w:ilvl w:val="0"/>
          <w:numId w:val="5"/>
        </w:numPr>
        <w:spacing w:lineRule="auto" w:line="276"/>
        <w:ind w:firstLineChars="0"/>
        <w:rPr>
          <w:rFonts w:ascii="微软雅黑" w:eastAsia="微软雅黑" w:hAnsi="微软雅黑"/>
          <w:szCs w:val="21"/>
          <w:highlight w:val="yellow"/>
        </w:rPr>
      </w:pPr>
      <w:r>
        <w:rPr>
          <w:rFonts w:ascii="微软雅黑" w:eastAsia="微软雅黑" w:hAnsi="微软雅黑" w:hint="eastAsia"/>
          <w:szCs w:val="21"/>
          <w:highlight w:val="yellow"/>
        </w:rPr>
        <w:t>技术资料：技术手册（使用说明书、维修手册、图册）、装箱单、光盘等。添加每一个说明书的具体名称，数量、存档时间、自动生成编号，方便在线查阅。</w:t>
      </w:r>
    </w:p>
    <w:p>
      <w:pPr>
        <w:pStyle w:val="style179"/>
        <w:spacing w:lineRule="auto" w:line="276"/>
        <w:ind w:left="425" w:firstLine="0" w:firstLineChars="0"/>
        <w:rPr>
          <w:rFonts w:ascii="微软雅黑" w:eastAsia="微软雅黑" w:hAnsi="微软雅黑"/>
          <w:b/>
          <w:sz w:val="22"/>
          <w:szCs w:val="21"/>
        </w:rPr>
      </w:pPr>
    </w:p>
    <w:p>
      <w:pPr>
        <w:pStyle w:val="style179"/>
        <w:numPr>
          <w:ilvl w:val="0"/>
          <w:numId w:val="1"/>
        </w:numPr>
        <w:spacing w:lineRule="auto" w:line="276"/>
        <w:ind w:firstLineChars="0"/>
        <w:rPr>
          <w:rFonts w:ascii="微软雅黑" w:eastAsia="微软雅黑" w:hAnsi="微软雅黑"/>
          <w:b/>
          <w:sz w:val="22"/>
          <w:szCs w:val="21"/>
        </w:rPr>
      </w:pPr>
      <w:r>
        <w:rPr>
          <w:rFonts w:ascii="微软雅黑" w:eastAsia="微软雅黑" w:hAnsi="微软雅黑" w:hint="eastAsia"/>
          <w:b/>
          <w:sz w:val="22"/>
          <w:szCs w:val="21"/>
        </w:rPr>
        <w:t>设备折旧管理</w:t>
      </w:r>
    </w:p>
    <w:p>
      <w:pPr>
        <w:pStyle w:val="style179"/>
        <w:numPr>
          <w:ilvl w:val="0"/>
          <w:numId w:val="5"/>
        </w:numPr>
        <w:spacing w:lineRule="auto" w:line="276"/>
        <w:ind w:left="425" w:firstLine="0" w:firstLineChars="0"/>
        <w:rPr>
          <w:rFonts w:ascii="微软雅黑" w:eastAsia="微软雅黑" w:hAnsi="微软雅黑"/>
          <w:b/>
          <w:sz w:val="22"/>
          <w:szCs w:val="21"/>
        </w:rPr>
      </w:pPr>
      <w:r>
        <w:rPr>
          <w:rFonts w:ascii="微软雅黑" w:eastAsia="微软雅黑" w:hAnsi="微软雅黑" w:hint="eastAsia"/>
          <w:szCs w:val="21"/>
        </w:rPr>
        <w:t>系统对采购入院使用的设备记录折旧年限，根据设备原值每年自动计算折旧金额，</w:t>
      </w:r>
    </w:p>
    <w:p>
      <w:pPr>
        <w:pStyle w:val="style179"/>
        <w:spacing w:lineRule="auto" w:line="276"/>
        <w:ind w:left="425" w:firstLineChars="0"/>
        <w:rPr>
          <w:rFonts w:ascii="微软雅黑" w:eastAsia="微软雅黑" w:hAnsi="微软雅黑"/>
          <w:szCs w:val="21"/>
        </w:rPr>
      </w:pPr>
      <w:r>
        <w:rPr>
          <w:rFonts w:ascii="微软雅黑" w:eastAsia="微软雅黑" w:hAnsi="微软雅黑" w:hint="eastAsia"/>
          <w:szCs w:val="21"/>
        </w:rPr>
        <w:t>实现设备当前现值统计和折旧报废提醒。</w:t>
      </w:r>
    </w:p>
    <w:p>
      <w:pPr>
        <w:pStyle w:val="style179"/>
        <w:spacing w:lineRule="auto" w:line="276"/>
        <w:ind w:left="425" w:firstLineChars="0"/>
        <w:rPr>
          <w:rFonts w:ascii="微软雅黑" w:eastAsia="微软雅黑" w:hAnsi="微软雅黑"/>
          <w:b/>
          <w:sz w:val="22"/>
          <w:szCs w:val="21"/>
        </w:rPr>
      </w:pPr>
    </w:p>
    <w:p>
      <w:pPr>
        <w:pStyle w:val="style179"/>
        <w:numPr>
          <w:ilvl w:val="0"/>
          <w:numId w:val="1"/>
        </w:numPr>
        <w:spacing w:lineRule="auto" w:line="276"/>
        <w:ind w:firstLineChars="0"/>
        <w:rPr>
          <w:rFonts w:ascii="微软雅黑" w:eastAsia="微软雅黑" w:hAnsi="微软雅黑"/>
          <w:b/>
          <w:sz w:val="22"/>
          <w:szCs w:val="21"/>
        </w:rPr>
      </w:pPr>
      <w:r>
        <w:rPr>
          <w:rFonts w:ascii="微软雅黑" w:eastAsia="微软雅黑" w:hAnsi="微软雅黑" w:hint="eastAsia"/>
          <w:b/>
          <w:sz w:val="22"/>
          <w:szCs w:val="21"/>
        </w:rPr>
        <w:t>调拨、借用管理</w:t>
      </w:r>
    </w:p>
    <w:p>
      <w:pPr>
        <w:pStyle w:val="style179"/>
        <w:numPr>
          <w:ilvl w:val="0"/>
          <w:numId w:val="5"/>
        </w:numPr>
        <w:spacing w:lineRule="auto" w:line="276"/>
        <w:ind w:left="425" w:firstLine="0" w:firstLineChars="0"/>
        <w:rPr>
          <w:rFonts w:ascii="微软雅黑" w:eastAsia="微软雅黑" w:hAnsi="微软雅黑"/>
          <w:szCs w:val="21"/>
        </w:rPr>
      </w:pPr>
      <w:r>
        <w:rPr>
          <w:rFonts w:ascii="微软雅黑" w:eastAsia="微软雅黑" w:hAnsi="微软雅黑" w:hint="eastAsia"/>
          <w:szCs w:val="21"/>
        </w:rPr>
        <w:t>通过移动终端扫码提交设备调拨、借用申请，系统自动推送提醒给设备科及相</w:t>
      </w:r>
      <w:r>
        <w:rPr>
          <w:rFonts w:ascii="微软雅黑" w:eastAsia="微软雅黑" w:hAnsi="微软雅黑" w:hint="eastAsia"/>
          <w:szCs w:val="21"/>
        </w:rPr>
        <w:t>关审</w:t>
      </w:r>
    </w:p>
    <w:p>
      <w:pPr>
        <w:pStyle w:val="style179"/>
        <w:spacing w:lineRule="auto" w:line="276"/>
        <w:ind w:left="425" w:firstLineChars="0"/>
        <w:rPr>
          <w:rFonts w:ascii="微软雅黑" w:eastAsia="微软雅黑" w:hAnsi="微软雅黑"/>
          <w:szCs w:val="21"/>
        </w:rPr>
      </w:pPr>
      <w:r>
        <w:rPr>
          <w:rFonts w:ascii="微软雅黑" w:eastAsia="微软雅黑" w:hAnsi="微软雅黑" w:hint="eastAsia"/>
          <w:szCs w:val="21"/>
        </w:rPr>
        <w:t>批领导，审批结果自动推送提醒给申请提起用户。申请科室、医生通过手机完成调</w:t>
      </w:r>
    </w:p>
    <w:p>
      <w:pPr>
        <w:pStyle w:val="style179"/>
        <w:spacing w:lineRule="auto" w:line="276"/>
        <w:ind w:left="425" w:firstLineChars="0"/>
        <w:rPr>
          <w:rFonts w:ascii="微软雅黑" w:eastAsia="微软雅黑" w:hAnsi="微软雅黑"/>
          <w:szCs w:val="21"/>
        </w:rPr>
      </w:pPr>
      <w:r>
        <w:rPr>
          <w:rFonts w:ascii="微软雅黑" w:eastAsia="微软雅黑" w:hAnsi="微软雅黑" w:hint="eastAsia"/>
          <w:szCs w:val="21"/>
        </w:rPr>
        <w:t>入、借入确认。调拨设备自动更改所属和使用科室信息，借用设备所属科室不变更，</w:t>
      </w:r>
    </w:p>
    <w:p>
      <w:pPr>
        <w:pStyle w:val="style179"/>
        <w:spacing w:lineRule="auto" w:line="276"/>
        <w:ind w:left="425" w:firstLineChars="0"/>
        <w:rPr>
          <w:rFonts w:ascii="微软雅黑" w:eastAsia="微软雅黑" w:hAnsi="微软雅黑"/>
          <w:szCs w:val="21"/>
        </w:rPr>
      </w:pPr>
      <w:r>
        <w:rPr>
          <w:rFonts w:ascii="微软雅黑" w:eastAsia="微软雅黑" w:hAnsi="微软雅黑" w:hint="eastAsia"/>
          <w:szCs w:val="21"/>
        </w:rPr>
        <w:t>但使用科室信息自动变更。</w:t>
      </w:r>
    </w:p>
    <w:p>
      <w:pPr>
        <w:pStyle w:val="style179"/>
        <w:spacing w:lineRule="auto" w:line="276"/>
        <w:ind w:left="425" w:firstLine="0" w:firstLineChars="0"/>
        <w:rPr>
          <w:rFonts w:ascii="微软雅黑" w:eastAsia="微软雅黑" w:hAnsi="微软雅黑"/>
          <w:b/>
          <w:sz w:val="22"/>
          <w:szCs w:val="21"/>
        </w:rPr>
      </w:pPr>
    </w:p>
    <w:p>
      <w:pPr>
        <w:pStyle w:val="style179"/>
        <w:numPr>
          <w:ilvl w:val="0"/>
          <w:numId w:val="1"/>
        </w:numPr>
        <w:spacing w:lineRule="auto" w:line="276"/>
        <w:ind w:firstLineChars="0"/>
        <w:rPr>
          <w:rFonts w:ascii="微软雅黑" w:eastAsia="微软雅黑" w:hAnsi="微软雅黑"/>
          <w:b/>
          <w:sz w:val="22"/>
          <w:szCs w:val="21"/>
        </w:rPr>
      </w:pPr>
      <w:r>
        <w:rPr>
          <w:rFonts w:ascii="微软雅黑" w:eastAsia="微软雅黑" w:hAnsi="微软雅黑" w:hint="eastAsia"/>
          <w:b/>
          <w:sz w:val="22"/>
          <w:szCs w:val="21"/>
        </w:rPr>
        <w:t>报废管理</w:t>
      </w:r>
    </w:p>
    <w:p>
      <w:pPr>
        <w:pStyle w:val="style179"/>
        <w:numPr>
          <w:ilvl w:val="0"/>
          <w:numId w:val="5"/>
        </w:numPr>
        <w:spacing w:lineRule="auto" w:line="276"/>
        <w:ind w:left="425" w:firstLine="0" w:firstLineChars="0"/>
        <w:rPr>
          <w:rFonts w:ascii="微软雅黑" w:eastAsia="微软雅黑" w:hAnsi="微软雅黑"/>
          <w:szCs w:val="21"/>
        </w:rPr>
      </w:pPr>
      <w:r>
        <w:rPr>
          <w:rFonts w:ascii="微软雅黑" w:eastAsia="微软雅黑" w:hAnsi="微软雅黑" w:hint="eastAsia"/>
          <w:szCs w:val="21"/>
        </w:rPr>
        <w:t>通过系统在线申报，申请人通过电脑客户端搜索（或手机扫码）录入待报废设备信</w:t>
      </w:r>
    </w:p>
    <w:p>
      <w:pPr>
        <w:pStyle w:val="style179"/>
        <w:spacing w:lineRule="auto" w:line="276"/>
        <w:ind w:left="425" w:firstLineChars="0"/>
        <w:rPr>
          <w:rFonts w:ascii="微软雅黑" w:eastAsia="微软雅黑" w:hAnsi="微软雅黑"/>
          <w:szCs w:val="21"/>
        </w:rPr>
      </w:pPr>
      <w:r>
        <w:rPr>
          <w:rFonts w:ascii="微软雅黑" w:eastAsia="微软雅黑" w:hAnsi="微软雅黑" w:hint="eastAsia"/>
          <w:szCs w:val="21"/>
        </w:rPr>
        <w:t>息后和报废原因后，系统自动生成设备报废申请。系统也会根据设备使用年限（折</w:t>
      </w:r>
    </w:p>
    <w:p>
      <w:pPr>
        <w:pStyle w:val="style179"/>
        <w:spacing w:lineRule="auto" w:line="276"/>
        <w:ind w:left="425" w:firstLineChars="0"/>
        <w:rPr>
          <w:rFonts w:ascii="微软雅黑" w:eastAsia="微软雅黑" w:hAnsi="微软雅黑"/>
          <w:szCs w:val="21"/>
        </w:rPr>
      </w:pPr>
      <w:r>
        <w:rPr>
          <w:rFonts w:ascii="微软雅黑" w:eastAsia="微软雅黑" w:hAnsi="微软雅黑" w:hint="eastAsia"/>
          <w:szCs w:val="21"/>
        </w:rPr>
        <w:t>旧）要求，自动提醒使用人员提交报废申请。设备科确认后，报废申请进入审批流</w:t>
      </w:r>
    </w:p>
    <w:p>
      <w:pPr>
        <w:pStyle w:val="style179"/>
        <w:spacing w:lineRule="auto" w:line="276"/>
        <w:ind w:left="425" w:firstLineChars="0"/>
        <w:rPr>
          <w:rFonts w:ascii="微软雅黑" w:eastAsia="微软雅黑" w:hAnsi="微软雅黑"/>
          <w:szCs w:val="21"/>
        </w:rPr>
      </w:pPr>
      <w:r>
        <w:rPr>
          <w:rFonts w:ascii="微软雅黑" w:eastAsia="微软雅黑" w:hAnsi="微软雅黑" w:hint="eastAsia"/>
          <w:szCs w:val="21"/>
        </w:rPr>
        <w:t>程，设备状态成为待报废。报废设备已经交付处理接收方），设备科通过系统记录</w:t>
      </w:r>
    </w:p>
    <w:p>
      <w:pPr>
        <w:pStyle w:val="style179"/>
        <w:spacing w:lineRule="auto" w:line="276"/>
        <w:ind w:left="425" w:firstLineChars="0"/>
        <w:rPr>
          <w:rFonts w:ascii="微软雅黑" w:eastAsia="微软雅黑" w:hAnsi="微软雅黑"/>
          <w:szCs w:val="21"/>
        </w:rPr>
      </w:pPr>
      <w:r>
        <w:rPr>
          <w:rFonts w:ascii="微软雅黑" w:eastAsia="微软雅黑" w:hAnsi="微软雅黑" w:hint="eastAsia"/>
          <w:szCs w:val="21"/>
        </w:rPr>
        <w:t>报废完成。</w:t>
      </w:r>
    </w:p>
    <w:p>
      <w:pPr>
        <w:pStyle w:val="style0"/>
        <w:spacing w:lineRule="auto" w:line="276"/>
        <w:rPr>
          <w:rFonts w:ascii="微软雅黑" w:eastAsia="微软雅黑" w:hAnsi="微软雅黑"/>
          <w:szCs w:val="21"/>
        </w:rPr>
      </w:pPr>
    </w:p>
    <w:p>
      <w:pPr>
        <w:pStyle w:val="style179"/>
        <w:numPr>
          <w:ilvl w:val="0"/>
          <w:numId w:val="1"/>
        </w:numPr>
        <w:spacing w:lineRule="auto" w:line="276"/>
        <w:ind w:firstLineChars="0"/>
        <w:rPr>
          <w:rFonts w:ascii="微软雅黑" w:eastAsia="微软雅黑" w:hAnsi="微软雅黑"/>
          <w:b/>
          <w:sz w:val="22"/>
          <w:szCs w:val="21"/>
        </w:rPr>
      </w:pPr>
      <w:r>
        <w:rPr>
          <w:rFonts w:ascii="微软雅黑" w:eastAsia="微软雅黑" w:hAnsi="微软雅黑" w:hint="eastAsia"/>
          <w:b/>
          <w:sz w:val="22"/>
          <w:szCs w:val="21"/>
        </w:rPr>
        <w:t>RFID</w:t>
      </w:r>
      <w:r>
        <w:rPr>
          <w:rFonts w:ascii="微软雅黑" w:eastAsia="微软雅黑" w:hAnsi="微软雅黑" w:hint="eastAsia"/>
          <w:b/>
          <w:sz w:val="22"/>
          <w:szCs w:val="21"/>
        </w:rPr>
        <w:t>设备管理</w:t>
      </w:r>
    </w:p>
    <w:p>
      <w:pPr>
        <w:pStyle w:val="style179"/>
        <w:numPr>
          <w:ilvl w:val="0"/>
          <w:numId w:val="5"/>
        </w:numPr>
        <w:spacing w:lineRule="auto" w:line="276"/>
        <w:ind w:left="425" w:firstLine="0" w:firstLineChars="0"/>
        <w:rPr>
          <w:rFonts w:ascii="微软雅黑" w:eastAsia="微软雅黑" w:hAnsi="微软雅黑"/>
          <w:szCs w:val="21"/>
        </w:rPr>
      </w:pPr>
      <w:r>
        <w:rPr>
          <w:rFonts w:ascii="微软雅黑" w:eastAsia="微软雅黑" w:hAnsi="微软雅黑"/>
          <w:szCs w:val="21"/>
        </w:rPr>
        <w:t xml:space="preserve">RFID </w:t>
      </w:r>
      <w:r>
        <w:rPr>
          <w:rFonts w:ascii="微软雅黑" w:eastAsia="微软雅黑" w:hAnsi="微软雅黑" w:hint="eastAsia"/>
          <w:szCs w:val="21"/>
        </w:rPr>
        <w:t>设备管理使用无线射频技术，为设备配备一个电子标签。快速读取设备上的</w:t>
      </w:r>
    </w:p>
    <w:p>
      <w:pPr>
        <w:pStyle w:val="style179"/>
        <w:spacing w:lineRule="auto" w:line="276"/>
        <w:ind w:left="425" w:firstLineChars="0"/>
        <w:rPr>
          <w:rFonts w:ascii="微软雅黑" w:eastAsia="微软雅黑" w:hAnsi="微软雅黑"/>
          <w:szCs w:val="21"/>
        </w:rPr>
      </w:pPr>
      <w:r>
        <w:rPr>
          <w:rFonts w:ascii="微软雅黑" w:eastAsia="微软雅黑" w:hAnsi="微软雅黑" w:hint="eastAsia"/>
          <w:szCs w:val="21"/>
        </w:rPr>
        <w:t>电子标签信息，通过内置的无线通信模块发送至后台服务器。固定式读写器用于设</w:t>
      </w:r>
    </w:p>
    <w:p>
      <w:pPr>
        <w:pStyle w:val="style179"/>
        <w:spacing w:lineRule="auto" w:line="276"/>
        <w:ind w:left="425" w:firstLineChars="0"/>
        <w:rPr>
          <w:rFonts w:ascii="微软雅黑" w:eastAsia="微软雅黑" w:hAnsi="微软雅黑"/>
          <w:szCs w:val="21"/>
        </w:rPr>
      </w:pPr>
      <w:r>
        <w:rPr>
          <w:rFonts w:ascii="微软雅黑" w:eastAsia="微软雅黑" w:hAnsi="微软雅黑" w:hint="eastAsia"/>
          <w:szCs w:val="21"/>
        </w:rPr>
        <w:t>备使用所在房间。从而对设备进行全方位准确定位与监管。</w:t>
      </w:r>
    </w:p>
    <w:p>
      <w:pPr>
        <w:pStyle w:val="style179"/>
        <w:spacing w:lineRule="auto" w:line="276"/>
        <w:ind w:left="425" w:firstLine="0" w:firstLineChars="0"/>
        <w:rPr>
          <w:rFonts w:ascii="微软雅黑" w:eastAsia="微软雅黑" w:hAnsi="微软雅黑"/>
          <w:szCs w:val="21"/>
        </w:rPr>
      </w:pPr>
    </w:p>
    <w:p>
      <w:pPr>
        <w:pStyle w:val="style179"/>
        <w:spacing w:lineRule="auto" w:line="276"/>
        <w:ind w:left="425" w:firstLine="0" w:firstLineChars="0"/>
        <w:rPr>
          <w:rFonts w:ascii="微软雅黑" w:eastAsia="微软雅黑" w:hAnsi="微软雅黑"/>
          <w:szCs w:val="21"/>
        </w:rPr>
      </w:pPr>
    </w:p>
    <w:p>
      <w:pPr>
        <w:pStyle w:val="style179"/>
        <w:spacing w:lineRule="auto" w:line="276"/>
        <w:ind w:left="425" w:firstLine="0" w:firstLineChars="0"/>
        <w:rPr>
          <w:rFonts w:ascii="微软雅黑" w:eastAsia="微软雅黑" w:hAnsi="微软雅黑"/>
          <w:szCs w:val="21"/>
        </w:rPr>
      </w:pPr>
    </w:p>
    <w:p>
      <w:pPr>
        <w:pStyle w:val="style179"/>
        <w:spacing w:lineRule="auto" w:line="276"/>
        <w:ind w:left="425" w:firstLine="0" w:firstLineChars="0"/>
        <w:rPr>
          <w:rFonts w:ascii="微软雅黑" w:eastAsia="微软雅黑" w:hAnsi="微软雅黑"/>
          <w:szCs w:val="21"/>
        </w:rPr>
      </w:pPr>
    </w:p>
    <w:p>
      <w:pPr>
        <w:pStyle w:val="style179"/>
        <w:spacing w:lineRule="auto" w:line="276"/>
        <w:ind w:left="425" w:firstLine="0" w:firstLineChars="0"/>
        <w:rPr>
          <w:rFonts w:ascii="微软雅黑" w:eastAsia="微软雅黑" w:hAnsi="微软雅黑"/>
          <w:szCs w:val="21"/>
        </w:rPr>
      </w:pPr>
    </w:p>
    <w:p>
      <w:pPr>
        <w:pStyle w:val="style179"/>
        <w:spacing w:lineRule="auto" w:line="276"/>
        <w:ind w:left="425" w:firstLine="0" w:firstLineChars="0"/>
        <w:rPr>
          <w:rFonts w:ascii="微软雅黑" w:eastAsia="微软雅黑" w:hAnsi="微软雅黑"/>
          <w:szCs w:val="21"/>
        </w:rPr>
      </w:pPr>
    </w:p>
    <w:p>
      <w:pPr>
        <w:pStyle w:val="style179"/>
        <w:spacing w:lineRule="auto" w:line="276"/>
        <w:ind w:left="425" w:firstLine="0" w:firstLineChars="0"/>
        <w:rPr>
          <w:rFonts w:ascii="微软雅黑" w:eastAsia="微软雅黑" w:hAnsi="微软雅黑"/>
          <w:szCs w:val="21"/>
        </w:rPr>
      </w:pPr>
    </w:p>
    <w:p>
      <w:pPr>
        <w:pStyle w:val="style179"/>
        <w:spacing w:lineRule="auto" w:line="276"/>
        <w:ind w:left="425" w:firstLine="0" w:firstLineChars="0"/>
        <w:rPr>
          <w:rFonts w:ascii="微软雅黑" w:eastAsia="微软雅黑" w:hAnsi="微软雅黑"/>
          <w:szCs w:val="21"/>
        </w:rPr>
      </w:pPr>
    </w:p>
    <w:p>
      <w:pPr>
        <w:pStyle w:val="style179"/>
        <w:spacing w:lineRule="auto" w:line="276"/>
        <w:ind w:left="425" w:firstLine="0" w:firstLineChars="0"/>
        <w:rPr>
          <w:rFonts w:ascii="微软雅黑" w:eastAsia="微软雅黑" w:hAnsi="微软雅黑"/>
          <w:szCs w:val="21"/>
        </w:rPr>
      </w:pPr>
    </w:p>
    <w:p>
      <w:pPr>
        <w:pStyle w:val="style0"/>
        <w:spacing w:lineRule="auto" w:line="276"/>
        <w:rPr>
          <w:rFonts w:ascii="微软雅黑" w:eastAsia="微软雅黑" w:hAnsi="微软雅黑"/>
          <w:szCs w:val="21"/>
        </w:rPr>
      </w:pPr>
    </w:p>
    <w:bookmarkStart w:id="11" w:name="_Toc487642448"/>
    <w:p>
      <w:pPr>
        <w:pStyle w:val="style2"/>
        <w:numPr>
          <w:ilvl w:val="2"/>
          <w:numId w:val="2"/>
        </w:numPr>
        <w:spacing w:lineRule="auto" w:line="360"/>
        <w:rPr>
          <w:rFonts w:ascii="微软雅黑" w:eastAsia="微软雅黑" w:hAnsi="微软雅黑"/>
          <w:sz w:val="24"/>
        </w:rPr>
      </w:pPr>
      <w:r>
        <w:rPr>
          <w:rFonts w:ascii="微软雅黑" w:eastAsia="微软雅黑" w:hAnsi="微软雅黑" w:hint="eastAsia"/>
          <w:sz w:val="24"/>
        </w:rPr>
        <w:t>医疗设备运维管理：</w:t>
      </w:r>
      <w:bookmarkEnd w:id="11"/>
    </w:p>
    <w:p>
      <w:pPr>
        <w:pStyle w:val="style0"/>
        <w:spacing w:lineRule="auto" w:line="276"/>
        <w:ind w:firstLine="426"/>
        <w:rPr>
          <w:rFonts w:ascii="微软雅黑" w:eastAsia="微软雅黑" w:hAnsi="微软雅黑"/>
          <w:szCs w:val="21"/>
          <w:highlight w:val="yellow"/>
        </w:rPr>
      </w:pPr>
      <w:r>
        <w:rPr>
          <w:rFonts w:ascii="微软雅黑" w:eastAsia="微软雅黑" w:hAnsi="微软雅黑" w:hint="eastAsia"/>
          <w:szCs w:val="21"/>
          <w:highlight w:val="yellow"/>
        </w:rPr>
        <w:t>根据各类设备特点，分别制订出详细的预防巡检维护计划，不同设备分类设定不同周期和具体维护方案。对相关计划通自动提醒，并对维护记过系统记录，设备运营维护及时、合</w:t>
      </w:r>
    </w:p>
    <w:p>
      <w:pPr>
        <w:pStyle w:val="style0"/>
        <w:spacing w:lineRule="auto" w:line="276"/>
        <w:rPr>
          <w:rFonts w:ascii="微软雅黑" w:eastAsia="微软雅黑" w:hAnsi="微软雅黑"/>
          <w:szCs w:val="21"/>
          <w:highlight w:val="yellow"/>
        </w:rPr>
      </w:pPr>
      <w:r>
        <w:rPr>
          <w:rFonts w:ascii="微软雅黑" w:eastAsia="微软雅黑" w:hAnsi="微软雅黑" w:hint="eastAsia"/>
          <w:szCs w:val="21"/>
          <w:highlight w:val="yellow"/>
        </w:rPr>
        <w:t>规和可跟踪。系统通过移动终端完成设备巡检、保养、维修报修、处理和维修记录，维修进程实时推送到设备使用和管理人员，保证维修高效、及时完成。同时这些过程数据可以对服务商的服务水平进行评估，通过对服务上的管理，提升医疗设备的运维质量。</w:t>
      </w:r>
    </w:p>
    <w:p>
      <w:pPr>
        <w:pStyle w:val="style179"/>
        <w:numPr>
          <w:ilvl w:val="0"/>
          <w:numId w:val="5"/>
        </w:numPr>
        <w:spacing w:lineRule="auto" w:line="276"/>
        <w:ind w:left="425" w:firstLine="0" w:firstLineChars="0"/>
        <w:rPr>
          <w:rFonts w:ascii="微软雅黑" w:eastAsia="微软雅黑" w:hAnsi="微软雅黑"/>
          <w:szCs w:val="21"/>
          <w:highlight w:val="yellow"/>
        </w:rPr>
      </w:pPr>
      <w:r>
        <w:rPr>
          <w:rFonts w:ascii="微软雅黑" w:eastAsia="微软雅黑" w:hAnsi="微软雅黑" w:hint="eastAsia"/>
          <w:szCs w:val="21"/>
          <w:highlight w:val="yellow"/>
        </w:rPr>
        <w:t>维修管理：设备报修、报修确认、指派工程师、维修处理、维修确认、评价、费用</w:t>
      </w:r>
    </w:p>
    <w:p>
      <w:pPr>
        <w:pStyle w:val="style0"/>
        <w:spacing w:lineRule="auto" w:line="276"/>
        <w:ind w:left="425"/>
        <w:rPr>
          <w:rFonts w:ascii="微软雅黑" w:eastAsia="微软雅黑" w:hAnsi="微软雅黑"/>
          <w:szCs w:val="21"/>
          <w:highlight w:val="yellow"/>
        </w:rPr>
      </w:pPr>
      <w:r>
        <w:rPr>
          <w:rFonts w:ascii="微软雅黑" w:eastAsia="微软雅黑" w:hAnsi="微软雅黑" w:hint="eastAsia"/>
          <w:szCs w:val="21"/>
          <w:highlight w:val="yellow"/>
        </w:rPr>
        <w:t>管理、备件管理、工单上传以及维修详情的时间轴展示</w:t>
      </w:r>
    </w:p>
    <w:p>
      <w:pPr>
        <w:pStyle w:val="style179"/>
        <w:numPr>
          <w:ilvl w:val="0"/>
          <w:numId w:val="5"/>
        </w:numPr>
        <w:spacing w:lineRule="auto" w:line="276"/>
        <w:ind w:left="425" w:firstLine="0" w:firstLineChars="0"/>
        <w:rPr>
          <w:rFonts w:ascii="微软雅黑" w:eastAsia="微软雅黑" w:hAnsi="微软雅黑"/>
          <w:szCs w:val="21"/>
          <w:highlight w:val="yellow"/>
        </w:rPr>
      </w:pPr>
      <w:r>
        <w:rPr>
          <w:rFonts w:ascii="微软雅黑" w:eastAsia="微软雅黑" w:hAnsi="微软雅黑" w:hint="eastAsia"/>
          <w:szCs w:val="21"/>
          <w:highlight w:val="yellow"/>
        </w:rPr>
        <w:t>保养管理：按预防维护计划提醒设备保养、单次和批量开保养派工、批量指派维修</w:t>
      </w:r>
    </w:p>
    <w:p>
      <w:pPr>
        <w:pStyle w:val="style0"/>
        <w:spacing w:lineRule="auto" w:line="276"/>
        <w:ind w:left="425"/>
        <w:rPr>
          <w:rFonts w:ascii="微软雅黑" w:eastAsia="微软雅黑" w:hAnsi="微软雅黑"/>
          <w:szCs w:val="21"/>
          <w:highlight w:val="yellow"/>
        </w:rPr>
      </w:pPr>
      <w:r>
        <w:rPr>
          <w:rFonts w:ascii="微软雅黑" w:eastAsia="微软雅黑" w:hAnsi="微软雅黑" w:hint="eastAsia"/>
          <w:szCs w:val="21"/>
          <w:highlight w:val="yellow"/>
        </w:rPr>
        <w:t>和工程师、保养记录、保养工单上传以及保养详情的时间轴展示</w:t>
      </w:r>
    </w:p>
    <w:p>
      <w:pPr>
        <w:pStyle w:val="style179"/>
        <w:numPr>
          <w:ilvl w:val="0"/>
          <w:numId w:val="5"/>
        </w:numPr>
        <w:spacing w:lineRule="auto" w:line="276"/>
        <w:ind w:left="425" w:firstLine="0" w:firstLineChars="0"/>
        <w:rPr>
          <w:rFonts w:ascii="微软雅黑" w:eastAsia="微软雅黑" w:hAnsi="微软雅黑"/>
          <w:szCs w:val="21"/>
          <w:highlight w:val="yellow"/>
        </w:rPr>
      </w:pPr>
      <w:r>
        <w:rPr>
          <w:rFonts w:ascii="微软雅黑" w:eastAsia="微软雅黑" w:hAnsi="微软雅黑" w:hint="eastAsia"/>
          <w:szCs w:val="21"/>
          <w:highlight w:val="yellow"/>
        </w:rPr>
        <w:t>巡检管理：实现按巡检计划提醒设备巡检、记录巡检过程、展示巡检详情</w:t>
      </w:r>
    </w:p>
    <w:p>
      <w:pPr>
        <w:pStyle w:val="style179"/>
        <w:numPr>
          <w:ilvl w:val="0"/>
          <w:numId w:val="5"/>
        </w:numPr>
        <w:spacing w:lineRule="auto" w:line="276"/>
        <w:ind w:left="425" w:firstLine="0" w:firstLineChars="0"/>
        <w:rPr>
          <w:rFonts w:ascii="微软雅黑" w:eastAsia="微软雅黑" w:hAnsi="微软雅黑"/>
          <w:szCs w:val="21"/>
          <w:highlight w:val="yellow"/>
        </w:rPr>
      </w:pPr>
      <w:r>
        <w:rPr>
          <w:rFonts w:ascii="微软雅黑" w:eastAsia="微软雅黑" w:hAnsi="微软雅黑" w:hint="eastAsia"/>
          <w:szCs w:val="21"/>
          <w:highlight w:val="yellow"/>
        </w:rPr>
        <w:t>强检管理：实现按要求提醒设备强检、记录强检过程、展示强检详情</w:t>
      </w:r>
    </w:p>
    <w:p>
      <w:pPr>
        <w:pStyle w:val="style179"/>
        <w:numPr>
          <w:ilvl w:val="0"/>
          <w:numId w:val="5"/>
        </w:numPr>
        <w:spacing w:lineRule="auto" w:line="276"/>
        <w:ind w:left="425" w:firstLine="0" w:firstLineChars="0"/>
        <w:rPr>
          <w:rFonts w:ascii="微软雅黑" w:eastAsia="微软雅黑" w:hAnsi="微软雅黑"/>
          <w:szCs w:val="21"/>
        </w:rPr>
      </w:pPr>
      <w:r>
        <w:rPr>
          <w:rFonts w:ascii="微软雅黑" w:eastAsia="微软雅黑" w:hAnsi="微软雅黑" w:hint="eastAsia"/>
          <w:szCs w:val="21"/>
        </w:rPr>
        <w:t>校正管理：实现按要求提醒设备校正、记录校正过程、展示校正详情</w:t>
      </w:r>
    </w:p>
    <w:p>
      <w:pPr>
        <w:pStyle w:val="style179"/>
        <w:numPr>
          <w:ilvl w:val="0"/>
          <w:numId w:val="5"/>
        </w:numPr>
        <w:spacing w:lineRule="auto" w:line="276"/>
        <w:ind w:left="425" w:firstLine="0" w:firstLineChars="0"/>
        <w:rPr>
          <w:rFonts w:ascii="微软雅黑" w:eastAsia="微软雅黑" w:hAnsi="微软雅黑"/>
          <w:szCs w:val="21"/>
        </w:rPr>
      </w:pPr>
      <w:r>
        <w:rPr>
          <w:rFonts w:ascii="微软雅黑" w:eastAsia="微软雅黑" w:hAnsi="微软雅黑" w:hint="eastAsia"/>
          <w:szCs w:val="21"/>
        </w:rPr>
        <w:t>培训管理：记录管理对设备使用、维护的培训记录及相关文件</w:t>
      </w:r>
    </w:p>
    <w:p>
      <w:pPr>
        <w:pStyle w:val="style179"/>
        <w:numPr>
          <w:ilvl w:val="0"/>
          <w:numId w:val="5"/>
        </w:numPr>
        <w:spacing w:lineRule="auto" w:line="276"/>
        <w:ind w:left="425" w:firstLine="0" w:firstLineChars="0"/>
        <w:rPr>
          <w:rFonts w:ascii="微软雅黑" w:eastAsia="微软雅黑" w:hAnsi="微软雅黑"/>
          <w:szCs w:val="21"/>
        </w:rPr>
      </w:pPr>
      <w:r>
        <w:rPr>
          <w:rFonts w:ascii="微软雅黑" w:eastAsia="微软雅黑" w:hAnsi="微软雅黑" w:hint="eastAsia"/>
          <w:szCs w:val="21"/>
        </w:rPr>
        <w:t>设备不良事件上报：记录设备使用、维修过程相关不良事件，并形成报告</w:t>
      </w:r>
    </w:p>
    <w:p>
      <w:pPr>
        <w:pStyle w:val="style179"/>
        <w:numPr>
          <w:ilvl w:val="0"/>
          <w:numId w:val="5"/>
        </w:numPr>
        <w:spacing w:lineRule="auto" w:line="276"/>
        <w:ind w:left="425" w:firstLine="0" w:firstLineChars="0"/>
        <w:rPr>
          <w:rFonts w:ascii="微软雅黑" w:eastAsia="微软雅黑" w:hAnsi="微软雅黑"/>
          <w:szCs w:val="21"/>
        </w:rPr>
      </w:pPr>
      <w:r>
        <w:rPr>
          <w:rFonts w:ascii="微软雅黑" w:eastAsia="微软雅黑" w:hAnsi="微软雅黑" w:hint="eastAsia"/>
          <w:szCs w:val="21"/>
        </w:rPr>
        <w:t>设备召回时间提醒：记录监管部门设备召回事件，对应召回设备进行标注、提醒</w:t>
      </w:r>
    </w:p>
    <w:p>
      <w:pPr>
        <w:pStyle w:val="style179"/>
        <w:spacing w:lineRule="auto" w:line="276"/>
        <w:ind w:left="425" w:firstLine="0" w:firstLineChars="0"/>
        <w:rPr>
          <w:rFonts w:ascii="微软雅黑" w:eastAsia="微软雅黑" w:hAnsi="微软雅黑"/>
          <w:szCs w:val="21"/>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bookmarkStart w:id="12" w:name="_Toc487642449"/>
    <w:p>
      <w:pPr>
        <w:pStyle w:val="style2"/>
        <w:numPr>
          <w:ilvl w:val="2"/>
          <w:numId w:val="2"/>
        </w:numPr>
        <w:spacing w:lineRule="auto" w:line="360"/>
        <w:rPr>
          <w:rFonts w:ascii="微软雅黑" w:eastAsia="微软雅黑" w:hAnsi="微软雅黑"/>
          <w:sz w:val="24"/>
        </w:rPr>
      </w:pPr>
      <w:r>
        <w:rPr>
          <w:rFonts w:ascii="微软雅黑" w:eastAsia="微软雅黑" w:hAnsi="微软雅黑" w:hint="eastAsia"/>
          <w:sz w:val="24"/>
        </w:rPr>
        <w:t>医疗设备运营分析管理：</w:t>
      </w:r>
      <w:bookmarkEnd w:id="12"/>
    </w:p>
    <w:p>
      <w:pPr>
        <w:pStyle w:val="style0"/>
        <w:spacing w:lineRule="auto" w:line="276"/>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hint="eastAsia"/>
          <w:szCs w:val="21"/>
        </w:rPr>
        <w:t>系统应用于设备经济效益的分析，以大型设备</w:t>
      </w:r>
      <w:r>
        <w:rPr>
          <w:rFonts w:ascii="微软雅黑" w:eastAsia="微软雅黑" w:hAnsi="微软雅黑" w:hint="eastAsia"/>
          <w:szCs w:val="21"/>
        </w:rPr>
        <w:t>CT/MRI</w:t>
      </w:r>
      <w:r>
        <w:rPr>
          <w:rFonts w:ascii="微软雅黑" w:eastAsia="微软雅黑" w:hAnsi="微软雅黑" w:hint="eastAsia"/>
          <w:szCs w:val="21"/>
        </w:rPr>
        <w:t>等的经济效益分析为例，临床科室通过管理信息系统，统计大型设备的运行成本、耗材成本和维修成本等，由支出和收入计算大型设备的纯收入、开机使用率、效益率等，实质性地分析大型设备为医院创造的经济效益和社会效益，并可以作为医院今后投资大型设备的决策参考。</w:t>
      </w:r>
    </w:p>
    <w:p>
      <w:pPr>
        <w:pStyle w:val="style179"/>
        <w:ind w:left="425" w:firstLine="0" w:firstLineChars="0"/>
        <w:rPr>
          <w:rFonts w:ascii="微软雅黑" w:eastAsia="微软雅黑" w:hAnsi="微软雅黑"/>
          <w:szCs w:val="21"/>
        </w:rPr>
      </w:pPr>
      <w:r>
        <w:rPr>
          <w:rFonts w:ascii="微软雅黑" w:eastAsia="微软雅黑" w:hAnsi="微软雅黑" w:hint="eastAsia"/>
          <w:szCs w:val="21"/>
        </w:rPr>
        <w:t>实时了解设备运行状态，以保证设备正常、合规且安全的为医护人员和患者进行服务；</w:t>
      </w:r>
    </w:p>
    <w:p>
      <w:pPr>
        <w:pStyle w:val="style0"/>
        <w:rPr>
          <w:rFonts w:ascii="微软雅黑" w:eastAsia="微软雅黑" w:hAnsi="微软雅黑"/>
          <w:szCs w:val="21"/>
        </w:rPr>
      </w:pPr>
      <w:r>
        <w:rPr>
          <w:rFonts w:ascii="微软雅黑" w:eastAsia="微软雅黑" w:hAnsi="微软雅黑" w:hint="eastAsia"/>
          <w:szCs w:val="21"/>
        </w:rPr>
        <w:t>根据设备使用年限、维修次数（故障频率）和更换配件的统计，相关计量检测和校准结果等方面的安全监测报告，以及在用医疗设备的召回事</w:t>
      </w:r>
      <w:r>
        <w:rPr>
          <w:rFonts w:ascii="微软雅黑" w:eastAsia="微软雅黑" w:hAnsi="微软雅黑" w:hint="eastAsia"/>
          <w:szCs w:val="21"/>
        </w:rPr>
        <w:t>件提醒和不良事件管理，由系统来综合评判设备使用的风险程度，作为医院更新和淘汰设备的参考依据。从而加强医疗设备的运营安全管理，提升医疗设备的使用质量。</w:t>
      </w:r>
    </w:p>
    <w:p>
      <w:pPr>
        <w:pStyle w:val="style0"/>
        <w:rPr>
          <w:rFonts w:ascii="微软雅黑" w:eastAsia="微软雅黑" w:hAnsi="微软雅黑"/>
          <w:szCs w:val="21"/>
        </w:rPr>
      </w:pPr>
    </w:p>
    <w:p>
      <w:pPr>
        <w:pStyle w:val="style0"/>
        <w:rPr>
          <w:rFonts w:ascii="微软雅黑" w:eastAsia="微软雅黑" w:hAnsi="微软雅黑"/>
          <w:szCs w:val="21"/>
        </w:rPr>
      </w:pPr>
    </w:p>
    <w:bookmarkStart w:id="13" w:name="_Toc487642450"/>
    <w:p>
      <w:pPr>
        <w:pStyle w:val="style2"/>
        <w:numPr>
          <w:ilvl w:val="2"/>
          <w:numId w:val="2"/>
        </w:numPr>
        <w:spacing w:lineRule="auto" w:line="360"/>
        <w:rPr>
          <w:rFonts w:ascii="微软雅黑" w:eastAsia="微软雅黑" w:hAnsi="微软雅黑"/>
          <w:sz w:val="24"/>
        </w:rPr>
      </w:pPr>
      <w:r>
        <w:rPr>
          <w:rFonts w:ascii="微软雅黑" w:eastAsia="微软雅黑" w:hAnsi="微软雅黑" w:hint="eastAsia"/>
          <w:sz w:val="24"/>
        </w:rPr>
        <w:t>医疗设备监管大屏：</w:t>
      </w:r>
      <w:bookmarkEnd w:id="13"/>
    </w:p>
    <w:p>
      <w:pPr>
        <w:pStyle w:val="style0"/>
        <w:spacing w:lineRule="auto" w:line="276"/>
        <w:rPr>
          <w:rFonts w:ascii="微软雅黑" w:eastAsia="微软雅黑" w:hAnsi="微软雅黑"/>
          <w:szCs w:val="21"/>
        </w:rPr>
      </w:pPr>
      <w:r>
        <w:rPr>
          <w:rFonts w:ascii="微软雅黑" w:eastAsia="微软雅黑" w:hAnsi="微软雅黑" w:hint="eastAsia"/>
          <w:szCs w:val="21"/>
        </w:rPr>
        <w:t>卫计委将通过以上功能平台查询医疗机构医疗设备全生命周期数据、运营管控数据。对查询结果进行数据汇总统计，并可形成报表。同时通过监控大屏对全区总览、特殊事项进行实时、动态监管。并可以实现监管事项归属定位和详情追溯。</w:t>
      </w:r>
    </w:p>
    <w:p>
      <w:pPr>
        <w:pStyle w:val="style0"/>
        <w:spacing w:lineRule="auto" w:line="276"/>
        <w:rPr>
          <w:rFonts w:ascii="微软雅黑" w:eastAsia="微软雅黑" w:hAnsi="微软雅黑"/>
          <w:szCs w:val="21"/>
        </w:rPr>
      </w:pPr>
      <w:r>
        <w:rPr>
          <w:rFonts w:ascii="微软雅黑" w:eastAsia="微软雅黑" w:hAnsi="微软雅黑" w:hint="eastAsia"/>
          <w:szCs w:val="21"/>
        </w:rPr>
        <w:t>监控大屏主要有四类信息展示：</w:t>
      </w:r>
    </w:p>
    <w:p>
      <w:pPr>
        <w:pStyle w:val="style179"/>
        <w:numPr>
          <w:ilvl w:val="0"/>
          <w:numId w:val="4"/>
        </w:numPr>
        <w:spacing w:lineRule="auto" w:line="276"/>
        <w:ind w:firstLineChars="0"/>
        <w:rPr>
          <w:rFonts w:ascii="微软雅黑" w:eastAsia="微软雅黑" w:hAnsi="微软雅黑"/>
          <w:szCs w:val="21"/>
        </w:rPr>
      </w:pPr>
      <w:r>
        <w:rPr>
          <w:rFonts w:ascii="微软雅黑" w:eastAsia="微软雅黑" w:hAnsi="微软雅黑"/>
          <w:szCs w:val="21"/>
        </w:rPr>
        <w:t>设备总览：设备数量、设备金额、可用设备</w:t>
      </w:r>
      <w:r>
        <w:rPr>
          <w:rFonts w:ascii="微软雅黑" w:eastAsia="微软雅黑" w:hAnsi="微软雅黑" w:hint="eastAsia"/>
          <w:szCs w:val="21"/>
        </w:rPr>
        <w:t>数量</w:t>
      </w:r>
      <w:r>
        <w:rPr>
          <w:rFonts w:ascii="微软雅黑" w:eastAsia="微软雅黑" w:hAnsi="微软雅黑"/>
          <w:szCs w:val="21"/>
        </w:rPr>
        <w:t>；</w:t>
      </w:r>
      <w:r>
        <w:rPr>
          <w:rFonts w:ascii="微软雅黑" w:eastAsia="微软雅黑" w:hAnsi="微软雅黑" w:hint="eastAsia"/>
          <w:szCs w:val="21"/>
        </w:rPr>
        <w:t>地图</w:t>
      </w:r>
      <w:r>
        <w:rPr>
          <w:rFonts w:ascii="微软雅黑" w:eastAsia="微软雅黑" w:hAnsi="微软雅黑"/>
          <w:szCs w:val="21"/>
        </w:rPr>
        <w:t>显示医院分布</w:t>
      </w:r>
      <w:r>
        <w:rPr>
          <w:rFonts w:ascii="微软雅黑" w:eastAsia="微软雅黑" w:hAnsi="微软雅黑" w:hint="eastAsia"/>
          <w:szCs w:val="21"/>
        </w:rPr>
        <w:t>，</w:t>
      </w:r>
      <w:r>
        <w:rPr>
          <w:rFonts w:ascii="微软雅黑" w:eastAsia="微软雅黑" w:hAnsi="微软雅黑"/>
          <w:szCs w:val="21"/>
        </w:rPr>
        <w:t>医院标示可以闪烁</w:t>
      </w:r>
      <w:r>
        <w:rPr>
          <w:rFonts w:ascii="微软雅黑" w:eastAsia="微软雅黑" w:hAnsi="微软雅黑" w:hint="eastAsia"/>
          <w:szCs w:val="21"/>
        </w:rPr>
        <w:t>/</w:t>
      </w:r>
      <w:r>
        <w:rPr>
          <w:rFonts w:ascii="微软雅黑" w:eastAsia="微软雅黑" w:hAnsi="微软雅黑"/>
          <w:szCs w:val="21"/>
        </w:rPr>
        <w:t>高亮示警；区域人口、门诊病人</w:t>
      </w:r>
    </w:p>
    <w:p>
      <w:pPr>
        <w:pStyle w:val="style179"/>
        <w:numPr>
          <w:ilvl w:val="0"/>
          <w:numId w:val="4"/>
        </w:numPr>
        <w:spacing w:lineRule="auto" w:line="276"/>
        <w:ind w:firstLineChars="0"/>
        <w:rPr>
          <w:rFonts w:ascii="微软雅黑" w:eastAsia="微软雅黑" w:hAnsi="微软雅黑"/>
          <w:szCs w:val="21"/>
        </w:rPr>
      </w:pPr>
      <w:r>
        <w:rPr>
          <w:rFonts w:ascii="微软雅黑" w:eastAsia="微软雅黑" w:hAnsi="微软雅黑"/>
          <w:szCs w:val="21"/>
        </w:rPr>
        <w:t>设备管理：维修完成率、保养完成率、巡检完成率、强捡</w:t>
      </w:r>
      <w:r>
        <w:rPr>
          <w:rFonts w:ascii="微软雅黑" w:eastAsia="微软雅黑" w:hAnsi="微软雅黑"/>
          <w:szCs w:val="21"/>
        </w:rPr>
        <w:t>/</w:t>
      </w:r>
      <w:r>
        <w:rPr>
          <w:rFonts w:ascii="微软雅黑" w:eastAsia="微软雅黑" w:hAnsi="微软雅黑"/>
          <w:szCs w:val="21"/>
        </w:rPr>
        <w:t>计量完成率、校正完成率、盘点完成率</w:t>
      </w:r>
    </w:p>
    <w:p>
      <w:pPr>
        <w:pStyle w:val="style179"/>
        <w:numPr>
          <w:ilvl w:val="0"/>
          <w:numId w:val="4"/>
        </w:numPr>
        <w:spacing w:lineRule="auto" w:line="276"/>
        <w:ind w:firstLineChars="0"/>
        <w:rPr>
          <w:rFonts w:ascii="微软雅黑" w:eastAsia="微软雅黑" w:hAnsi="微软雅黑"/>
          <w:szCs w:val="21"/>
        </w:rPr>
      </w:pPr>
      <w:r>
        <w:rPr>
          <w:rFonts w:ascii="微软雅黑" w:eastAsia="微软雅黑" w:hAnsi="微软雅黑"/>
          <w:szCs w:val="21"/>
        </w:rPr>
        <w:t>警示事项：</w:t>
      </w:r>
      <w:r>
        <w:rPr>
          <w:rFonts w:ascii="微软雅黑" w:eastAsia="微软雅黑" w:hAnsi="微软雅黑" w:hint="eastAsia"/>
          <w:szCs w:val="21"/>
        </w:rPr>
        <w:t>设备监控、</w:t>
      </w:r>
      <w:r>
        <w:rPr>
          <w:rFonts w:ascii="微软雅黑" w:eastAsia="微软雅黑" w:hAnsi="微软雅黑"/>
          <w:szCs w:val="21"/>
        </w:rPr>
        <w:t>紧急维修、高危故障、不良事件、召回事件</w:t>
      </w:r>
    </w:p>
    <w:p>
      <w:pPr>
        <w:pStyle w:val="style179"/>
        <w:numPr>
          <w:ilvl w:val="0"/>
          <w:numId w:val="4"/>
        </w:numPr>
        <w:spacing w:lineRule="auto" w:line="276"/>
        <w:ind w:firstLineChars="0"/>
        <w:rPr>
          <w:rFonts w:ascii="微软雅黑" w:eastAsia="微软雅黑" w:hAnsi="微软雅黑"/>
          <w:szCs w:val="21"/>
        </w:rPr>
      </w:pPr>
      <w:r>
        <w:rPr>
          <w:rFonts w:ascii="微软雅黑" w:eastAsia="微软雅黑" w:hAnsi="微软雅黑"/>
          <w:szCs w:val="21"/>
        </w:rPr>
        <w:t>行业资讯：政策法规、行政公告、设备测评</w:t>
      </w:r>
      <w:r>
        <w:rPr>
          <w:rFonts w:ascii="微软雅黑" w:eastAsia="微软雅黑" w:hAnsi="微软雅黑" w:hint="eastAsia"/>
          <w:szCs w:val="21"/>
        </w:rPr>
        <w:t>、服务测评</w:t>
      </w:r>
    </w:p>
    <w:p>
      <w:pPr>
        <w:pStyle w:val="style0"/>
        <w:spacing w:lineRule="exact" w:line="400"/>
        <w:ind w:firstLine="424" w:firstLineChars="202"/>
        <w:rPr>
          <w:rFonts w:ascii="微软雅黑" w:cs="Times New Roman" w:hAnsi="微软雅黑"/>
          <w:kern w:val="0"/>
          <w:szCs w:val="21"/>
        </w:rPr>
      </w:pPr>
    </w:p>
    <w:p>
      <w:pPr>
        <w:pStyle w:val="style179"/>
        <w:tabs>
          <w:tab w:val="left" w:leader="none" w:pos="3253"/>
        </w:tabs>
        <w:spacing w:lineRule="auto" w:line="276"/>
        <w:ind w:left="425" w:firstLine="0" w:firstLineChars="0"/>
        <w:rPr>
          <w:rFonts w:ascii="微软雅黑" w:eastAsia="微软雅黑" w:hAnsi="微软雅黑"/>
          <w:szCs w:val="21"/>
        </w:rPr>
      </w:pPr>
      <w:r>
        <w:rPr>
          <w:rFonts w:ascii="微软雅黑" w:eastAsia="微软雅黑" w:hAnsi="微软雅黑"/>
          <w:szCs w:val="21"/>
        </w:rPr>
        <w:tab/>
      </w:r>
    </w:p>
    <w:bookmarkStart w:id="14" w:name="_Toc479506389"/>
    <w:bookmarkStart w:id="15" w:name="_Toc487642451"/>
    <w:p>
      <w:pPr>
        <w:pStyle w:val="style2"/>
        <w:numPr>
          <w:ilvl w:val="2"/>
          <w:numId w:val="2"/>
        </w:numPr>
        <w:spacing w:lineRule="auto" w:line="360"/>
        <w:rPr>
          <w:rFonts w:ascii="微软雅黑" w:eastAsia="微软雅黑" w:hAnsi="微软雅黑"/>
          <w:sz w:val="24"/>
        </w:rPr>
      </w:pPr>
      <w:r>
        <w:rPr>
          <w:rFonts w:ascii="微软雅黑" w:eastAsia="微软雅黑" w:hAnsi="微软雅黑" w:hint="eastAsia"/>
          <w:sz w:val="24"/>
        </w:rPr>
        <w:t>方案运行</w:t>
      </w:r>
      <w:r>
        <w:rPr>
          <w:rFonts w:ascii="微软雅黑" w:eastAsia="微软雅黑" w:hAnsi="微软雅黑"/>
          <w:sz w:val="24"/>
        </w:rPr>
        <w:t>环境</w:t>
      </w:r>
      <w:r>
        <w:rPr>
          <w:rFonts w:ascii="微软雅黑" w:eastAsia="微软雅黑" w:hAnsi="微软雅黑" w:hint="eastAsia"/>
          <w:sz w:val="24"/>
        </w:rPr>
        <w:t>：</w:t>
      </w:r>
      <w:bookmarkEnd w:id="14"/>
      <w:bookmarkEnd w:id="15"/>
    </w:p>
    <w:p>
      <w:pPr>
        <w:pStyle w:val="style0"/>
        <w:spacing w:lineRule="auto" w:line="276"/>
        <w:ind w:firstLine="420"/>
        <w:rPr>
          <w:rFonts w:ascii="微软雅黑" w:eastAsia="微软雅黑" w:hAnsi="微软雅黑"/>
          <w:szCs w:val="21"/>
        </w:rPr>
      </w:pPr>
      <w:r>
        <w:rPr>
          <w:rFonts w:ascii="微软雅黑" w:eastAsia="微软雅黑" w:hAnsi="微软雅黑" w:hint="eastAsia"/>
          <w:szCs w:val="21"/>
        </w:rPr>
        <w:t>系统运行环境要求：客户端电脑，服务器配置，数据库版本，手机系统版。</w:t>
      </w:r>
    </w:p>
    <w:p>
      <w:pPr>
        <w:pStyle w:val="style4116"/>
        <w:ind w:left="360" w:firstLine="0" w:firstLineChars="0"/>
        <w:rPr>
          <w:rFonts w:ascii="微软雅黑" w:cs="宋体" w:eastAsia="微软雅黑" w:hAnsi="微软雅黑"/>
          <w:szCs w:val="21"/>
        </w:rPr>
      </w:pPr>
      <w:r>
        <w:rPr>
          <w:rFonts w:ascii="微软雅黑" w:cs="宋体" w:eastAsia="微软雅黑" w:hAnsi="微软雅黑" w:hint="eastAsia"/>
          <w:szCs w:val="21"/>
        </w:rPr>
        <w:t>客户端</w:t>
      </w:r>
    </w:p>
    <w:tbl>
      <w:tblPr>
        <w:tblStyle w:val="style154"/>
        <w:tblW w:w="7005" w:type="dxa"/>
        <w:tblInd w:w="964" w:type="dxa"/>
        <w:tblLayout w:type="fixed"/>
        <w:tblLook w:val="04A0" w:firstRow="1" w:lastRow="0" w:firstColumn="1" w:lastColumn="0" w:noHBand="0" w:noVBand="1"/>
      </w:tblPr>
      <w:tblGrid>
        <w:gridCol w:w="2455"/>
        <w:gridCol w:w="2799"/>
        <w:gridCol w:w="1751"/>
      </w:tblGrid>
      <w:tr>
        <w:trPr>
          <w:trHeight w:val="228" w:hRule="atLeast"/>
        </w:trPr>
        <w:tc>
          <w:tcPr>
            <w:tcW w:w="2455" w:type="dxa"/>
            <w:tcBorders>
              <w:top w:val="single" w:sz="8" w:space="0" w:color="4f81bd"/>
              <w:left w:val="dotted" w:sz="8" w:space="0" w:color="auto"/>
              <w:bottom w:val="single" w:sz="8" w:space="0" w:color="4f81bd"/>
              <w:right w:val="dotted" w:sz="8" w:space="0" w:color="auto"/>
            </w:tcBorders>
            <w:shd w:val="clear" w:color="auto" w:fill="4f81bd"/>
          </w:tcPr>
          <w:p>
            <w:pPr>
              <w:pStyle w:val="style4116"/>
              <w:ind w:firstLine="0" w:firstLineChars="0"/>
              <w:jc w:val="center"/>
              <w:rPr>
                <w:color w:val="ffffff"/>
                <w:sz w:val="18"/>
                <w:szCs w:val="18"/>
              </w:rPr>
            </w:pPr>
            <w:r>
              <w:rPr>
                <w:rFonts w:ascii="宋体" w:cs="Arial" w:hAnsi="宋体" w:hint="eastAsia"/>
                <w:color w:val="ffffff"/>
                <w:sz w:val="18"/>
                <w:szCs w:val="18"/>
              </w:rPr>
              <w:t>操作系统</w:t>
            </w:r>
          </w:p>
        </w:tc>
        <w:tc>
          <w:tcPr>
            <w:tcW w:w="2799" w:type="dxa"/>
            <w:tcBorders>
              <w:top w:val="single" w:sz="8" w:space="0" w:color="4f81bd"/>
              <w:left w:val="dotted" w:sz="8" w:space="0" w:color="auto"/>
              <w:bottom w:val="single" w:sz="8" w:space="0" w:color="4f81bd"/>
              <w:right w:val="single" w:sz="8" w:space="0" w:color="4f81bd"/>
            </w:tcBorders>
            <w:shd w:val="clear" w:color="auto" w:fill="4f81bd"/>
          </w:tcPr>
          <w:p>
            <w:pPr>
              <w:pStyle w:val="style4116"/>
              <w:ind w:firstLine="0" w:firstLineChars="0"/>
              <w:jc w:val="center"/>
              <w:rPr>
                <w:color w:val="ffffff"/>
                <w:sz w:val="18"/>
                <w:szCs w:val="18"/>
              </w:rPr>
            </w:pPr>
            <w:r>
              <w:rPr>
                <w:rFonts w:ascii="宋体" w:cs="Arial" w:hAnsi="宋体" w:hint="eastAsia"/>
                <w:color w:val="ffffff"/>
                <w:sz w:val="18"/>
                <w:szCs w:val="18"/>
              </w:rPr>
              <w:t>硬件环境</w:t>
            </w:r>
          </w:p>
        </w:tc>
        <w:tc>
          <w:tcPr>
            <w:tcW w:w="1751" w:type="dxa"/>
            <w:tcBorders>
              <w:top w:val="single" w:sz="8" w:space="0" w:color="4f81bd"/>
              <w:left w:val="dotted" w:sz="8" w:space="0" w:color="auto"/>
              <w:bottom w:val="single" w:sz="8" w:space="0" w:color="4f81bd"/>
              <w:right w:val="single" w:sz="8" w:space="0" w:color="4f81bd"/>
            </w:tcBorders>
            <w:shd w:val="clear" w:color="auto" w:fill="4f81bd"/>
          </w:tcPr>
          <w:p>
            <w:pPr>
              <w:pStyle w:val="style4116"/>
              <w:ind w:firstLine="0" w:firstLineChars="0"/>
              <w:jc w:val="center"/>
              <w:rPr>
                <w:rFonts w:ascii="宋体" w:cs="Arial" w:hAnsi="宋体"/>
                <w:color w:val="ffffff"/>
                <w:sz w:val="18"/>
                <w:szCs w:val="18"/>
              </w:rPr>
            </w:pPr>
            <w:r>
              <w:rPr>
                <w:rFonts w:ascii="宋体" w:cs="Arial" w:hAnsi="宋体" w:hint="eastAsia"/>
                <w:color w:val="ffffff"/>
                <w:sz w:val="18"/>
                <w:szCs w:val="18"/>
              </w:rPr>
              <w:t>工具</w:t>
            </w:r>
          </w:p>
        </w:tc>
      </w:tr>
      <w:tr>
        <w:tblPrEx/>
        <w:trPr>
          <w:trHeight w:val="668" w:hRule="atLeast"/>
        </w:trPr>
        <w:tc>
          <w:tcPr>
            <w:tcW w:w="2455" w:type="dxa"/>
            <w:tcBorders>
              <w:top w:val="single" w:sz="8" w:space="0" w:color="4f81bd"/>
              <w:left w:val="dotted" w:sz="8" w:space="0" w:color="auto"/>
              <w:bottom w:val="single" w:sz="8" w:space="0" w:color="4f81bd"/>
              <w:right w:val="dotted" w:sz="8" w:space="0" w:color="auto"/>
            </w:tcBorders>
            <w:shd w:val="clear" w:color="auto" w:fill="ffffff"/>
          </w:tcPr>
          <w:p>
            <w:pPr>
              <w:pStyle w:val="style4116"/>
              <w:ind w:firstLine="0" w:firstLineChars="0"/>
              <w:rPr>
                <w:color w:val="000000"/>
                <w:sz w:val="18"/>
                <w:szCs w:val="18"/>
              </w:rPr>
            </w:pPr>
            <w:r>
              <w:rPr>
                <w:rFonts w:hint="eastAsia"/>
                <w:color w:val="000000"/>
                <w:sz w:val="18"/>
                <w:szCs w:val="18"/>
              </w:rPr>
              <w:t>Microsoft Windows XP/WIN7</w:t>
            </w:r>
          </w:p>
        </w:tc>
        <w:tc>
          <w:tcPr>
            <w:tcW w:w="2799" w:type="dxa"/>
            <w:tcBorders>
              <w:top w:val="single" w:sz="8" w:space="0" w:color="4f81bd"/>
              <w:left w:val="dotted" w:sz="8" w:space="0" w:color="auto"/>
              <w:bottom w:val="single" w:sz="8" w:space="0" w:color="4f81bd"/>
              <w:right w:val="single" w:sz="8" w:space="0" w:color="4f81bd"/>
            </w:tcBorders>
            <w:shd w:val="clear" w:color="auto" w:fill="ffffff"/>
          </w:tcPr>
          <w:p>
            <w:pPr>
              <w:pStyle w:val="style4116"/>
              <w:ind w:firstLine="0" w:firstLineChars="0"/>
              <w:rPr>
                <w:color w:val="000000"/>
                <w:sz w:val="18"/>
                <w:szCs w:val="18"/>
              </w:rPr>
            </w:pPr>
            <w:r>
              <w:rPr>
                <w:rFonts w:hint="eastAsia"/>
                <w:color w:val="000000"/>
                <w:sz w:val="18"/>
                <w:szCs w:val="18"/>
              </w:rPr>
              <w:t xml:space="preserve">DELL Desktop Machine / </w:t>
            </w:r>
          </w:p>
          <w:p>
            <w:pPr>
              <w:pStyle w:val="style4116"/>
              <w:ind w:firstLine="0" w:firstLineChars="0"/>
              <w:rPr>
                <w:color w:val="000000"/>
                <w:sz w:val="18"/>
                <w:szCs w:val="18"/>
              </w:rPr>
            </w:pPr>
            <w:r>
              <w:rPr>
                <w:rFonts w:hint="eastAsia"/>
                <w:color w:val="000000"/>
                <w:sz w:val="18"/>
                <w:szCs w:val="18"/>
              </w:rPr>
              <w:t xml:space="preserve">Laptops (4GB RAM </w:t>
            </w:r>
            <w:r>
              <w:rPr>
                <w:rFonts w:hint="eastAsia"/>
                <w:color w:val="000000"/>
                <w:sz w:val="18"/>
                <w:szCs w:val="18"/>
              </w:rPr>
              <w:t>and above)</w:t>
            </w:r>
          </w:p>
        </w:tc>
        <w:tc>
          <w:tcPr>
            <w:tcW w:w="1751" w:type="dxa"/>
            <w:tcBorders>
              <w:top w:val="single" w:sz="8" w:space="0" w:color="4f81bd"/>
              <w:left w:val="dotted" w:sz="8" w:space="0" w:color="auto"/>
              <w:bottom w:val="single" w:sz="8" w:space="0" w:color="4f81bd"/>
              <w:right w:val="single" w:sz="8" w:space="0" w:color="4f81bd"/>
            </w:tcBorders>
            <w:shd w:val="clear" w:color="auto" w:fill="ffffff"/>
          </w:tcPr>
          <w:p>
            <w:pPr>
              <w:pStyle w:val="style4116"/>
              <w:ind w:firstLine="0" w:firstLineChars="0"/>
              <w:rPr>
                <w:color w:val="000000"/>
                <w:sz w:val="18"/>
                <w:szCs w:val="18"/>
              </w:rPr>
            </w:pPr>
            <w:r>
              <w:rPr>
                <w:rFonts w:hint="eastAsia"/>
                <w:color w:val="000000"/>
                <w:sz w:val="18"/>
                <w:szCs w:val="18"/>
              </w:rPr>
              <w:t xml:space="preserve">Internet Explorer 9.0 </w:t>
            </w:r>
            <w:r>
              <w:rPr>
                <w:rFonts w:hint="eastAsia"/>
                <w:color w:val="000000"/>
                <w:sz w:val="18"/>
                <w:szCs w:val="18"/>
              </w:rPr>
              <w:t>，</w:t>
            </w:r>
            <w:r>
              <w:rPr>
                <w:rFonts w:hint="eastAsia"/>
                <w:color w:val="000000"/>
                <w:sz w:val="18"/>
                <w:szCs w:val="18"/>
              </w:rPr>
              <w:t>Chrome</w:t>
            </w:r>
          </w:p>
        </w:tc>
      </w:tr>
    </w:tbl>
    <w:p>
      <w:pPr>
        <w:pStyle w:val="style4116"/>
        <w:ind w:left="360" w:firstLine="0" w:firstLineChars="0"/>
        <w:rPr>
          <w:rFonts w:ascii="微软雅黑" w:cs="宋体" w:eastAsia="微软雅黑" w:hAnsi="微软雅黑"/>
          <w:szCs w:val="21"/>
        </w:rPr>
      </w:pPr>
      <w:r>
        <w:rPr>
          <w:rFonts w:ascii="微软雅黑" w:cs="宋体" w:eastAsia="微软雅黑" w:hAnsi="微软雅黑" w:hint="eastAsia"/>
          <w:szCs w:val="21"/>
        </w:rPr>
        <w:t>Web</w:t>
      </w:r>
      <w:r>
        <w:rPr>
          <w:rFonts w:ascii="微软雅黑" w:cs="宋体" w:eastAsia="微软雅黑" w:hAnsi="微软雅黑" w:hint="eastAsia"/>
          <w:szCs w:val="21"/>
        </w:rPr>
        <w:t>服务器端</w:t>
      </w:r>
    </w:p>
    <w:tbl>
      <w:tblPr>
        <w:tblStyle w:val="style154"/>
        <w:tblW w:w="7018" w:type="dxa"/>
        <w:tblInd w:w="964" w:type="dxa"/>
        <w:tblLayout w:type="fixed"/>
        <w:tblLook w:val="04A0" w:firstRow="1" w:lastRow="0" w:firstColumn="1" w:lastColumn="0" w:noHBand="0" w:noVBand="1"/>
      </w:tblPr>
      <w:tblGrid>
        <w:gridCol w:w="2603"/>
        <w:gridCol w:w="2650"/>
        <w:gridCol w:w="1765"/>
      </w:tblGrid>
      <w:tr>
        <w:trPr>
          <w:trHeight w:val="228" w:hRule="atLeast"/>
        </w:trPr>
        <w:tc>
          <w:tcPr>
            <w:tcW w:w="2603" w:type="dxa"/>
            <w:tcBorders>
              <w:top w:val="single" w:sz="8" w:space="0" w:color="4f81bd"/>
              <w:left w:val="dotted" w:sz="8" w:space="0" w:color="auto"/>
              <w:bottom w:val="single" w:sz="8" w:space="0" w:color="4f81bd"/>
              <w:right w:val="dotted" w:sz="8" w:space="0" w:color="auto"/>
            </w:tcBorders>
            <w:shd w:val="clear" w:color="auto" w:fill="4f81bd"/>
          </w:tcPr>
          <w:p>
            <w:pPr>
              <w:pStyle w:val="style4116"/>
              <w:ind w:firstLine="0" w:firstLineChars="0"/>
              <w:jc w:val="center"/>
              <w:rPr>
                <w:color w:val="ffffff"/>
                <w:sz w:val="18"/>
                <w:szCs w:val="18"/>
              </w:rPr>
            </w:pPr>
            <w:r>
              <w:rPr>
                <w:rFonts w:ascii="宋体" w:cs="Arial" w:hAnsi="宋体" w:hint="eastAsia"/>
                <w:color w:val="ffffff"/>
                <w:sz w:val="18"/>
                <w:szCs w:val="18"/>
              </w:rPr>
              <w:t>操作系统</w:t>
            </w:r>
          </w:p>
        </w:tc>
        <w:tc>
          <w:tcPr>
            <w:tcW w:w="2650" w:type="dxa"/>
            <w:tcBorders>
              <w:top w:val="single" w:sz="8" w:space="0" w:color="4f81bd"/>
              <w:left w:val="dotted" w:sz="8" w:space="0" w:color="auto"/>
              <w:bottom w:val="single" w:sz="8" w:space="0" w:color="4f81bd"/>
              <w:right w:val="single" w:sz="8" w:space="0" w:color="4f81bd"/>
            </w:tcBorders>
            <w:shd w:val="clear" w:color="auto" w:fill="4f81bd"/>
          </w:tcPr>
          <w:p>
            <w:pPr>
              <w:pStyle w:val="style4116"/>
              <w:ind w:firstLine="0" w:firstLineChars="0"/>
              <w:jc w:val="center"/>
              <w:rPr>
                <w:color w:val="ffffff"/>
                <w:sz w:val="18"/>
                <w:szCs w:val="18"/>
              </w:rPr>
            </w:pPr>
            <w:r>
              <w:rPr>
                <w:rFonts w:ascii="宋体" w:cs="Arial" w:hAnsi="宋体" w:hint="eastAsia"/>
                <w:color w:val="ffffff"/>
                <w:sz w:val="18"/>
                <w:szCs w:val="18"/>
              </w:rPr>
              <w:t>硬件环境</w:t>
            </w:r>
          </w:p>
        </w:tc>
        <w:tc>
          <w:tcPr>
            <w:tcW w:w="1765" w:type="dxa"/>
            <w:tcBorders>
              <w:top w:val="single" w:sz="8" w:space="0" w:color="4f81bd"/>
              <w:left w:val="dotted" w:sz="8" w:space="0" w:color="auto"/>
              <w:bottom w:val="single" w:sz="8" w:space="0" w:color="4f81bd"/>
              <w:right w:val="single" w:sz="8" w:space="0" w:color="4f81bd"/>
            </w:tcBorders>
            <w:shd w:val="clear" w:color="auto" w:fill="4f81bd"/>
          </w:tcPr>
          <w:p>
            <w:pPr>
              <w:pStyle w:val="style4116"/>
              <w:ind w:firstLine="0" w:firstLineChars="0"/>
              <w:jc w:val="center"/>
              <w:rPr>
                <w:rFonts w:ascii="宋体" w:cs="Arial" w:hAnsi="宋体"/>
                <w:color w:val="ffffff"/>
                <w:sz w:val="18"/>
                <w:szCs w:val="18"/>
              </w:rPr>
            </w:pPr>
            <w:r>
              <w:rPr>
                <w:rFonts w:ascii="宋体" w:cs="Arial" w:hAnsi="宋体" w:hint="eastAsia"/>
                <w:color w:val="ffffff"/>
                <w:sz w:val="18"/>
                <w:szCs w:val="18"/>
              </w:rPr>
              <w:t>软件</w:t>
            </w:r>
          </w:p>
        </w:tc>
      </w:tr>
      <w:tr>
        <w:tblPrEx/>
        <w:trPr>
          <w:trHeight w:val="668" w:hRule="atLeast"/>
        </w:trPr>
        <w:tc>
          <w:tcPr>
            <w:tcW w:w="2603" w:type="dxa"/>
            <w:tcBorders>
              <w:top w:val="single" w:sz="8" w:space="0" w:color="4f81bd"/>
              <w:left w:val="dotted" w:sz="8" w:space="0" w:color="auto"/>
              <w:bottom w:val="single" w:sz="8" w:space="0" w:color="4f81bd"/>
              <w:right w:val="dotted" w:sz="8" w:space="0" w:color="auto"/>
            </w:tcBorders>
            <w:shd w:val="clear" w:color="auto" w:fill="ffffff"/>
          </w:tcPr>
          <w:p>
            <w:pPr>
              <w:pStyle w:val="style4116"/>
              <w:ind w:firstLine="0" w:firstLineChars="0"/>
              <w:rPr>
                <w:color w:val="000000"/>
                <w:sz w:val="18"/>
                <w:szCs w:val="18"/>
              </w:rPr>
            </w:pPr>
            <w:r>
              <w:rPr>
                <w:rFonts w:hint="eastAsia"/>
                <w:color w:val="000000"/>
                <w:sz w:val="18"/>
                <w:szCs w:val="18"/>
              </w:rPr>
              <w:t xml:space="preserve">Microsoft Windows 2008 Server </w:t>
            </w:r>
          </w:p>
        </w:tc>
        <w:tc>
          <w:tcPr>
            <w:tcW w:w="2650" w:type="dxa"/>
            <w:tcBorders>
              <w:top w:val="single" w:sz="8" w:space="0" w:color="4f81bd"/>
              <w:left w:val="dotted" w:sz="8" w:space="0" w:color="auto"/>
              <w:bottom w:val="single" w:sz="8" w:space="0" w:color="4f81bd"/>
              <w:right w:val="single" w:sz="8" w:space="0" w:color="4f81bd"/>
            </w:tcBorders>
            <w:shd w:val="clear" w:color="auto" w:fill="ffffff"/>
          </w:tcPr>
          <w:p>
            <w:pPr>
              <w:pStyle w:val="style4116"/>
              <w:ind w:firstLine="0" w:firstLineChars="0"/>
              <w:rPr>
                <w:color w:val="000000"/>
                <w:sz w:val="18"/>
                <w:szCs w:val="18"/>
              </w:rPr>
            </w:pPr>
            <w:r>
              <w:rPr>
                <w:rFonts w:hint="eastAsia"/>
                <w:color w:val="000000"/>
                <w:sz w:val="18"/>
                <w:szCs w:val="18"/>
              </w:rPr>
              <w:t xml:space="preserve">DELL Machine </w:t>
            </w:r>
            <w:r>
              <w:rPr>
                <w:rFonts w:hint="eastAsia"/>
                <w:color w:val="000000"/>
                <w:sz w:val="18"/>
                <w:szCs w:val="18"/>
              </w:rPr>
              <w:t>–</w:t>
            </w:r>
            <w:r>
              <w:rPr>
                <w:rFonts w:hint="eastAsia"/>
                <w:color w:val="000000"/>
                <w:sz w:val="18"/>
                <w:szCs w:val="18"/>
              </w:rPr>
              <w:t xml:space="preserve"> 32GB RAM, 400GB HDD</w:t>
            </w:r>
            <w:r>
              <w:rPr>
                <w:rFonts w:hint="eastAsia"/>
                <w:color w:val="000000"/>
                <w:sz w:val="18"/>
                <w:szCs w:val="18"/>
              </w:rPr>
              <w:t>，</w:t>
            </w:r>
            <w:r>
              <w:rPr>
                <w:rFonts w:hint="eastAsia"/>
                <w:color w:val="000000"/>
                <w:sz w:val="18"/>
                <w:szCs w:val="18"/>
              </w:rPr>
              <w:t>CPU &gt;i5,4CPU</w:t>
            </w:r>
          </w:p>
        </w:tc>
        <w:tc>
          <w:tcPr>
            <w:tcW w:w="1765" w:type="dxa"/>
            <w:tcBorders>
              <w:top w:val="single" w:sz="8" w:space="0" w:color="4f81bd"/>
              <w:left w:val="dotted" w:sz="8" w:space="0" w:color="auto"/>
              <w:bottom w:val="single" w:sz="8" w:space="0" w:color="4f81bd"/>
              <w:right w:val="single" w:sz="8" w:space="0" w:color="4f81bd"/>
            </w:tcBorders>
            <w:shd w:val="clear" w:color="auto" w:fill="ffffff"/>
          </w:tcPr>
          <w:p>
            <w:pPr>
              <w:pStyle w:val="style4116"/>
              <w:ind w:firstLine="0" w:firstLineChars="0"/>
              <w:rPr>
                <w:color w:val="000000"/>
                <w:sz w:val="18"/>
                <w:szCs w:val="18"/>
              </w:rPr>
            </w:pPr>
            <w:r>
              <w:rPr>
                <w:rFonts w:hint="eastAsia"/>
                <w:color w:val="000000"/>
                <w:sz w:val="18"/>
                <w:szCs w:val="18"/>
              </w:rPr>
              <w:t>Tomcat</w:t>
            </w:r>
          </w:p>
        </w:tc>
      </w:tr>
    </w:tbl>
    <w:p>
      <w:pPr>
        <w:pStyle w:val="style4116"/>
        <w:ind w:left="360" w:firstLine="0" w:firstLineChars="0"/>
        <w:rPr>
          <w:rFonts w:ascii="微软雅黑" w:cs="宋体" w:eastAsia="微软雅黑" w:hAnsi="微软雅黑"/>
          <w:szCs w:val="21"/>
        </w:rPr>
      </w:pPr>
      <w:r>
        <w:rPr>
          <w:rFonts w:ascii="微软雅黑" w:cs="宋体" w:eastAsia="微软雅黑" w:hAnsi="微软雅黑" w:hint="eastAsia"/>
          <w:szCs w:val="21"/>
        </w:rPr>
        <w:t>数据库系统</w:t>
      </w:r>
    </w:p>
    <w:tbl>
      <w:tblPr>
        <w:tblStyle w:val="style154"/>
        <w:tblW w:w="7037" w:type="dxa"/>
        <w:tblInd w:w="964" w:type="dxa"/>
        <w:tblLayout w:type="fixed"/>
        <w:tblLook w:val="04A0" w:firstRow="1" w:lastRow="0" w:firstColumn="1" w:lastColumn="0" w:noHBand="0" w:noVBand="1"/>
      </w:tblPr>
      <w:tblGrid>
        <w:gridCol w:w="2587"/>
        <w:gridCol w:w="2638"/>
        <w:gridCol w:w="1812"/>
      </w:tblGrid>
      <w:tr>
        <w:trPr>
          <w:trHeight w:val="228" w:hRule="atLeast"/>
        </w:trPr>
        <w:tc>
          <w:tcPr>
            <w:tcW w:w="2587" w:type="dxa"/>
            <w:tcBorders>
              <w:top w:val="single" w:sz="8" w:space="0" w:color="4f81bd"/>
              <w:left w:val="dotted" w:sz="8" w:space="0" w:color="auto"/>
              <w:bottom w:val="single" w:sz="8" w:space="0" w:color="4f81bd"/>
              <w:right w:val="dotted" w:sz="8" w:space="0" w:color="auto"/>
            </w:tcBorders>
            <w:shd w:val="clear" w:color="auto" w:fill="4f81bd"/>
          </w:tcPr>
          <w:p>
            <w:pPr>
              <w:pStyle w:val="style4116"/>
              <w:ind w:firstLine="0" w:firstLineChars="0"/>
              <w:jc w:val="center"/>
              <w:rPr>
                <w:color w:val="ffffff"/>
                <w:sz w:val="18"/>
                <w:szCs w:val="18"/>
              </w:rPr>
            </w:pPr>
            <w:r>
              <w:rPr>
                <w:rFonts w:ascii="宋体" w:cs="Arial" w:hAnsi="宋体" w:hint="eastAsia"/>
                <w:color w:val="ffffff"/>
                <w:sz w:val="18"/>
                <w:szCs w:val="18"/>
              </w:rPr>
              <w:t>操作系统</w:t>
            </w:r>
          </w:p>
        </w:tc>
        <w:tc>
          <w:tcPr>
            <w:tcW w:w="2638" w:type="dxa"/>
            <w:tcBorders>
              <w:top w:val="single" w:sz="8" w:space="0" w:color="4f81bd"/>
              <w:left w:val="dotted" w:sz="8" w:space="0" w:color="auto"/>
              <w:bottom w:val="single" w:sz="8" w:space="0" w:color="4f81bd"/>
              <w:right w:val="single" w:sz="8" w:space="0" w:color="4f81bd"/>
            </w:tcBorders>
            <w:shd w:val="clear" w:color="auto" w:fill="4f81bd"/>
          </w:tcPr>
          <w:p>
            <w:pPr>
              <w:pStyle w:val="style4116"/>
              <w:ind w:firstLine="0" w:firstLineChars="0"/>
              <w:jc w:val="center"/>
              <w:rPr>
                <w:color w:val="ffffff"/>
                <w:sz w:val="18"/>
                <w:szCs w:val="18"/>
              </w:rPr>
            </w:pPr>
            <w:r>
              <w:rPr>
                <w:rFonts w:ascii="宋体" w:cs="Arial" w:hAnsi="宋体" w:hint="eastAsia"/>
                <w:color w:val="ffffff"/>
                <w:sz w:val="18"/>
                <w:szCs w:val="18"/>
              </w:rPr>
              <w:t>硬件环境</w:t>
            </w:r>
          </w:p>
        </w:tc>
        <w:tc>
          <w:tcPr>
            <w:tcW w:w="1812" w:type="dxa"/>
            <w:tcBorders>
              <w:top w:val="single" w:sz="8" w:space="0" w:color="4f81bd"/>
              <w:left w:val="dotted" w:sz="8" w:space="0" w:color="auto"/>
              <w:bottom w:val="single" w:sz="8" w:space="0" w:color="4f81bd"/>
              <w:right w:val="single" w:sz="8" w:space="0" w:color="4f81bd"/>
            </w:tcBorders>
            <w:shd w:val="clear" w:color="auto" w:fill="4f81bd"/>
          </w:tcPr>
          <w:p>
            <w:pPr>
              <w:pStyle w:val="style4116"/>
              <w:ind w:firstLine="0" w:firstLineChars="0"/>
              <w:jc w:val="center"/>
              <w:rPr>
                <w:rFonts w:ascii="宋体" w:cs="Arial" w:hAnsi="宋体"/>
                <w:color w:val="ffffff"/>
                <w:sz w:val="18"/>
                <w:szCs w:val="18"/>
              </w:rPr>
            </w:pPr>
            <w:r>
              <w:rPr>
                <w:rFonts w:ascii="宋体" w:cs="Arial" w:hAnsi="宋体" w:hint="eastAsia"/>
                <w:color w:val="ffffff"/>
                <w:sz w:val="18"/>
                <w:szCs w:val="18"/>
              </w:rPr>
              <w:t>数据库</w:t>
            </w:r>
          </w:p>
        </w:tc>
      </w:tr>
      <w:tr>
        <w:tblPrEx/>
        <w:trPr>
          <w:trHeight w:val="668" w:hRule="atLeast"/>
        </w:trPr>
        <w:tc>
          <w:tcPr>
            <w:tcW w:w="2587" w:type="dxa"/>
            <w:tcBorders>
              <w:top w:val="single" w:sz="8" w:space="0" w:color="4f81bd"/>
              <w:left w:val="dotted" w:sz="8" w:space="0" w:color="auto"/>
              <w:bottom w:val="single" w:sz="8" w:space="0" w:color="4f81bd"/>
              <w:right w:val="dotted" w:sz="8" w:space="0" w:color="auto"/>
            </w:tcBorders>
            <w:shd w:val="clear" w:color="auto" w:fill="ffffff"/>
          </w:tcPr>
          <w:p>
            <w:pPr>
              <w:pStyle w:val="style4116"/>
              <w:ind w:firstLine="0" w:firstLineChars="0"/>
              <w:rPr>
                <w:color w:val="000000"/>
                <w:sz w:val="18"/>
                <w:szCs w:val="18"/>
              </w:rPr>
            </w:pPr>
            <w:r>
              <w:rPr>
                <w:rFonts w:hint="eastAsia"/>
                <w:color w:val="000000"/>
                <w:sz w:val="18"/>
                <w:szCs w:val="18"/>
              </w:rPr>
              <w:t xml:space="preserve">Microsoft Windows 2008 Server </w:t>
            </w:r>
          </w:p>
        </w:tc>
        <w:tc>
          <w:tcPr>
            <w:tcW w:w="2638" w:type="dxa"/>
            <w:tcBorders>
              <w:top w:val="single" w:sz="8" w:space="0" w:color="4f81bd"/>
              <w:left w:val="dotted" w:sz="8" w:space="0" w:color="auto"/>
              <w:bottom w:val="single" w:sz="8" w:space="0" w:color="4f81bd"/>
              <w:right w:val="single" w:sz="8" w:space="0" w:color="4f81bd"/>
            </w:tcBorders>
            <w:shd w:val="clear" w:color="auto" w:fill="ffffff"/>
          </w:tcPr>
          <w:p>
            <w:pPr>
              <w:pStyle w:val="style4116"/>
              <w:ind w:firstLine="0" w:firstLineChars="0"/>
              <w:rPr>
                <w:color w:val="000000"/>
                <w:sz w:val="18"/>
                <w:szCs w:val="18"/>
              </w:rPr>
            </w:pPr>
            <w:r>
              <w:rPr>
                <w:rFonts w:hint="eastAsia"/>
                <w:color w:val="000000"/>
                <w:sz w:val="18"/>
                <w:szCs w:val="18"/>
              </w:rPr>
              <w:t xml:space="preserve">DELL Machine </w:t>
            </w:r>
            <w:r>
              <w:rPr>
                <w:rFonts w:hint="eastAsia"/>
                <w:color w:val="000000"/>
                <w:sz w:val="18"/>
                <w:szCs w:val="18"/>
              </w:rPr>
              <w:t>–</w:t>
            </w:r>
            <w:r>
              <w:rPr>
                <w:rFonts w:hint="eastAsia"/>
                <w:color w:val="000000"/>
                <w:sz w:val="18"/>
                <w:szCs w:val="18"/>
              </w:rPr>
              <w:t xml:space="preserve"> 16GB RAM, 200GB HDD</w:t>
            </w:r>
            <w:r>
              <w:rPr>
                <w:rFonts w:hint="eastAsia"/>
                <w:color w:val="000000"/>
                <w:sz w:val="18"/>
                <w:szCs w:val="18"/>
              </w:rPr>
              <w:t>，</w:t>
            </w:r>
            <w:r>
              <w:rPr>
                <w:rFonts w:hint="eastAsia"/>
                <w:color w:val="000000"/>
                <w:sz w:val="18"/>
                <w:szCs w:val="18"/>
              </w:rPr>
              <w:t>CPU &gt;i5</w:t>
            </w:r>
          </w:p>
        </w:tc>
        <w:tc>
          <w:tcPr>
            <w:tcW w:w="1812" w:type="dxa"/>
            <w:tcBorders>
              <w:top w:val="single" w:sz="8" w:space="0" w:color="4f81bd"/>
              <w:left w:val="dotted" w:sz="8" w:space="0" w:color="auto"/>
              <w:bottom w:val="single" w:sz="8" w:space="0" w:color="4f81bd"/>
              <w:right w:val="single" w:sz="8" w:space="0" w:color="4f81bd"/>
            </w:tcBorders>
            <w:shd w:val="clear" w:color="auto" w:fill="ffffff"/>
          </w:tcPr>
          <w:p>
            <w:pPr>
              <w:pStyle w:val="style4116"/>
              <w:ind w:firstLine="0" w:firstLineChars="0"/>
              <w:rPr>
                <w:color w:val="000000"/>
                <w:sz w:val="18"/>
                <w:szCs w:val="18"/>
              </w:rPr>
            </w:pPr>
            <w:r>
              <w:rPr>
                <w:rFonts w:hint="eastAsia"/>
                <w:color w:val="000000"/>
                <w:sz w:val="18"/>
                <w:szCs w:val="18"/>
              </w:rPr>
              <w:t>SQL Server</w:t>
            </w:r>
            <w:r>
              <w:rPr>
                <w:rFonts w:hint="eastAsia"/>
                <w:color w:val="000000"/>
                <w:sz w:val="18"/>
                <w:szCs w:val="18"/>
              </w:rPr>
              <w:t xml:space="preserve"> 2008 R2</w:t>
            </w:r>
          </w:p>
        </w:tc>
      </w:tr>
    </w:tbl>
    <w:p>
      <w:pPr>
        <w:pStyle w:val="style4116"/>
        <w:ind w:left="360" w:firstLine="0" w:firstLineChars="0"/>
        <w:rPr>
          <w:rFonts w:ascii="微软雅黑" w:cs="宋体" w:eastAsia="微软雅黑" w:hAnsi="微软雅黑"/>
          <w:szCs w:val="21"/>
        </w:rPr>
      </w:pPr>
      <w:r>
        <w:rPr>
          <w:rFonts w:ascii="微软雅黑" w:cs="宋体" w:eastAsia="微软雅黑" w:hAnsi="微软雅黑" w:hint="eastAsia"/>
          <w:szCs w:val="21"/>
        </w:rPr>
        <w:t>手机</w:t>
      </w:r>
    </w:p>
    <w:tbl>
      <w:tblPr>
        <w:tblStyle w:val="style154"/>
        <w:tblW w:w="5254" w:type="dxa"/>
        <w:tblInd w:w="964" w:type="dxa"/>
        <w:tblLayout w:type="fixed"/>
        <w:tblLook w:val="04A0" w:firstRow="1" w:lastRow="0" w:firstColumn="1" w:lastColumn="0" w:noHBand="0" w:noVBand="1"/>
      </w:tblPr>
      <w:tblGrid>
        <w:gridCol w:w="2616"/>
        <w:gridCol w:w="2638"/>
      </w:tblGrid>
      <w:tr>
        <w:trPr>
          <w:trHeight w:val="228" w:hRule="atLeast"/>
        </w:trPr>
        <w:tc>
          <w:tcPr>
            <w:tcW w:w="2616" w:type="dxa"/>
            <w:tcBorders>
              <w:top w:val="single" w:sz="8" w:space="0" w:color="4f81bd"/>
              <w:left w:val="dotted" w:sz="8" w:space="0" w:color="auto"/>
              <w:bottom w:val="single" w:sz="8" w:space="0" w:color="4f81bd"/>
              <w:right w:val="dotted" w:sz="8" w:space="0" w:color="auto"/>
            </w:tcBorders>
            <w:shd w:val="clear" w:color="auto" w:fill="4f81bd"/>
          </w:tcPr>
          <w:p>
            <w:pPr>
              <w:pStyle w:val="style4116"/>
              <w:ind w:firstLine="0" w:firstLineChars="0"/>
              <w:jc w:val="center"/>
              <w:rPr>
                <w:color w:val="ffffff"/>
                <w:sz w:val="18"/>
                <w:szCs w:val="18"/>
              </w:rPr>
            </w:pPr>
            <w:r>
              <w:rPr>
                <w:rFonts w:ascii="宋体" w:cs="Arial" w:hAnsi="宋体" w:hint="eastAsia"/>
                <w:color w:val="ffffff"/>
                <w:sz w:val="18"/>
                <w:szCs w:val="18"/>
              </w:rPr>
              <w:t>操作系统</w:t>
            </w:r>
          </w:p>
        </w:tc>
        <w:tc>
          <w:tcPr>
            <w:tcW w:w="2638" w:type="dxa"/>
            <w:tcBorders>
              <w:top w:val="single" w:sz="8" w:space="0" w:color="4f81bd"/>
              <w:left w:val="dotted" w:sz="8" w:space="0" w:color="auto"/>
              <w:bottom w:val="single" w:sz="8" w:space="0" w:color="4f81bd"/>
              <w:right w:val="single" w:sz="8" w:space="0" w:color="4f81bd"/>
            </w:tcBorders>
            <w:shd w:val="clear" w:color="auto" w:fill="4f81bd"/>
          </w:tcPr>
          <w:p>
            <w:pPr>
              <w:pStyle w:val="style4116"/>
              <w:ind w:firstLine="0" w:firstLineChars="0"/>
              <w:jc w:val="center"/>
              <w:rPr>
                <w:color w:val="ffffff"/>
                <w:sz w:val="18"/>
                <w:szCs w:val="18"/>
              </w:rPr>
            </w:pPr>
            <w:r>
              <w:rPr>
                <w:rFonts w:ascii="宋体" w:cs="Arial" w:hAnsi="宋体" w:hint="eastAsia"/>
                <w:color w:val="ffffff"/>
                <w:sz w:val="18"/>
                <w:szCs w:val="18"/>
              </w:rPr>
              <w:t>版本</w:t>
            </w:r>
          </w:p>
        </w:tc>
      </w:tr>
      <w:tr>
        <w:tblPrEx/>
        <w:trPr>
          <w:trHeight w:val="349" w:hRule="atLeast"/>
        </w:trPr>
        <w:tc>
          <w:tcPr>
            <w:tcW w:w="2616" w:type="dxa"/>
            <w:tcBorders>
              <w:top w:val="single" w:sz="8" w:space="0" w:color="4f81bd"/>
              <w:left w:val="dotted" w:sz="8" w:space="0" w:color="auto"/>
              <w:bottom w:val="single" w:sz="8" w:space="0" w:color="4f81bd"/>
              <w:right w:val="dotted" w:sz="8" w:space="0" w:color="auto"/>
            </w:tcBorders>
            <w:shd w:val="clear" w:color="auto" w:fill="ffffff"/>
          </w:tcPr>
          <w:p>
            <w:pPr>
              <w:pStyle w:val="style4116"/>
              <w:ind w:firstLine="0" w:firstLineChars="0"/>
              <w:rPr>
                <w:color w:val="000000"/>
                <w:sz w:val="18"/>
                <w:szCs w:val="18"/>
              </w:rPr>
            </w:pPr>
            <w:r>
              <w:rPr>
                <w:rFonts w:hint="eastAsia"/>
                <w:color w:val="000000"/>
                <w:sz w:val="18"/>
                <w:szCs w:val="18"/>
              </w:rPr>
              <w:t>Android</w:t>
            </w:r>
            <w:r>
              <w:rPr>
                <w:rFonts w:hint="eastAsia"/>
                <w:color w:val="000000"/>
                <w:sz w:val="18"/>
                <w:szCs w:val="18"/>
              </w:rPr>
              <w:t>，</w:t>
            </w:r>
            <w:r>
              <w:rPr>
                <w:rFonts w:hint="eastAsia"/>
                <w:color w:val="000000"/>
                <w:sz w:val="18"/>
                <w:szCs w:val="18"/>
              </w:rPr>
              <w:t>IOS</w:t>
            </w:r>
          </w:p>
        </w:tc>
        <w:tc>
          <w:tcPr>
            <w:tcW w:w="2638" w:type="dxa"/>
            <w:tcBorders>
              <w:top w:val="single" w:sz="8" w:space="0" w:color="4f81bd"/>
              <w:left w:val="dotted" w:sz="8" w:space="0" w:color="auto"/>
              <w:bottom w:val="single" w:sz="8" w:space="0" w:color="4f81bd"/>
              <w:right w:val="single" w:sz="8" w:space="0" w:color="4f81bd"/>
            </w:tcBorders>
            <w:shd w:val="clear" w:color="auto" w:fill="ffffff"/>
          </w:tcPr>
          <w:p>
            <w:pPr>
              <w:pStyle w:val="style4116"/>
              <w:ind w:firstLine="0" w:firstLineChars="0"/>
              <w:rPr>
                <w:color w:val="000000"/>
                <w:sz w:val="18"/>
                <w:szCs w:val="18"/>
              </w:rPr>
            </w:pPr>
            <w:r>
              <w:rPr>
                <w:rFonts w:hint="eastAsia"/>
                <w:color w:val="000000"/>
                <w:sz w:val="18"/>
                <w:szCs w:val="18"/>
              </w:rPr>
              <w:t>Android ver4.0+</w:t>
            </w:r>
            <w:r>
              <w:rPr>
                <w:rFonts w:hint="eastAsia"/>
                <w:color w:val="000000"/>
                <w:sz w:val="18"/>
                <w:szCs w:val="18"/>
              </w:rPr>
              <w:t>，</w:t>
            </w:r>
            <w:r>
              <w:rPr>
                <w:rFonts w:hint="eastAsia"/>
                <w:color w:val="000000"/>
                <w:sz w:val="18"/>
                <w:szCs w:val="18"/>
              </w:rPr>
              <w:t>IOS ver7.0+</w:t>
            </w:r>
          </w:p>
        </w:tc>
      </w:tr>
    </w:tbl>
    <w:p>
      <w:pPr>
        <w:pStyle w:val="style0"/>
        <w:spacing w:lineRule="auto" w:line="276"/>
        <w:rPr>
          <w:rFonts w:ascii="微软雅黑" w:eastAsia="微软雅黑" w:hAnsi="微软雅黑"/>
          <w:szCs w:val="21"/>
        </w:rPr>
      </w:pPr>
    </w:p>
    <w:bookmarkStart w:id="16" w:name="_Toc487642452"/>
    <w:p>
      <w:pPr>
        <w:pStyle w:val="style2"/>
        <w:numPr>
          <w:ilvl w:val="1"/>
          <w:numId w:val="2"/>
        </w:numPr>
        <w:spacing w:lineRule="auto" w:line="360"/>
        <w:rPr>
          <w:rFonts w:ascii="微软雅黑" w:eastAsia="微软雅黑" w:hAnsi="微软雅黑"/>
        </w:rPr>
      </w:pPr>
      <w:r>
        <w:rPr>
          <w:rFonts w:ascii="微软雅黑" w:eastAsia="微软雅黑" w:hAnsi="微软雅黑" w:hint="eastAsia"/>
        </w:rPr>
        <w:t>方案实施计划</w:t>
      </w:r>
      <w:bookmarkEnd w:id="16"/>
    </w:p>
    <w:p>
      <w:pPr>
        <w:pStyle w:val="style0"/>
        <w:spacing w:lineRule="auto" w:line="276"/>
        <w:ind w:firstLine="420"/>
        <w:rPr>
          <w:rFonts w:ascii="微软雅黑" w:eastAsia="微软雅黑" w:hAnsi="微软雅黑"/>
          <w:szCs w:val="21"/>
        </w:rPr>
      </w:pPr>
      <w:r>
        <w:rPr>
          <w:rFonts w:ascii="微软雅黑" w:eastAsia="微软雅黑" w:hAnsi="微软雅黑" w:hint="eastAsia"/>
          <w:szCs w:val="21"/>
        </w:rPr>
        <w:t>为了保证项目的成功上线，除了向</w:t>
      </w:r>
      <w:r>
        <w:rPr>
          <w:rFonts w:ascii="微软雅黑" w:eastAsia="微软雅黑" w:hAnsi="微软雅黑" w:hint="eastAsia"/>
          <w:szCs w:val="21"/>
        </w:rPr>
        <w:t>医疗机构或者</w:t>
      </w:r>
      <w:r>
        <w:rPr>
          <w:rFonts w:ascii="微软雅黑" w:eastAsia="微软雅黑" w:hAnsi="微软雅黑"/>
          <w:szCs w:val="21"/>
        </w:rPr>
        <w:t>卫计委</w:t>
      </w:r>
      <w:r>
        <w:rPr>
          <w:rFonts w:ascii="微软雅黑" w:eastAsia="微软雅黑" w:hAnsi="微软雅黑" w:hint="eastAsia"/>
          <w:szCs w:val="21"/>
        </w:rPr>
        <w:t>部署信息化平台外，还将为项目配置专属的项目实施及运维团队。以信息化平台为技术支撑，为</w:t>
      </w:r>
      <w:r>
        <w:rPr>
          <w:rFonts w:ascii="微软雅黑" w:eastAsia="微软雅黑" w:hAnsi="微软雅黑"/>
          <w:szCs w:val="21"/>
        </w:rPr>
        <w:t>卫计委</w:t>
      </w:r>
      <w:r>
        <w:rPr>
          <w:rFonts w:ascii="微软雅黑" w:eastAsia="微软雅黑" w:hAnsi="微软雅黑" w:hint="eastAsia"/>
          <w:szCs w:val="21"/>
        </w:rPr>
        <w:t>搭建切实可行运维服务体系。为方案的成功实施，信息化平台与医疗设备管理的完美融合提供坚实的保障。此次</w:t>
      </w:r>
      <w:r>
        <w:rPr>
          <w:rFonts w:ascii="微软雅黑" w:eastAsia="微软雅黑" w:hAnsi="微软雅黑" w:hint="eastAsia"/>
          <w:szCs w:val="21"/>
        </w:rPr>
        <w:t>项目方案的实施和运维主要分为五个阶段。</w:t>
      </w:r>
    </w:p>
    <w:bookmarkStart w:id="17" w:name="_Toc487642453"/>
    <w:p>
      <w:pPr>
        <w:pStyle w:val="style2"/>
        <w:numPr>
          <w:ilvl w:val="2"/>
          <w:numId w:val="2"/>
        </w:numPr>
        <w:spacing w:lineRule="auto" w:line="360"/>
        <w:rPr>
          <w:rFonts w:ascii="微软雅黑" w:eastAsia="微软雅黑" w:hAnsi="微软雅黑"/>
          <w:sz w:val="24"/>
        </w:rPr>
      </w:pPr>
      <w:r>
        <w:rPr>
          <w:rFonts w:ascii="微软雅黑" w:eastAsia="微软雅黑" w:hAnsi="微软雅黑" w:hint="eastAsia"/>
          <w:sz w:val="24"/>
        </w:rPr>
        <w:t>项目实施准备：</w:t>
      </w:r>
      <w:bookmarkEnd w:id="17"/>
    </w:p>
    <w:p>
      <w:pPr>
        <w:pStyle w:val="style0"/>
        <w:rPr/>
      </w:pPr>
      <w:r>
        <w:rPr>
          <w:rFonts w:hint="eastAsia"/>
        </w:rPr>
        <w:t>此阶段我们将</w:t>
      </w:r>
      <w:r>
        <w:rPr>
          <w:rFonts w:hint="eastAsia"/>
        </w:rPr>
        <w:t>组建项目小组，并与医院科室和设备管理部门进行前期业务沟通、设备状态评估和制定项目组的工作职责和项目计划。通过此阶段的工作将当成以下成果：</w:t>
      </w:r>
    </w:p>
    <w:p>
      <w:pPr>
        <w:pStyle w:val="style179"/>
        <w:numPr>
          <w:ilvl w:val="0"/>
          <w:numId w:val="3"/>
        </w:numPr>
        <w:ind w:firstLineChars="0"/>
        <w:rPr/>
      </w:pPr>
      <w:r>
        <w:rPr>
          <w:rFonts w:hint="eastAsia"/>
        </w:rPr>
        <w:t>成立四人项目小组项目：项目经理一名、一名设备运营管信息化理顾问，二</w:t>
      </w:r>
      <w:r>
        <w:rPr>
          <w:rFonts w:hint="eastAsia"/>
        </w:rPr>
        <w:t>名信息化平台开发工程师（同时配置多名技术人员进行前期设备清点）</w:t>
      </w:r>
    </w:p>
    <w:p>
      <w:pPr>
        <w:pStyle w:val="style179"/>
        <w:numPr>
          <w:ilvl w:val="0"/>
          <w:numId w:val="3"/>
        </w:numPr>
        <w:ind w:firstLineChars="0"/>
        <w:rPr/>
      </w:pPr>
      <w:r>
        <w:rPr>
          <w:rFonts w:hint="eastAsia"/>
        </w:rPr>
        <w:t>调研医疗设备运营管理现状、制度及要求；评估设备使用状况；整理设备手册</w:t>
      </w:r>
    </w:p>
    <w:p>
      <w:pPr>
        <w:pStyle w:val="style179"/>
        <w:numPr>
          <w:ilvl w:val="0"/>
          <w:numId w:val="3"/>
        </w:numPr>
        <w:ind w:firstLineChars="0"/>
        <w:rPr/>
      </w:pPr>
      <w:r>
        <w:rPr>
          <w:rFonts w:hint="eastAsia"/>
        </w:rPr>
        <w:t>结合项目实施及后期运维制定项目组工作任务计划及职责，以及个性化开发需求</w:t>
      </w:r>
    </w:p>
    <w:p>
      <w:pPr>
        <w:pStyle w:val="style179"/>
        <w:numPr>
          <w:ilvl w:val="0"/>
          <w:numId w:val="3"/>
        </w:numPr>
        <w:ind w:firstLineChars="0"/>
        <w:rPr/>
      </w:pPr>
      <w:r>
        <w:rPr>
          <w:rFonts w:hint="eastAsia"/>
        </w:rPr>
        <w:t>项目实施准备阶段工作预计</w:t>
      </w:r>
      <w:r>
        <w:rPr>
          <w:rFonts w:hint="eastAsia"/>
        </w:rPr>
        <w:t>2</w:t>
      </w:r>
      <w:r>
        <w:rPr>
          <w:rFonts w:hint="eastAsia"/>
        </w:rPr>
        <w:t>个月完成</w:t>
      </w:r>
    </w:p>
    <w:p>
      <w:pPr>
        <w:pStyle w:val="style0"/>
        <w:tabs>
          <w:tab w:val="left" w:leader="none" w:pos="2080"/>
        </w:tabs>
        <w:rPr/>
      </w:pPr>
    </w:p>
    <w:bookmarkStart w:id="18" w:name="_Toc487642454"/>
    <w:p>
      <w:pPr>
        <w:pStyle w:val="style2"/>
        <w:numPr>
          <w:ilvl w:val="2"/>
          <w:numId w:val="2"/>
        </w:numPr>
        <w:spacing w:lineRule="auto" w:line="360"/>
        <w:rPr>
          <w:rFonts w:ascii="微软雅黑" w:eastAsia="微软雅黑" w:hAnsi="微软雅黑"/>
          <w:sz w:val="24"/>
        </w:rPr>
      </w:pPr>
      <w:r>
        <w:rPr>
          <w:rFonts w:ascii="微软雅黑" w:eastAsia="微软雅黑" w:hAnsi="微软雅黑" w:hint="eastAsia"/>
          <w:sz w:val="24"/>
        </w:rPr>
        <w:t>医疗设备建档：</w:t>
      </w:r>
      <w:bookmarkEnd w:id="18"/>
    </w:p>
    <w:p>
      <w:pPr>
        <w:pStyle w:val="style0"/>
        <w:ind w:firstLine="640"/>
        <w:rPr>
          <w:highlight w:val="yellow"/>
        </w:rPr>
      </w:pPr>
      <w:r>
        <w:rPr>
          <w:rFonts w:hint="eastAsia"/>
          <w:highlight w:val="yellow"/>
        </w:rPr>
        <w:t>确定设备盘点开始的时间节点，项目团队将配合医疗机构对所有采购入院的所有在用医疗设备进行逐台排查、将设备信息在系统中建档、文件归类并上传管理平台。通过此阶段的工作达到以下项目成果：</w:t>
      </w:r>
    </w:p>
    <w:p>
      <w:pPr>
        <w:pStyle w:val="style179"/>
        <w:numPr>
          <w:ilvl w:val="0"/>
          <w:numId w:val="3"/>
        </w:numPr>
        <w:ind w:firstLineChars="0"/>
        <w:rPr>
          <w:highlight w:val="yellow"/>
        </w:rPr>
      </w:pPr>
      <w:r>
        <w:rPr>
          <w:rFonts w:hint="eastAsia"/>
          <w:highlight w:val="yellow"/>
        </w:rPr>
        <w:t>整理设备资产清单、基础数据采集整理、二维码制定</w:t>
      </w:r>
    </w:p>
    <w:p>
      <w:pPr>
        <w:pStyle w:val="style179"/>
        <w:numPr>
          <w:ilvl w:val="0"/>
          <w:numId w:val="3"/>
        </w:numPr>
        <w:ind w:firstLineChars="0"/>
        <w:rPr>
          <w:highlight w:val="yellow"/>
        </w:rPr>
      </w:pPr>
      <w:r>
        <w:rPr>
          <w:rFonts w:hint="eastAsia"/>
          <w:highlight w:val="yellow"/>
        </w:rPr>
        <w:t>按照科室逐台盘点设备、盘点报表整理、盘多/盘少设备核实处置</w:t>
      </w:r>
    </w:p>
    <w:p>
      <w:pPr>
        <w:pStyle w:val="style179"/>
        <w:numPr>
          <w:ilvl w:val="0"/>
          <w:numId w:val="3"/>
        </w:numPr>
        <w:ind w:firstLineChars="0"/>
        <w:rPr>
          <w:highlight w:val="yellow"/>
        </w:rPr>
      </w:pPr>
      <w:r>
        <w:rPr>
          <w:rFonts w:hint="eastAsia"/>
          <w:highlight w:val="yellow"/>
        </w:rPr>
        <w:t>设备二维码张贴、相关文件归档和扫描上传</w:t>
      </w:r>
    </w:p>
    <w:p>
      <w:pPr>
        <w:pStyle w:val="style179"/>
        <w:numPr>
          <w:ilvl w:val="0"/>
          <w:numId w:val="3"/>
        </w:numPr>
        <w:ind w:firstLineChars="0"/>
        <w:rPr>
          <w:highlight w:val="yellow"/>
        </w:rPr>
      </w:pPr>
      <w:r>
        <w:rPr>
          <w:rFonts w:hint="eastAsia"/>
          <w:highlight w:val="yellow"/>
        </w:rPr>
        <w:t>此阶段工作预计1至2个月完成</w:t>
      </w:r>
    </w:p>
    <w:p>
      <w:pPr>
        <w:pStyle w:val="style0"/>
        <w:rPr>
          <w:highlight w:val="yellow"/>
        </w:rPr>
      </w:pPr>
    </w:p>
    <w:bookmarkStart w:id="19" w:name="_Toc487642455"/>
    <w:p>
      <w:pPr>
        <w:pStyle w:val="style2"/>
        <w:numPr>
          <w:ilvl w:val="2"/>
          <w:numId w:val="2"/>
        </w:numPr>
        <w:spacing w:lineRule="auto" w:line="360"/>
        <w:rPr>
          <w:rFonts w:ascii="微软雅黑" w:eastAsia="微软雅黑" w:hAnsi="微软雅黑"/>
          <w:sz w:val="24"/>
          <w:highlight w:val="yellow"/>
        </w:rPr>
      </w:pPr>
      <w:r>
        <w:rPr>
          <w:rFonts w:ascii="微软雅黑" w:eastAsia="微软雅黑" w:hAnsi="微软雅黑" w:hint="eastAsia"/>
          <w:sz w:val="24"/>
          <w:highlight w:val="yellow"/>
        </w:rPr>
        <w:t>医疗设备运维计划（结合质控和安全管理要求）制定</w:t>
      </w:r>
      <w:bookmarkEnd w:id="19"/>
    </w:p>
    <w:p>
      <w:pPr>
        <w:pStyle w:val="style0"/>
        <w:ind w:firstLine="640"/>
        <w:rPr>
          <w:highlight w:val="yellow"/>
        </w:rPr>
      </w:pPr>
      <w:r>
        <w:rPr>
          <w:rFonts w:hint="eastAsia"/>
          <w:highlight w:val="yellow"/>
        </w:rPr>
        <w:t>此阶段工作是在用设备完好率管理：确保在用设备是符合规范要求的，且安全与有效的关键主要取得以下成果</w:t>
      </w:r>
    </w:p>
    <w:p>
      <w:pPr>
        <w:pStyle w:val="style179"/>
        <w:numPr>
          <w:ilvl w:val="0"/>
          <w:numId w:val="3"/>
        </w:numPr>
        <w:ind w:firstLineChars="0"/>
        <w:rPr>
          <w:highlight w:val="yellow"/>
        </w:rPr>
      </w:pPr>
      <w:r>
        <w:rPr>
          <w:rFonts w:hint="eastAsia"/>
          <w:highlight w:val="yellow"/>
        </w:rPr>
        <w:t>设备计量管理：确认计量设备，安排全年计划，实施计量，保存档案。</w:t>
      </w:r>
    </w:p>
    <w:p>
      <w:pPr>
        <w:pStyle w:val="style179"/>
        <w:numPr>
          <w:ilvl w:val="0"/>
          <w:numId w:val="3"/>
        </w:numPr>
        <w:ind w:firstLineChars="0"/>
        <w:rPr>
          <w:highlight w:val="yellow"/>
        </w:rPr>
      </w:pPr>
      <w:r>
        <w:rPr>
          <w:rFonts w:hint="eastAsia"/>
          <w:highlight w:val="yellow"/>
        </w:rPr>
        <w:t>设备保养管理：确认保养设备，安排全年计划，实施保养，保存档案。</w:t>
      </w:r>
    </w:p>
    <w:p>
      <w:pPr>
        <w:pStyle w:val="style179"/>
        <w:numPr>
          <w:ilvl w:val="0"/>
          <w:numId w:val="3"/>
        </w:numPr>
        <w:ind w:firstLineChars="0"/>
        <w:rPr>
          <w:highlight w:val="yellow"/>
        </w:rPr>
      </w:pPr>
      <w:r>
        <w:rPr>
          <w:rFonts w:hint="eastAsia"/>
          <w:highlight w:val="yellow"/>
        </w:rPr>
        <w:t>设备检测管理：确认检测设备，安排全年计划，实施检测，保存档案。</w:t>
      </w:r>
    </w:p>
    <w:p>
      <w:pPr>
        <w:pStyle w:val="style179"/>
        <w:numPr>
          <w:ilvl w:val="0"/>
          <w:numId w:val="3"/>
        </w:numPr>
        <w:ind w:firstLineChars="0"/>
        <w:rPr>
          <w:highlight w:val="yellow"/>
        </w:rPr>
      </w:pPr>
      <w:r>
        <w:rPr>
          <w:rFonts w:hint="eastAsia"/>
          <w:highlight w:val="yellow"/>
        </w:rPr>
        <w:t>设备使用资质与培训管理：检查设备临床操作资质和设备使用培训计划。</w:t>
      </w:r>
    </w:p>
    <w:p>
      <w:pPr>
        <w:pStyle w:val="style179"/>
        <w:numPr>
          <w:ilvl w:val="0"/>
          <w:numId w:val="3"/>
        </w:numPr>
        <w:ind w:firstLineChars="0"/>
        <w:rPr>
          <w:highlight w:val="yellow"/>
        </w:rPr>
      </w:pPr>
      <w:r>
        <w:rPr>
          <w:rFonts w:hint="eastAsia"/>
          <w:highlight w:val="yellow"/>
        </w:rPr>
        <w:t>设备使用不良事件管理：建立与实施设备使用的不良事件申报机制。</w:t>
      </w:r>
    </w:p>
    <w:p>
      <w:pPr>
        <w:pStyle w:val="style179"/>
        <w:numPr>
          <w:ilvl w:val="0"/>
          <w:numId w:val="3"/>
        </w:numPr>
        <w:ind w:firstLineChars="0"/>
        <w:rPr>
          <w:highlight w:val="yellow"/>
        </w:rPr>
      </w:pPr>
      <w:r>
        <w:rPr>
          <w:rFonts w:hint="eastAsia"/>
          <w:highlight w:val="yellow"/>
        </w:rPr>
        <w:t>此阶段工作预计2个月完成。</w:t>
      </w:r>
    </w:p>
    <w:p>
      <w:pPr>
        <w:pStyle w:val="style0"/>
        <w:rPr>
          <w:highlight w:val="yellow"/>
        </w:rPr>
      </w:pPr>
    </w:p>
    <w:bookmarkStart w:id="20" w:name="_Toc487642456"/>
    <w:p>
      <w:pPr>
        <w:pStyle w:val="style2"/>
        <w:numPr>
          <w:ilvl w:val="2"/>
          <w:numId w:val="2"/>
        </w:numPr>
        <w:spacing w:lineRule="auto" w:line="360"/>
        <w:rPr>
          <w:rFonts w:ascii="微软雅黑" w:eastAsia="微软雅黑" w:hAnsi="微软雅黑"/>
          <w:sz w:val="24"/>
          <w:highlight w:val="yellow"/>
        </w:rPr>
      </w:pPr>
      <w:r>
        <w:rPr>
          <w:rFonts w:ascii="微软雅黑" w:eastAsia="微软雅黑" w:hAnsi="微软雅黑" w:hint="eastAsia"/>
          <w:sz w:val="24"/>
          <w:highlight w:val="yellow"/>
        </w:rPr>
        <w:t>信息化平台实施：</w:t>
      </w:r>
      <w:bookmarkEnd w:id="20"/>
    </w:p>
    <w:p>
      <w:pPr>
        <w:pStyle w:val="style0"/>
        <w:rPr>
          <w:highlight w:val="yellow"/>
        </w:rPr>
      </w:pPr>
      <w:r>
        <w:rPr>
          <w:rFonts w:hint="eastAsia"/>
          <w:highlight w:val="yellow"/>
        </w:rPr>
        <w:t>此阶段基于前面三个阶段的成果完成信息化平台的数据初始化，系统用户权限设置、系统使用及管理培训、系统接口定制开发和个性化需求开发。此阶段主要取得以下成果：</w:t>
      </w:r>
    </w:p>
    <w:p>
      <w:pPr>
        <w:pStyle w:val="style179"/>
        <w:numPr>
          <w:ilvl w:val="0"/>
          <w:numId w:val="3"/>
        </w:numPr>
        <w:ind w:firstLineChars="0"/>
        <w:rPr>
          <w:highlight w:val="yellow"/>
        </w:rPr>
      </w:pPr>
      <w:r>
        <w:rPr>
          <w:rFonts w:hint="eastAsia"/>
          <w:highlight w:val="yellow"/>
        </w:rPr>
        <w:t>设备基础数据导入，建立全生命周期档案管理机制</w:t>
      </w:r>
    </w:p>
    <w:p>
      <w:pPr>
        <w:pStyle w:val="style179"/>
        <w:numPr>
          <w:ilvl w:val="0"/>
          <w:numId w:val="3"/>
        </w:numPr>
        <w:ind w:firstLineChars="0"/>
        <w:rPr>
          <w:highlight w:val="yellow"/>
        </w:rPr>
      </w:pPr>
      <w:r>
        <w:rPr>
          <w:rFonts w:hint="eastAsia"/>
          <w:highlight w:val="yellow"/>
        </w:rPr>
        <w:t>设备运维计划导入，系统实现保养、巡检、计量业务提醒</w:t>
      </w:r>
    </w:p>
    <w:p>
      <w:pPr>
        <w:pStyle w:val="style179"/>
        <w:numPr>
          <w:ilvl w:val="0"/>
          <w:numId w:val="3"/>
        </w:numPr>
        <w:ind w:firstLineChars="0"/>
        <w:rPr>
          <w:highlight w:val="yellow"/>
        </w:rPr>
      </w:pPr>
      <w:r>
        <w:rPr>
          <w:rFonts w:hint="eastAsia"/>
          <w:highlight w:val="yellow"/>
        </w:rPr>
        <w:t>移动终端APP发布安装、PC服务器安装调试、用户权限设置</w:t>
      </w:r>
    </w:p>
    <w:p>
      <w:pPr>
        <w:pStyle w:val="style179"/>
        <w:numPr>
          <w:ilvl w:val="0"/>
          <w:numId w:val="3"/>
        </w:numPr>
        <w:ind w:firstLineChars="0"/>
        <w:rPr>
          <w:highlight w:val="yellow"/>
        </w:rPr>
      </w:pPr>
      <w:r>
        <w:rPr>
          <w:rFonts w:hint="eastAsia"/>
          <w:highlight w:val="yellow"/>
        </w:rPr>
        <w:t>系统管理员、科室用户、设备管理用户、供应商用户系统使用培训</w:t>
      </w:r>
    </w:p>
    <w:p>
      <w:pPr>
        <w:pStyle w:val="style179"/>
        <w:numPr>
          <w:ilvl w:val="0"/>
          <w:numId w:val="3"/>
        </w:numPr>
        <w:ind w:firstLineChars="0"/>
        <w:rPr/>
      </w:pPr>
      <w:r>
        <w:rPr>
          <w:rFonts w:hint="eastAsia"/>
        </w:rPr>
        <w:t>系统内、外互通环境测试、调试</w:t>
      </w:r>
    </w:p>
    <w:p>
      <w:pPr>
        <w:pStyle w:val="style179"/>
        <w:numPr>
          <w:ilvl w:val="0"/>
          <w:numId w:val="3"/>
        </w:numPr>
        <w:ind w:firstLineChars="0"/>
        <w:rPr/>
      </w:pPr>
      <w:r>
        <w:rPr>
          <w:rFonts w:hint="eastAsia"/>
        </w:rPr>
        <w:t>此阶段工作预计</w:t>
      </w:r>
      <w:r>
        <w:rPr>
          <w:rFonts w:hint="eastAsia"/>
        </w:rPr>
        <w:t>2</w:t>
      </w:r>
      <w:r>
        <w:rPr>
          <w:rFonts w:hint="eastAsia"/>
        </w:rPr>
        <w:t>个月完成</w:t>
      </w:r>
    </w:p>
    <w:p>
      <w:pPr>
        <w:pStyle w:val="style179"/>
        <w:numPr>
          <w:ilvl w:val="0"/>
          <w:numId w:val="3"/>
        </w:numPr>
        <w:ind w:firstLineChars="0"/>
        <w:rPr/>
      </w:pPr>
      <w:r>
        <w:rPr>
          <w:rFonts w:hint="eastAsia"/>
        </w:rPr>
        <w:t>个性化开发计划根据具体需求另行制定</w:t>
      </w:r>
    </w:p>
    <w:p>
      <w:pPr>
        <w:pStyle w:val="style0"/>
        <w:rPr/>
      </w:pPr>
    </w:p>
    <w:bookmarkStart w:id="21" w:name="_Toc487642457"/>
    <w:p>
      <w:pPr>
        <w:pStyle w:val="style2"/>
        <w:numPr>
          <w:ilvl w:val="2"/>
          <w:numId w:val="2"/>
        </w:numPr>
        <w:spacing w:lineRule="auto" w:line="360"/>
        <w:rPr>
          <w:rFonts w:ascii="微软雅黑" w:eastAsia="微软雅黑" w:hAnsi="微软雅黑"/>
          <w:sz w:val="24"/>
        </w:rPr>
      </w:pPr>
      <w:r>
        <w:rPr>
          <w:rFonts w:ascii="微软雅黑" w:eastAsia="微软雅黑" w:hAnsi="微软雅黑" w:hint="eastAsia"/>
          <w:sz w:val="24"/>
        </w:rPr>
        <w:t>项目运维：</w:t>
      </w:r>
      <w:bookmarkEnd w:id="21"/>
    </w:p>
    <w:p>
      <w:pPr>
        <w:pStyle w:val="style0"/>
        <w:rPr/>
      </w:pPr>
      <w:r>
        <w:rPr>
          <w:rFonts w:hint="eastAsia"/>
        </w:rPr>
        <w:t>此阶段基于前面四个阶段的成果完成信息化平台的数据运维，系统用户使用强化培训、系统</w:t>
      </w:r>
      <w:r>
        <w:rPr>
          <w:rFonts w:hint="eastAsia"/>
        </w:rPr>
        <w:t>优化及升级、根据系统报表评估和优化设备运营管理、继续强化医疗设备全生命周期运营管理、运营质量控制管理和安全管理的建立和执行。此阶段主要取得以下成果：</w:t>
      </w:r>
    </w:p>
    <w:p>
      <w:pPr>
        <w:pStyle w:val="style179"/>
        <w:numPr>
          <w:ilvl w:val="0"/>
          <w:numId w:val="3"/>
        </w:numPr>
        <w:ind w:firstLineChars="0"/>
        <w:rPr/>
      </w:pPr>
      <w:r>
        <w:rPr>
          <w:rFonts w:hint="eastAsia"/>
        </w:rPr>
        <w:t>设备全生命周期档案管理及运维业务自动化、信息化</w:t>
      </w:r>
    </w:p>
    <w:p>
      <w:pPr>
        <w:pStyle w:val="style179"/>
        <w:numPr>
          <w:ilvl w:val="0"/>
          <w:numId w:val="3"/>
        </w:numPr>
        <w:ind w:firstLineChars="0"/>
        <w:rPr/>
      </w:pPr>
      <w:r>
        <w:rPr>
          <w:rFonts w:hint="eastAsia"/>
        </w:rPr>
        <w:t>设备运营质量控制管理评估及优化</w:t>
      </w:r>
    </w:p>
    <w:p>
      <w:pPr>
        <w:pStyle w:val="style179"/>
        <w:numPr>
          <w:ilvl w:val="0"/>
          <w:numId w:val="3"/>
        </w:numPr>
        <w:ind w:firstLineChars="0"/>
        <w:rPr/>
      </w:pPr>
      <w:r>
        <w:rPr>
          <w:rFonts w:hint="eastAsia"/>
        </w:rPr>
        <w:t>设备运营安全管理评估及优化</w:t>
      </w:r>
    </w:p>
    <w:p>
      <w:pPr>
        <w:pStyle w:val="style179"/>
        <w:numPr>
          <w:ilvl w:val="0"/>
          <w:numId w:val="3"/>
        </w:numPr>
        <w:ind w:firstLineChars="0"/>
        <w:rPr/>
      </w:pPr>
      <w:r>
        <w:rPr>
          <w:rFonts w:hint="eastAsia"/>
        </w:rPr>
        <w:t>设备效益分析及设备综合评估</w:t>
      </w:r>
    </w:p>
    <w:p>
      <w:pPr>
        <w:pStyle w:val="style179"/>
        <w:numPr>
          <w:ilvl w:val="0"/>
          <w:numId w:val="3"/>
        </w:numPr>
        <w:ind w:firstLineChars="0"/>
        <w:rPr/>
      </w:pPr>
      <w:r>
        <w:rPr>
          <w:rFonts w:hint="eastAsia"/>
        </w:rPr>
        <w:t>系统数据运维及系统功能优化</w:t>
      </w:r>
    </w:p>
    <w:p>
      <w:pPr>
        <w:pStyle w:val="style179"/>
        <w:numPr>
          <w:ilvl w:val="0"/>
          <w:numId w:val="3"/>
        </w:numPr>
        <w:ind w:firstLineChars="0"/>
        <w:rPr/>
      </w:pPr>
      <w:r>
        <w:rPr>
          <w:rFonts w:hint="eastAsia"/>
        </w:rPr>
        <w:t>此阶段工作与以上工作同时实施，将在项目开始后</w:t>
      </w:r>
      <w:r>
        <w:rPr>
          <w:rFonts w:hint="eastAsia"/>
        </w:rPr>
        <w:t>6</w:t>
      </w:r>
      <w:r>
        <w:rPr>
          <w:rFonts w:hint="eastAsia"/>
        </w:rPr>
        <w:t>个月内完成</w:t>
      </w:r>
    </w:p>
    <w:p>
      <w:pPr>
        <w:pStyle w:val="style0"/>
        <w:rPr/>
      </w:pPr>
    </w:p>
    <w:p>
      <w:pPr>
        <w:pStyle w:val="style0"/>
        <w:rPr/>
      </w:pPr>
    </w:p>
    <w:p>
      <w:pPr>
        <w:pStyle w:val="style0"/>
        <w:rPr/>
      </w:pPr>
    </w:p>
    <w:p>
      <w:pPr>
        <w:pStyle w:val="style0"/>
        <w:spacing w:lineRule="auto" w:line="276"/>
        <w:ind w:firstLine="420"/>
        <w:rPr>
          <w:rFonts w:ascii="微软雅黑" w:eastAsia="微软雅黑" w:hAnsi="微软雅黑"/>
          <w:szCs w:val="21"/>
        </w:rPr>
      </w:pPr>
    </w:p>
    <w:p>
      <w:pPr>
        <w:pStyle w:val="style0"/>
        <w:spacing w:lineRule="auto" w:line="276"/>
        <w:ind w:firstLine="420"/>
        <w:rPr>
          <w:rFonts w:ascii="微软雅黑" w:eastAsia="微软雅黑" w:hAnsi="微软雅黑"/>
          <w:szCs w:val="21"/>
        </w:rPr>
      </w:pPr>
    </w:p>
    <w:p>
      <w:pPr>
        <w:pStyle w:val="style0"/>
        <w:spacing w:lineRule="auto" w:line="276"/>
        <w:ind w:firstLine="420"/>
        <w:rPr>
          <w:rFonts w:ascii="微软雅黑" w:eastAsia="微软雅黑" w:hAnsi="微软雅黑"/>
          <w:szCs w:val="21"/>
        </w:rPr>
      </w:pPr>
    </w:p>
    <w:p>
      <w:pPr>
        <w:pStyle w:val="style0"/>
        <w:spacing w:lineRule="auto" w:line="276"/>
        <w:ind w:firstLine="420"/>
        <w:rPr>
          <w:rFonts w:ascii="微软雅黑" w:eastAsia="微软雅黑" w:hAnsi="微软雅黑"/>
          <w:szCs w:val="21"/>
        </w:rPr>
      </w:pPr>
    </w:p>
    <w:p>
      <w:pPr>
        <w:pStyle w:val="style0"/>
        <w:spacing w:lineRule="auto" w:line="276"/>
        <w:ind w:firstLine="420"/>
        <w:rPr>
          <w:rFonts w:ascii="微软雅黑" w:eastAsia="微软雅黑" w:hAnsi="微软雅黑"/>
          <w:szCs w:val="21"/>
        </w:rPr>
      </w:pPr>
    </w:p>
    <w:p>
      <w:pPr>
        <w:pStyle w:val="style0"/>
        <w:spacing w:lineRule="auto" w:line="276"/>
        <w:ind w:firstLine="420"/>
        <w:rPr>
          <w:rFonts w:ascii="微软雅黑" w:eastAsia="微软雅黑" w:hAnsi="微软雅黑"/>
          <w:szCs w:val="21"/>
        </w:rPr>
      </w:pPr>
    </w:p>
    <w:p>
      <w:pPr>
        <w:pStyle w:val="style0"/>
        <w:spacing w:lineRule="auto" w:line="276"/>
        <w:ind w:firstLine="420"/>
        <w:rPr>
          <w:rFonts w:ascii="微软雅黑" w:eastAsia="微软雅黑" w:hAnsi="微软雅黑"/>
          <w:szCs w:val="21"/>
        </w:rPr>
      </w:pPr>
    </w:p>
    <w:p>
      <w:pPr>
        <w:pStyle w:val="style0"/>
        <w:spacing w:lineRule="auto" w:line="276"/>
        <w:ind w:firstLine="420"/>
        <w:rPr>
          <w:rFonts w:ascii="微软雅黑" w:eastAsia="微软雅黑" w:hAnsi="微软雅黑"/>
          <w:szCs w:val="21"/>
        </w:rPr>
      </w:pPr>
    </w:p>
    <w:bookmarkStart w:id="22" w:name="_Toc353371835"/>
    <w:bookmarkEnd w:id="22"/>
    <w:p>
      <w:pPr>
        <w:pStyle w:val="style1"/>
        <w:spacing w:lineRule="auto" w:line="360"/>
        <w:rPr>
          <w:rFonts w:ascii="微软雅黑" w:hAnsi="微软雅黑"/>
        </w:rPr>
      </w:pPr>
    </w:p>
    <w:sectPr>
      <w:pgSz w:w="11906" w:h="16838" w:orient="portrait"/>
      <w:pgMar w:top="1440" w:right="1800" w:bottom="1440" w:left="1800" w:header="851" w:footer="850"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华文仿宋">
    <w:altName w:val="仿宋"/>
    <w:panose1 w:val="02010600040001010101"/>
    <w:charset w:val="86"/>
    <w:family w:val="auto"/>
    <w:pitch w:val="variable"/>
    <w:sig w:usb0="00000287" w:usb1="080F0000" w:usb2="00000010" w:usb3="00000000" w:csb0="0004009F" w:csb1="00000000"/>
  </w:font>
  <w:font w:name="微软雅黑">
    <w:altName w:val="微软雅黑"/>
    <w:panose1 w:val="020b0503020002020204"/>
    <w:charset w:val="86"/>
    <w:family w:val="swiss"/>
    <w:pitch w:val="variable"/>
    <w:sig w:usb0="80000287" w:usb1="280F3C52" w:usb2="00000016" w:usb3="00000000" w:csb0="0004001F" w:csb1="00000000"/>
  </w:font>
  <w:font w:name="Heiti SC Light">
    <w:altName w:val="微软雅黑"/>
    <w:panose1 w:val="00000000000000000000"/>
    <w:charset w:val="50"/>
    <w:family w:val="auto"/>
    <w:pitch w:val="default"/>
    <w:sig w:usb0="00000000" w:usb1="00000000" w:usb2="00000010" w:usb3="00000000" w:csb0="003E0000" w:csb1="00000000"/>
  </w:font>
  <w:font w:name="Verdana">
    <w:altName w:val="Verdana"/>
    <w:panose1 w:val="020b0604030005040204"/>
    <w:charset w:val="00"/>
    <w:family w:val="swiss"/>
    <w:pitch w:val="variable"/>
    <w:sig w:usb0="A10006FF" w:usb1="4000205B" w:usb2="00000010"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8326C0B"/>
    <w:lvl w:ilvl="0">
      <w:start w:val="1"/>
      <w:numFmt w:val="decimal"/>
      <w:lvlText w:val="%1."/>
      <w:lvlJc w:val="left"/>
      <w:pPr>
        <w:ind w:left="360" w:hanging="360"/>
      </w:pPr>
      <w:rPr>
        <w:rFonts w:ascii="Cambria" w:hAnsi="Cambria" w:hint="default"/>
      </w:rPr>
    </w:lvl>
    <w:lvl w:ilvl="1">
      <w:start w:val="1"/>
      <w:numFmt w:val="decimal"/>
      <w:isLgl/>
      <w:lvlText w:val="%1.%2."/>
      <w:lvlJc w:val="left"/>
      <w:pPr>
        <w:ind w:left="720" w:hanging="720"/>
      </w:pPr>
      <w:rPr>
        <w:rFonts w:ascii="Cambria" w:hAnsi="Cambria" w:hint="default"/>
      </w:rPr>
    </w:lvl>
    <w:lvl w:ilvl="2">
      <w:start w:val="1"/>
      <w:numFmt w:val="decimal"/>
      <w:isLgl/>
      <w:lvlText w:val="%1.%2.%3."/>
      <w:lvlJc w:val="left"/>
      <w:pPr>
        <w:ind w:left="1080" w:hanging="1080"/>
      </w:pPr>
      <w:rPr>
        <w:rFonts w:ascii="Cambria" w:hAnsi="Cambria"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
    <w:nsid w:val="00000001"/>
    <w:multiLevelType w:val="multilevel"/>
    <w:tmpl w:val="13E571BD"/>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2">
    <w:nsid w:val="00000002"/>
    <w:multiLevelType w:val="multilevel"/>
    <w:tmpl w:val="54783430"/>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3">
    <w:nsid w:val="00000003"/>
    <w:multiLevelType w:val="multilevel"/>
    <w:tmpl w:val="54261019"/>
    <w:lvl w:ilvl="0">
      <w:start w:val="1"/>
      <w:numFmt w:val="bullet"/>
      <w:lvlText w:val=""/>
      <w:lvlJc w:val="left"/>
      <w:pPr>
        <w:ind w:left="707" w:hanging="480"/>
      </w:pPr>
      <w:rPr>
        <w:rFonts w:ascii="Wingdings" w:hAnsi="Wingdings" w:hint="default"/>
      </w:rPr>
    </w:lvl>
    <w:lvl w:ilvl="1">
      <w:start w:val="1"/>
      <w:numFmt w:val="bullet"/>
      <w:lvlText w:val=""/>
      <w:lvlJc w:val="left"/>
      <w:pPr>
        <w:ind w:left="1187" w:hanging="480"/>
      </w:pPr>
      <w:rPr>
        <w:rFonts w:ascii="Wingdings" w:hAnsi="Wingdings" w:hint="default"/>
      </w:rPr>
    </w:lvl>
    <w:lvl w:ilvl="2">
      <w:start w:val="1"/>
      <w:numFmt w:val="bullet"/>
      <w:lvlText w:val=""/>
      <w:lvlJc w:val="left"/>
      <w:pPr>
        <w:ind w:left="1667" w:hanging="480"/>
      </w:pPr>
      <w:rPr>
        <w:rFonts w:ascii="Wingdings" w:hAnsi="Wingdings" w:hint="default"/>
      </w:rPr>
    </w:lvl>
    <w:lvl w:ilvl="3">
      <w:start w:val="1"/>
      <w:numFmt w:val="bullet"/>
      <w:lvlText w:val=""/>
      <w:lvlJc w:val="left"/>
      <w:pPr>
        <w:ind w:left="2147" w:hanging="480"/>
      </w:pPr>
      <w:rPr>
        <w:rFonts w:ascii="Wingdings" w:hAnsi="Wingdings" w:hint="default"/>
      </w:rPr>
    </w:lvl>
    <w:lvl w:ilvl="4">
      <w:start w:val="1"/>
      <w:numFmt w:val="bullet"/>
      <w:lvlText w:val=""/>
      <w:lvlJc w:val="left"/>
      <w:pPr>
        <w:ind w:left="2627" w:hanging="480"/>
      </w:pPr>
      <w:rPr>
        <w:rFonts w:ascii="Wingdings" w:hAnsi="Wingdings" w:hint="default"/>
      </w:rPr>
    </w:lvl>
    <w:lvl w:ilvl="5">
      <w:start w:val="1"/>
      <w:numFmt w:val="bullet"/>
      <w:lvlText w:val=""/>
      <w:lvlJc w:val="left"/>
      <w:pPr>
        <w:ind w:left="3107" w:hanging="480"/>
      </w:pPr>
      <w:rPr>
        <w:rFonts w:ascii="Wingdings" w:hAnsi="Wingdings" w:hint="default"/>
      </w:rPr>
    </w:lvl>
    <w:lvl w:ilvl="6">
      <w:start w:val="1"/>
      <w:numFmt w:val="bullet"/>
      <w:lvlText w:val=""/>
      <w:lvlJc w:val="left"/>
      <w:pPr>
        <w:ind w:left="3587" w:hanging="480"/>
      </w:pPr>
      <w:rPr>
        <w:rFonts w:ascii="Wingdings" w:hAnsi="Wingdings" w:hint="default"/>
      </w:rPr>
    </w:lvl>
    <w:lvl w:ilvl="7">
      <w:start w:val="1"/>
      <w:numFmt w:val="bullet"/>
      <w:lvlText w:val=""/>
      <w:lvlJc w:val="left"/>
      <w:pPr>
        <w:ind w:left="4067" w:hanging="480"/>
      </w:pPr>
      <w:rPr>
        <w:rFonts w:ascii="Wingdings" w:hAnsi="Wingdings" w:hint="default"/>
      </w:rPr>
    </w:lvl>
    <w:lvl w:ilvl="8">
      <w:start w:val="1"/>
      <w:numFmt w:val="bullet"/>
      <w:lvlText w:val=""/>
      <w:lvlJc w:val="left"/>
      <w:pPr>
        <w:ind w:left="4547" w:hanging="480"/>
      </w:pPr>
      <w:rPr>
        <w:rFonts w:ascii="Wingdings" w:hAnsi="Wingdings" w:hint="default"/>
      </w:rPr>
    </w:lvl>
  </w:abstractNum>
  <w:abstractNum w:abstractNumId="4">
    <w:nsid w:val="00000004"/>
    <w:multiLevelType w:val="multilevel"/>
    <w:tmpl w:val="530D5451"/>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5">
    <w:nsid w:val="00000005"/>
    <w:multiLevelType w:val="multilevel"/>
    <w:tmpl w:val="402F120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0000006"/>
    <w:multiLevelType w:val="multilevel"/>
    <w:tmpl w:val="2EA823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0"/>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华文仿宋" w:cs="宋体" w:eastAsia="微软雅黑" w:hAnsi="华文仿宋"/>
        <w:lang w:val="en-US" w:bidi="ar-SA" w:eastAsia="zh-CN"/>
      </w:rPr>
    </w:rPrDefault>
    <w:pPrDefault>
      <w:pPr/>
    </w:pPrDefault>
  </w:docDefaults>
  <w:style w:type="paragraph" w:default="1" w:styleId="style0">
    <w:name w:val="Normal"/>
    <w:next w:val="style0"/>
    <w:qFormat/>
    <w:pPr>
      <w:widowControl w:val="false"/>
      <w:jc w:val="both"/>
    </w:pPr>
    <w:rPr>
      <w:kern w:val="2"/>
      <w:sz w:val="21"/>
      <w:szCs w:val="22"/>
    </w:rPr>
  </w:style>
  <w:style w:type="paragraph" w:styleId="style1">
    <w:name w:val="heading 1"/>
    <w:basedOn w:val="style0"/>
    <w:next w:val="style0"/>
    <w:link w:val="style4100"/>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0"/>
    <w:link w:val="style4102"/>
    <w:qFormat/>
    <w:uiPriority w:val="9"/>
    <w:pPr>
      <w:keepNext/>
      <w:keepLines/>
      <w:spacing w:before="260" w:after="260" w:lineRule="auto" w:line="416"/>
      <w:outlineLvl w:val="1"/>
    </w:pPr>
    <w:rPr>
      <w:rFonts w:ascii="Cambria" w:cs="宋体" w:eastAsia="华文仿宋" w:hAnsi="Cambria"/>
      <w:b/>
      <w:bCs/>
      <w:sz w:val="32"/>
      <w:szCs w:val="32"/>
    </w:rPr>
  </w:style>
  <w:style w:type="paragraph" w:styleId="style3">
    <w:name w:val="heading 3"/>
    <w:basedOn w:val="style0"/>
    <w:next w:val="style0"/>
    <w:link w:val="style4105"/>
    <w:qFormat/>
    <w:uiPriority w:val="9"/>
    <w:pPr>
      <w:keepNext/>
      <w:keepLines/>
      <w:spacing w:before="260" w:after="260" w:lineRule="auto" w:line="416"/>
      <w:outlineLvl w:val="2"/>
    </w:pPr>
    <w:rPr>
      <w:b/>
      <w:bCs/>
      <w:sz w:val="32"/>
      <w:szCs w:val="3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06">
    <w:name w:val="annotation subject"/>
    <w:basedOn w:val="style30"/>
    <w:next w:val="style30"/>
    <w:link w:val="style4115"/>
    <w:qFormat/>
    <w:uiPriority w:val="99"/>
    <w:pPr/>
    <w:rPr>
      <w:b/>
      <w:bCs/>
    </w:rPr>
  </w:style>
  <w:style w:type="paragraph" w:styleId="style30">
    <w:name w:val="annotation text"/>
    <w:basedOn w:val="style0"/>
    <w:next w:val="style30"/>
    <w:link w:val="style4114"/>
    <w:qFormat/>
    <w:uiPriority w:val="99"/>
    <w:pPr>
      <w:jc w:val="left"/>
    </w:pPr>
    <w:rPr/>
  </w:style>
  <w:style w:type="paragraph" w:styleId="style89">
    <w:name w:val="Document Map"/>
    <w:basedOn w:val="style0"/>
    <w:next w:val="style89"/>
    <w:link w:val="style4112"/>
    <w:qFormat/>
    <w:uiPriority w:val="99"/>
    <w:pPr/>
    <w:rPr>
      <w:rFonts w:ascii="Heiti SC Light" w:eastAsia="Heiti SC Light"/>
      <w:sz w:val="24"/>
      <w:szCs w:val="24"/>
    </w:rPr>
  </w:style>
  <w:style w:type="paragraph" w:styleId="style67">
    <w:name w:val="Body Text Indent"/>
    <w:basedOn w:val="style0"/>
    <w:next w:val="style67"/>
    <w:link w:val="style4110"/>
    <w:qFormat/>
    <w:uiPriority w:val="99"/>
    <w:pPr>
      <w:spacing w:after="120"/>
      <w:ind w:left="420" w:leftChars="200"/>
    </w:pPr>
    <w:rPr/>
  </w:style>
  <w:style w:type="paragraph" w:styleId="style21">
    <w:name w:val="toc 3"/>
    <w:basedOn w:val="style0"/>
    <w:next w:val="style0"/>
    <w:qFormat/>
    <w:uiPriority w:val="39"/>
    <w:pPr>
      <w:ind w:left="840" w:leftChars="400"/>
    </w:pPr>
    <w:rPr/>
  </w:style>
  <w:style w:type="paragraph" w:styleId="style43">
    <w:name w:val="endnote text"/>
    <w:basedOn w:val="style0"/>
    <w:next w:val="style43"/>
    <w:link w:val="style4108"/>
    <w:qFormat/>
    <w:uiPriority w:val="99"/>
    <w:pPr>
      <w:snapToGrid w:val="false"/>
      <w:jc w:val="left"/>
    </w:pPr>
    <w:rPr/>
  </w:style>
  <w:style w:type="paragraph" w:styleId="style153">
    <w:name w:val="Balloon Text"/>
    <w:basedOn w:val="style0"/>
    <w:next w:val="style153"/>
    <w:link w:val="style4106"/>
    <w:qFormat/>
    <w:uiPriority w:val="99"/>
    <w:pPr/>
    <w:rPr>
      <w:sz w:val="18"/>
      <w:szCs w:val="18"/>
    </w:r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19">
    <w:name w:val="toc 1"/>
    <w:basedOn w:val="style0"/>
    <w:next w:val="style0"/>
    <w:qFormat/>
    <w:uiPriority w:val="39"/>
    <w:pPr/>
  </w:style>
  <w:style w:type="paragraph" w:styleId="style20">
    <w:name w:val="toc 2"/>
    <w:basedOn w:val="style0"/>
    <w:next w:val="style0"/>
    <w:qFormat/>
    <w:uiPriority w:val="39"/>
    <w:pPr>
      <w:tabs>
        <w:tab w:val="left" w:leader="none" w:pos="1198"/>
        <w:tab w:val="right" w:leader="dot" w:pos="8296"/>
      </w:tabs>
      <w:spacing w:lineRule="auto" w:line="192"/>
      <w:ind w:left="420" w:leftChars="200"/>
    </w:pPr>
    <w:rPr/>
  </w:style>
  <w:style w:type="paragraph" w:styleId="style80">
    <w:name w:val="Body Text 2"/>
    <w:basedOn w:val="style0"/>
    <w:next w:val="style80"/>
    <w:link w:val="style4111"/>
    <w:qFormat/>
    <w:uiPriority w:val="99"/>
    <w:pPr>
      <w:spacing w:after="120" w:lineRule="auto" w:line="480"/>
    </w:pPr>
    <w:rPr/>
  </w:style>
  <w:style w:type="character" w:styleId="style42">
    <w:name w:val="endnote reference"/>
    <w:basedOn w:val="style65"/>
    <w:next w:val="style42"/>
    <w:qFormat/>
    <w:uiPriority w:val="99"/>
    <w:rPr>
      <w:vertAlign w:val="superscript"/>
    </w:rPr>
  </w:style>
  <w:style w:type="character" w:styleId="style85">
    <w:name w:val="Hyperlink"/>
    <w:basedOn w:val="style65"/>
    <w:next w:val="style85"/>
    <w:qFormat/>
    <w:uiPriority w:val="99"/>
    <w:rPr>
      <w:color w:val="f59e00"/>
      <w:u w:val="single"/>
    </w:rPr>
  </w:style>
  <w:style w:type="character" w:styleId="style39">
    <w:name w:val="annotation reference"/>
    <w:basedOn w:val="style65"/>
    <w:next w:val="style39"/>
    <w:qFormat/>
    <w:uiPriority w:val="99"/>
    <w:rPr>
      <w:sz w:val="21"/>
      <w:szCs w:val="21"/>
    </w:rPr>
  </w:style>
  <w:style w:type="table" w:styleId="style154">
    <w:name w:val="Table Grid"/>
    <w:basedOn w:val="style105"/>
    <w:next w:val="style154"/>
    <w:qFormat/>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097">
    <w:name w:val="页眉 Char"/>
    <w:basedOn w:val="style65"/>
    <w:next w:val="style4097"/>
    <w:link w:val="style31"/>
    <w:qFormat/>
    <w:uiPriority w:val="99"/>
    <w:rPr>
      <w:sz w:val="18"/>
      <w:szCs w:val="18"/>
    </w:rPr>
  </w:style>
  <w:style w:type="character" w:customStyle="1" w:styleId="style4098">
    <w:name w:val="页脚 Char"/>
    <w:basedOn w:val="style65"/>
    <w:next w:val="style4098"/>
    <w:link w:val="style32"/>
    <w:qFormat/>
    <w:uiPriority w:val="99"/>
    <w:rPr>
      <w:sz w:val="18"/>
      <w:szCs w:val="18"/>
    </w:rPr>
  </w:style>
  <w:style w:type="paragraph" w:styleId="style157">
    <w:name w:val="No Spacing"/>
    <w:next w:val="style157"/>
    <w:link w:val="style4099"/>
    <w:qFormat/>
    <w:uiPriority w:val="1"/>
    <w:pPr/>
    <w:rPr>
      <w:sz w:val="22"/>
      <w:szCs w:val="22"/>
    </w:rPr>
  </w:style>
  <w:style w:type="character" w:customStyle="1" w:styleId="style4099">
    <w:name w:val="无间隔 Char"/>
    <w:basedOn w:val="style65"/>
    <w:next w:val="style4099"/>
    <w:link w:val="style157"/>
    <w:qFormat/>
    <w:uiPriority w:val="1"/>
    <w:rPr>
      <w:kern w:val="0"/>
      <w:sz w:val="22"/>
    </w:rPr>
  </w:style>
  <w:style w:type="character" w:customStyle="1" w:styleId="style4100">
    <w:name w:val="标题 1 Char"/>
    <w:basedOn w:val="style65"/>
    <w:next w:val="style4100"/>
    <w:link w:val="style1"/>
    <w:qFormat/>
    <w:uiPriority w:val="9"/>
    <w:rPr>
      <w:b/>
      <w:bCs/>
      <w:kern w:val="44"/>
      <w:sz w:val="44"/>
      <w:szCs w:val="44"/>
    </w:rPr>
  </w:style>
  <w:style w:type="paragraph" w:customStyle="1" w:styleId="style4101">
    <w:name w:val="TOC 标题1"/>
    <w:basedOn w:val="style1"/>
    <w:next w:val="style0"/>
    <w:qFormat/>
    <w:uiPriority w:val="39"/>
    <w:pPr>
      <w:widowControl/>
      <w:spacing w:before="240" w:after="0" w:lineRule="auto" w:line="259"/>
      <w:jc w:val="left"/>
      <w:outlineLvl w:val="9"/>
    </w:pPr>
    <w:rPr>
      <w:rFonts w:ascii="Cambria" w:cs="宋体" w:eastAsia="华文仿宋" w:hAnsi="Cambria"/>
      <w:b w:val="false"/>
      <w:bCs w:val="false"/>
      <w:color w:val="306785"/>
      <w:kern w:val="0"/>
      <w:sz w:val="32"/>
      <w:szCs w:val="32"/>
    </w:rPr>
  </w:style>
  <w:style w:type="character" w:customStyle="1" w:styleId="style4102">
    <w:name w:val="标题 2 Char"/>
    <w:basedOn w:val="style65"/>
    <w:next w:val="style4102"/>
    <w:link w:val="style2"/>
    <w:qFormat/>
    <w:uiPriority w:val="9"/>
    <w:rPr>
      <w:rFonts w:ascii="Cambria" w:cs="宋体" w:eastAsia="华文仿宋" w:hAnsi="Cambria"/>
      <w:b/>
      <w:bCs/>
      <w:sz w:val="32"/>
      <w:szCs w:val="32"/>
    </w:rPr>
  </w:style>
  <w:style w:type="table" w:customStyle="1" w:styleId="style4103">
    <w:name w:val="清单表 4 - 着色 31"/>
    <w:basedOn w:val="style105"/>
    <w:next w:val="style4103"/>
    <w:qFormat/>
    <w:uiPriority w:val="49"/>
    <w:pPr/>
    <w:rPr/>
    <w:tblPr>
      <w:tblInd w:w="0" w:type="dxa"/>
      <w:tblBorders>
        <w:top w:val="single" w:sz="4" w:space="0" w:color="ffbe60"/>
        <w:left w:val="single" w:sz="4" w:space="0" w:color="ffbe60"/>
        <w:bottom w:val="single" w:sz="4" w:space="0" w:color="ffbe60"/>
        <w:right w:val="single" w:sz="4" w:space="0" w:color="ffbe60"/>
        <w:insideH w:val="single" w:sz="4" w:space="0" w:color="ffbe60"/>
      </w:tblBorders>
      <w:tblCellMar>
        <w:top w:w="0" w:type="dxa"/>
        <w:left w:w="108" w:type="dxa"/>
        <w:bottom w:w="0" w:type="dxa"/>
        <w:right w:w="108" w:type="dxa"/>
      </w:tblCellMar>
    </w:tblPr>
    <w:tblStylePr w:type="firstRow">
      <w:pPr/>
      <w:rPr>
        <w:b/>
        <w:bCs/>
        <w:color w:val="ffffff"/>
      </w:rPr>
      <w:tblPr/>
      <w:tcPr>
        <w:tcBorders>
          <w:top w:val="single" w:sz="4" w:space="0" w:color="f69200"/>
          <w:left w:val="single" w:sz="4" w:space="0" w:color="f69200"/>
          <w:bottom w:val="single" w:sz="4" w:space="0" w:color="f69200"/>
          <w:right w:val="single" w:sz="4" w:space="0" w:color="f69200"/>
          <w:insideH w:val="nil"/>
        </w:tcBorders>
        <w:shd w:val="clear" w:color="auto" w:fill="f69200"/>
      </w:tcPr>
    </w:tblStylePr>
    <w:tblStylePr w:type="lastRow">
      <w:pPr/>
      <w:rPr>
        <w:b/>
        <w:bCs/>
      </w:rPr>
      <w:tblPr/>
      <w:tcPr>
        <w:tcBorders>
          <w:top w:val="double" w:sz="4" w:space="0" w:color="ffbe60"/>
        </w:tcBorders>
      </w:tcPr>
    </w:tblStylePr>
    <w:tblStylePr w:type="band1Horz">
      <w:pPr/>
      <w:tblPr/>
      <w:tcPr>
        <w:tcBorders/>
        <w:shd w:val="clear" w:color="auto" w:fill="ffe9ca"/>
      </w:tcPr>
    </w:tblStylePr>
    <w:tblStylePr w:type="firstCol">
      <w:pPr/>
      <w:rPr>
        <w:b/>
        <w:bCs/>
      </w:rPr>
      <w:tcPr>
        <w:tcBorders/>
      </w:tcPr>
    </w:tblStylePr>
    <w:tblStylePr w:type="lastCol">
      <w:pPr/>
      <w:rPr>
        <w:b/>
        <w:bCs/>
      </w:rPr>
      <w:tcPr>
        <w:tcBorders/>
      </w:tcPr>
    </w:tblStylePr>
    <w:tblStylePr w:type="band1Vert">
      <w:pPr/>
      <w:tblPr/>
      <w:tcPr>
        <w:tcBorders/>
        <w:shd w:val="clear" w:color="auto" w:fill="ffe9ca"/>
      </w:tcPr>
    </w:tblStylePr>
    <w:tcPr>
      <w:tcBorders/>
    </w:tcPr>
  </w:style>
  <w:style w:type="paragraph" w:styleId="style179">
    <w:name w:val="List Paragraph"/>
    <w:basedOn w:val="style0"/>
    <w:next w:val="style179"/>
    <w:qFormat/>
    <w:uiPriority w:val="34"/>
    <w:pPr>
      <w:ind w:firstLine="420" w:firstLineChars="200"/>
    </w:pPr>
    <w:rPr/>
  </w:style>
  <w:style w:type="table" w:customStyle="1" w:styleId="style4104">
    <w:name w:val="无格式表格 11"/>
    <w:basedOn w:val="style105"/>
    <w:next w:val="style4104"/>
    <w:qFormat/>
    <w:uiPriority w:val="41"/>
    <w:pPr/>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pPr/>
      <w:rPr>
        <w:b/>
        <w:bCs/>
      </w:rPr>
      <w:tcPr>
        <w:tcBorders/>
      </w:tcPr>
    </w:tblStylePr>
    <w:tblStylePr w:type="lastRow">
      <w:pPr/>
      <w:rPr>
        <w:b/>
        <w:bCs/>
      </w:rPr>
      <w:tblPr/>
      <w:tcPr>
        <w:tcBorders>
          <w:top w:val="double" w:sz="4" w:space="0" w:color="bfbfbf"/>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character" w:customStyle="1" w:styleId="style4105">
    <w:name w:val="标题 3 Char"/>
    <w:basedOn w:val="style65"/>
    <w:next w:val="style4105"/>
    <w:link w:val="style3"/>
    <w:qFormat/>
    <w:uiPriority w:val="9"/>
    <w:rPr>
      <w:b/>
      <w:bCs/>
      <w:sz w:val="32"/>
      <w:szCs w:val="32"/>
    </w:rPr>
  </w:style>
  <w:style w:type="character" w:customStyle="1" w:styleId="style4106">
    <w:name w:val="批注框文本 Char"/>
    <w:basedOn w:val="style65"/>
    <w:next w:val="style4106"/>
    <w:link w:val="style153"/>
    <w:qFormat/>
    <w:uiPriority w:val="99"/>
    <w:rPr>
      <w:sz w:val="18"/>
      <w:szCs w:val="18"/>
    </w:rPr>
  </w:style>
  <w:style w:type="table" w:customStyle="1" w:styleId="style4107">
    <w:name w:val="网格表 1 浅色 - 着色 31"/>
    <w:basedOn w:val="style105"/>
    <w:next w:val="style4107"/>
    <w:qFormat/>
    <w:uiPriority w:val="46"/>
    <w:pPr/>
    <w:rPr/>
    <w:tblPr>
      <w:tblInd w:w="0" w:type="dxa"/>
      <w:tblBorders>
        <w:top w:val="single" w:sz="4" w:space="0" w:color="ffd395"/>
        <w:left w:val="single" w:sz="4" w:space="0" w:color="ffd395"/>
        <w:bottom w:val="single" w:sz="4" w:space="0" w:color="ffd395"/>
        <w:right w:val="single" w:sz="4" w:space="0" w:color="ffd395"/>
        <w:insideH w:val="single" w:sz="4" w:space="0" w:color="ffd395"/>
        <w:insideV w:val="single" w:sz="4" w:space="0" w:color="ffd395"/>
      </w:tblBorders>
      <w:tblCellMar>
        <w:top w:w="0" w:type="dxa"/>
        <w:left w:w="108" w:type="dxa"/>
        <w:bottom w:w="0" w:type="dxa"/>
        <w:right w:w="108" w:type="dxa"/>
      </w:tblCellMar>
    </w:tblPr>
    <w:tblStylePr w:type="firstRow">
      <w:pPr/>
      <w:rPr>
        <w:b/>
        <w:bCs/>
      </w:rPr>
      <w:tblPr/>
      <w:tcPr>
        <w:tcBorders>
          <w:bottom w:val="single" w:sz="12" w:space="0" w:color="ffbe60"/>
        </w:tcBorders>
      </w:tcPr>
    </w:tblStylePr>
    <w:tblStylePr w:type="lastRow">
      <w:pPr/>
      <w:rPr>
        <w:b/>
        <w:bCs/>
      </w:rPr>
      <w:tblPr/>
      <w:tcPr>
        <w:tcBorders>
          <w:top w:val="double" w:sz="2" w:space="0" w:color="ffbe60"/>
        </w:tcBorders>
      </w:tcPr>
    </w:tblStylePr>
    <w:tblStylePr w:type="firstCol">
      <w:pPr/>
      <w:rPr>
        <w:b/>
        <w:bCs/>
      </w:rPr>
      <w:tcPr>
        <w:tcBorders/>
      </w:tcPr>
    </w:tblStylePr>
    <w:tblStylePr w:type="lastCol">
      <w:pPr/>
      <w:rPr>
        <w:b/>
        <w:bCs/>
      </w:rPr>
      <w:tcPr>
        <w:tcBorders/>
      </w:tcPr>
    </w:tblStylePr>
    <w:tcPr>
      <w:tcBorders/>
    </w:tcPr>
  </w:style>
  <w:style w:type="character" w:customStyle="1" w:styleId="style4108">
    <w:name w:val="尾注文本 Char"/>
    <w:basedOn w:val="style65"/>
    <w:next w:val="style4108"/>
    <w:link w:val="style43"/>
    <w:qFormat/>
    <w:uiPriority w:val="99"/>
  </w:style>
  <w:style w:type="paragraph" w:customStyle="1" w:styleId="style4109">
    <w:name w:val="Text"/>
    <w:basedOn w:val="style0"/>
    <w:next w:val="style4109"/>
    <w:qFormat/>
    <w:pPr>
      <w:widowControl/>
      <w:ind w:left="288"/>
    </w:pPr>
    <w:rPr>
      <w:rFonts w:ascii="Verdana" w:cs="Times New Roman" w:eastAsia="宋体" w:hAnsi="Verdana"/>
      <w:kern w:val="0"/>
      <w:sz w:val="20"/>
      <w:szCs w:val="20"/>
      <w:lang w:eastAsia="en-US"/>
    </w:rPr>
  </w:style>
  <w:style w:type="character" w:customStyle="1" w:styleId="style4110">
    <w:name w:val="正文文本缩进 Char"/>
    <w:basedOn w:val="style65"/>
    <w:next w:val="style4110"/>
    <w:link w:val="style67"/>
    <w:qFormat/>
    <w:uiPriority w:val="99"/>
  </w:style>
  <w:style w:type="character" w:customStyle="1" w:styleId="style4111">
    <w:name w:val="正文文本 2 Char"/>
    <w:basedOn w:val="style65"/>
    <w:next w:val="style4111"/>
    <w:link w:val="style80"/>
    <w:qFormat/>
    <w:uiPriority w:val="99"/>
  </w:style>
  <w:style w:type="character" w:customStyle="1" w:styleId="style4112">
    <w:name w:val="文档结构图 Char"/>
    <w:basedOn w:val="style65"/>
    <w:next w:val="style4112"/>
    <w:link w:val="style89"/>
    <w:qFormat/>
    <w:uiPriority w:val="99"/>
    <w:rPr>
      <w:rFonts w:ascii="Heiti SC Light" w:eastAsia="Heiti SC Light"/>
      <w:sz w:val="24"/>
      <w:szCs w:val="24"/>
    </w:rPr>
  </w:style>
  <w:style w:type="paragraph" w:customStyle="1" w:styleId="style4113">
    <w:name w:val="修订1"/>
    <w:next w:val="style4113"/>
    <w:qFormat/>
    <w:uiPriority w:val="99"/>
    <w:pPr/>
    <w:rPr>
      <w:kern w:val="2"/>
      <w:sz w:val="21"/>
      <w:szCs w:val="22"/>
    </w:rPr>
  </w:style>
  <w:style w:type="character" w:customStyle="1" w:styleId="style4114">
    <w:name w:val="批注文字 Char"/>
    <w:basedOn w:val="style65"/>
    <w:next w:val="style4114"/>
    <w:link w:val="style30"/>
    <w:qFormat/>
    <w:uiPriority w:val="99"/>
  </w:style>
  <w:style w:type="character" w:customStyle="1" w:styleId="style4115">
    <w:name w:val="批注主题 Char"/>
    <w:basedOn w:val="style4114"/>
    <w:next w:val="style4115"/>
    <w:link w:val="style106"/>
    <w:qFormat/>
    <w:uiPriority w:val="99"/>
    <w:rPr>
      <w:b/>
      <w:bCs/>
    </w:rPr>
  </w:style>
  <w:style w:type="paragraph" w:customStyle="1" w:styleId="style4116">
    <w:name w:val="列出段落1"/>
    <w:basedOn w:val="style0"/>
    <w:next w:val="style4116"/>
    <w:qFormat/>
    <w:uiPriority w:val="34"/>
    <w:pPr>
      <w:ind w:firstLine="420" w:firstLineChars="200"/>
    </w:pPr>
    <w:rPr>
      <w:rFonts w:ascii="Calibri" w:cs="Times New Roman" w:eastAsia="宋体" w:hAnsi="Calibri"/>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5" Type="http://schemas.openxmlformats.org/officeDocument/2006/relationships/theme" Target="theme/theme1.xml"/><Relationship Id="rId8" Type="http://schemas.openxmlformats.org/officeDocument/2006/relationships/customXml" Target="../customXml/item3.xml"/><Relationship Id="rId4" Type="http://schemas.openxmlformats.org/officeDocument/2006/relationships/settings" Target="settings.xml"/><Relationship Id="rId3" Type="http://schemas.openxmlformats.org/officeDocument/2006/relationships/fontTable" Target="fontTable.xml"/><Relationship Id="rId6" Type="http://schemas.openxmlformats.org/officeDocument/2006/relationships/customXml" Target="../customXml/item1.xml"/><Relationship Id="rId1" Type="http://schemas.openxmlformats.org/officeDocument/2006/relationships/numbering" Target="numbering.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2017-12-17T00:00:00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90C4CF-F5B6-6E43-A995-36F14E7F970E}">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8561</Words>
  <Pages>19</Pages>
  <Characters>8960</Characters>
  <Application>WPS Office</Application>
  <DocSecurity>0</DocSecurity>
  <Paragraphs>282</Paragraphs>
  <ScaleCrop>false</ScaleCrop>
  <LinksUpToDate>false</LinksUpToDate>
  <CharactersWithSpaces>9074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2018-01-21T12:58:25Z</dcterms:created>
  <dc:creator>lenovo</dc:creator>
  <lastModifiedBy>Redmi 4A</lastModifiedBy>
  <lastPrinted>2017-05-15T01:08:00Z</lastPrinted>
  <dcterms:modified xsi:type="dcterms:W3CDTF">2018-01-21T12:58:25Z</dcterms:modified>
  <revision>2</revision>
  <dc:subject>项目方案</dc:subject>
  <dc:title>医疗设备信息化管理平台</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