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开平主应用CRP优化 - prefetch chunk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业务背景</w:t>
      </w:r>
      <w:bookmarkEnd w:id="0"/>
    </w:p>
    <w:tbl>
      <w:tblPr>
        <w:tblW w:w="0" w:type="auto"/>
        <w:tblInd w:w="0" w:type="dxa"/>
        <w:tblBorders>
          <w:top w:val="single" w:color="7099F7"/>
          <w:left w:val="single" w:color="7099F7"/>
          <w:bottom w:val="single" w:color="7099F7"/>
          <w:right w:val="single" w:color="7099F7"/>
          <w:insideH w:val="single" w:color="7099F7"/>
          <w:insideV w:val="single" w:color="7099F7"/>
        </w:tblBorders>
        <w:tblLayout w:type="fixed"/>
      </w:tblPr>
      <w:tblGrid>
        <w:gridCol w:w="8280"/>
      </w:tblGrid>
      <w:tr>
        <w:tc>
          <w:tcPr>
            <w:tcW w:w="8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因为主应用加载路由前，依赖这些接口的加载，会阻塞路由和子应用的加载。在请求接口等待服务器响应这段时间，用matchPath匹配到当前路由提前执行资源加载。</w:t>
            </w:r>
          </w:p>
          <w:p>
            <w:pPr>
              <w:numPr>
                <w:numId w:val="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主应用路由，根据路由配置执行router的import方法。</w:t>
            </w:r>
          </w:p>
          <w:p>
            <w:pPr>
              <w:numPr>
                <w:numId w:val="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子应用，每次菜单接口返回都把结果存储到localstroage，覆盖更新。下次打开页面的时候如果匹配到路由则执行garfish preload。</w:t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5105400" cy="971550"/>
                  <wp:docPr id="0" name="Drawing 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优化前</w:t>
            </w:r>
          </w:p>
          <w:tbl>
            <w:tblPr>
              <w:tblW w:w="0" w:type="auto"/>
              <w:tblInd w:w="0" w:type="dxa"/>
              <w:tblBorders>
                <w:top w:val="none" w:space="4"/>
                <w:left w:val="none" w:space="4"/>
                <w:bottom w:val="none" w:space="4"/>
                <w:right w:val="none" w:space="4"/>
                <w:insideH w:val="none" w:space="4"/>
                <w:insideV w:val="none" w:space="4"/>
              </w:tblBorders>
              <w:tblLayout w:type="fixed"/>
            </w:tblPr>
            <w:tblGrid>
              <w:gridCol w:w="4020"/>
              <w:gridCol w:w="4020"/>
            </w:tblGrid>
            <w:tr>
              <w:tc>
                <w:tcPr>
                  <w:tcW w:w="402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tbl>
                  <w:tblPr>
                    <w:tblW w:w="0" w:type="auto"/>
                    <w:tblInd w:w="0" w:type="dxa"/>
                    <w:tblBorders>
                      <w:top w:val="single" w:color="dee0e3"/>
                      <w:left w:val="single" w:color="dee0e3"/>
                      <w:bottom w:val="single" w:color="dee0e3"/>
                      <w:right w:val="single" w:color="dee0e3"/>
                      <w:insideH w:val="single" w:color="dee0e3"/>
                      <w:insideV w:val="single" w:color="dee0e3"/>
                    </w:tblBorders>
                    <w:tblLayout w:type="fixed"/>
                  </w:tblPr>
                  <w:tblGrid>
                    <w:gridCol w:w="1095"/>
                    <w:gridCol w:w="555"/>
                    <w:gridCol w:w="1050"/>
                    <w:gridCol w:w="1080"/>
                  </w:tblGrid>
                  <w:tr>
                    <w:tc>
                      <w:tcPr>
                        <w:tcW w:w="1095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  <w:r>
                          <w:rPr>
                            <w:rFonts w:eastAsia="等线" w:ascii="Arial" w:cs="Arial" w:hAnsi="Arial"/>
                            <w:sz w:val="22"/>
                          </w:rPr>
                          <w:t>主应用chunk下载</w:t>
                        </w:r>
                      </w:p>
                    </w:tc>
                    <w:tc>
                      <w:tcPr>
                        <w:tcW w:w="555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  <w:tc>
                      <w:tcPr>
                        <w:tcW w:w="105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  <w:tc>
                      <w:tcPr>
                        <w:tcW w:w="108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</w:tr>
                  <w:tr>
                    <w:tc>
                      <w:tcPr>
                        <w:tcW w:w="1095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  <w:tc>
                      <w:tcPr>
                        <w:tcW w:w="555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  <w:r>
                          <w:rPr>
                            <w:rFonts w:eastAsia="等线" w:ascii="Arial" w:cs="Arial" w:hAnsi="Arial"/>
                            <w:sz w:val="22"/>
                          </w:rPr>
                          <w:t>Prefetch API</w:t>
                        </w:r>
                      </w:p>
                    </w:tc>
                    <w:tc>
                      <w:tcPr>
                        <w:tcW w:w="105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  <w:tc>
                      <w:tcPr>
                        <w:tcW w:w="108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</w:tr>
                  <w:tr>
                    <w:tc>
                      <w:tcPr>
                        <w:tcW w:w="1095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  <w:tc>
                      <w:tcPr>
                        <w:tcW w:w="555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  <w:tc>
                      <w:tcPr>
                        <w:tcW w:w="105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  <w:r>
                          <w:rPr>
                            <w:rFonts w:eastAsia="等线" w:ascii="Arial" w:cs="Arial" w:hAnsi="Arial"/>
                            <w:sz w:val="22"/>
                          </w:rPr>
                          <w:t>主应用路由chunk加载</w:t>
                        </w:r>
                      </w:p>
                    </w:tc>
                    <w:tc>
                      <w:tcPr>
                        <w:tcW w:w="108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</w:tr>
                  <w:tr>
                    <w:tc>
                      <w:tcPr>
                        <w:tcW w:w="1095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  <w:tc>
                      <w:tcPr>
                        <w:tcW w:w="555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  <w:tc>
                      <w:tcPr>
                        <w:tcW w:w="105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  <w:tc>
                      <w:tcPr>
                        <w:tcW w:w="108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  <w:r>
                          <w:rPr>
                            <w:rFonts w:eastAsia="等线" w:ascii="Arial" w:cs="Arial" w:hAnsi="Arial"/>
                            <w:sz w:val="22"/>
                          </w:rPr>
                          <w:t>子应用chunk下载</w:t>
                        </w:r>
                      </w:p>
                    </w:tc>
                  </w:tr>
                </w:tbl>
                <w:p/>
              </w:tc>
              <w:tc>
                <w:tcPr>
                  <w:tcW w:w="402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drawing>
                      <wp:inline distT="0" distR="0" distB="0" distL="0">
                        <wp:extent cx="2400300" cy="533400"/>
                        <wp:docPr id="1" name="Drawing 1" descr=""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"/>
                                <pic:cNvPicPr>
                                  <a:picLocks noChangeAspect="true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00300" cy="533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numPr>
                <w:numId w:val="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优化后</w:t>
            </w:r>
          </w:p>
          <w:tbl>
            <w:tblPr>
              <w:tblW w:w="0" w:type="auto"/>
              <w:tblInd w:w="453" w:type="dxa"/>
              <w:tblBorders>
                <w:top w:val="none" w:space="4"/>
                <w:left w:val="none" w:space="4"/>
                <w:bottom w:val="none" w:space="4"/>
                <w:right w:val="none" w:space="4"/>
                <w:insideH w:val="none" w:space="4"/>
                <w:insideV w:val="none" w:space="4"/>
              </w:tblBorders>
              <w:tblLayout w:type="fixed"/>
            </w:tblPr>
            <w:tblGrid>
              <w:gridCol w:w="4020"/>
              <w:gridCol w:w="4020"/>
            </w:tblGrid>
            <w:tr>
              <w:tc>
                <w:tcPr>
                  <w:tcW w:w="402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tbl>
                  <w:tblPr>
                    <w:tblW w:w="0" w:type="auto"/>
                    <w:tblInd w:w="0" w:type="dxa"/>
                    <w:tblBorders>
                      <w:top w:val="single" w:color="dee0e3"/>
                      <w:left w:val="single" w:color="dee0e3"/>
                      <w:bottom w:val="single" w:color="dee0e3"/>
                      <w:right w:val="single" w:color="dee0e3"/>
                      <w:insideH w:val="single" w:color="dee0e3"/>
                      <w:insideV w:val="single" w:color="dee0e3"/>
                    </w:tblBorders>
                    <w:tblLayout w:type="fixed"/>
                  </w:tblPr>
                  <w:tblGrid>
                    <w:gridCol w:w="1800"/>
                    <w:gridCol w:w="1980"/>
                  </w:tblGrid>
                  <w:tr>
                    <w:tc>
                      <w:tcPr>
                        <w:tcW w:w="180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  <w:r>
                          <w:rPr>
                            <w:rFonts w:eastAsia="等线" w:ascii="Arial" w:cs="Arial" w:hAnsi="Arial"/>
                            <w:sz w:val="22"/>
                          </w:rPr>
                          <w:t>主应用chunk下载</w:t>
                        </w:r>
                      </w:p>
                    </w:tc>
                    <w:tc>
                      <w:tcPr>
                        <w:tcW w:w="198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</w:tr>
                  <w:tr>
                    <w:tc>
                      <w:tcPr>
                        <w:tcW w:w="180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  <w:tc>
                      <w:tcPr>
                        <w:tcW w:w="198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  <w:r>
                          <w:rPr>
                            <w:rFonts w:eastAsia="等线" w:ascii="Arial" w:cs="Arial" w:hAnsi="Arial"/>
                            <w:sz w:val="22"/>
                          </w:rPr>
                          <w:t>Prefetch API</w:t>
                        </w:r>
                      </w:p>
                    </w:tc>
                  </w:tr>
                  <w:tr>
                    <w:tc>
                      <w:tcPr>
                        <w:tcW w:w="180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  <w:tc>
                      <w:tcPr>
                        <w:tcW w:w="198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  <w:r>
                          <w:rPr>
                            <w:rFonts w:eastAsia="等线" w:ascii="Arial" w:cs="Arial" w:hAnsi="Arial"/>
                            <w:sz w:val="22"/>
                          </w:rPr>
                          <w:t>主应用路由chunk加载</w:t>
                        </w:r>
                      </w:p>
                    </w:tc>
                  </w:tr>
                  <w:tr>
                    <w:tc>
                      <w:tcPr>
                        <w:tcW w:w="180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</w:p>
                    </w:tc>
                    <w:tc>
                      <w:tcPr>
                        <w:tcW w:w="1980" w:type="dxa"/>
                        <w:tcMar>
                          <w:top w:type="dxa" w:w="60"/>
                          <w:left w:type="dxa" w:w="120"/>
                          <w:bottom w:type="dxa" w:w="30"/>
                          <w:right w:type="dxa" w:w="120"/>
                        </w:tcMar>
                      </w:tcPr>
                      <w:p>
                        <w:pPr>
                          <w:spacing w:before="120" w:after="120" w:line="288" w:lineRule="auto"/>
                          <w:ind w:left="0"/>
                          <w:jc w:val="left"/>
                        </w:pPr>
                        <w:r>
                          <w:rPr>
                            <w:rFonts w:eastAsia="等线" w:ascii="Arial" w:cs="Arial" w:hAnsi="Arial"/>
                            <w:sz w:val="22"/>
                          </w:rPr>
                          <w:t>子应用chunk下载</w:t>
                        </w:r>
                      </w:p>
                    </w:tc>
                  </w:tr>
                </w:tbl>
                <w:p/>
              </w:tc>
              <w:tc>
                <w:tcPr>
                  <w:tcW w:w="402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drawing>
                      <wp:inline distT="0" distR="0" distB="0" distL="0">
                        <wp:extent cx="2400300" cy="600075"/>
                        <wp:docPr id="2" name="Drawing 2" descr=""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"/>
                                <pic:cNvPicPr>
                                  <a:picLocks noChangeAspect="true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00300" cy="600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" w:id="1"/>
      <w:r>
        <w:rPr>
          <w:rFonts w:eastAsia="等线" w:ascii="Arial" w:cs="Arial" w:hAnsi="Arial"/>
          <w:b w:val="true"/>
          <w:sz w:val="36"/>
        </w:rPr>
        <w:t>实现</w:t>
      </w:r>
      <w:bookmarkEnd w:id="1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>子应用chunk加载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</w:t>
      </w:r>
      <w:r>
        <w:rPr>
          <w:rFonts w:eastAsia="Consolas" w:ascii="Consolas" w:cs="Consolas" w:hAnsi="Consolas"/>
          <w:sz w:val="22"/>
          <w:shd w:fill="EFF0F1"/>
        </w:rPr>
        <w:t>react-router-dom</w:t>
      </w:r>
      <w:r>
        <w:rPr>
          <w:rFonts w:eastAsia="等线" w:ascii="Arial" w:cs="Arial" w:hAnsi="Arial"/>
          <w:sz w:val="22"/>
        </w:rPr>
        <w:t>匹配到当前路由配置执行</w:t>
      </w:r>
      <w:r>
        <w:rPr>
          <w:rFonts w:eastAsia="Consolas" w:ascii="Consolas" w:cs="Consolas" w:hAnsi="Consolas"/>
          <w:sz w:val="22"/>
          <w:shd w:fill="EFF0F1"/>
        </w:rPr>
        <w:t>router</w:t>
      </w:r>
      <w:r>
        <w:rPr>
          <w:rFonts w:eastAsia="等线" w:ascii="Arial" w:cs="Arial" w:hAnsi="Arial"/>
          <w:sz w:val="22"/>
        </w:rPr>
        <w:t>的import方法，提前加载路由chunk。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TypeScript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function prefetchMainAppRoute(appRoutes: any[]) {</w:t>
              <w:br/>
              <w:t xml:space="preserve">  appRoutes.forEach(el =&gt; {</w:t>
              <w:br/>
              <w:t xml:space="preserve">    // https://github.com/remix-run/react-router/blob/fbb6358dd7f47eedd55d0b63e0725ac335d28bde/packages/react-router/modules/Route.js#L41</w:t>
              <w:br/>
              <w:t xml:space="preserve">    const match = matchPath(location.pathname, el);</w:t>
              <w:br/>
              <w:br/>
              <w:t xml:space="preserve">    if (match &amp;&amp; el.routeMatchPrefetch) {</w:t>
              <w:br/>
              <w:t xml:space="preserve">      try {</w:t>
              <w:br/>
              <w:t xml:space="preserve">        console.log('[prefetch main route chunk]', el.path);</w:t>
              <w:br/>
              <w:t xml:space="preserve">        el?.component?.();</w:t>
              <w:br/>
              <w:t xml:space="preserve">      } catch (e) {</w:t>
              <w:br/>
              <w:t xml:space="preserve">        console.log('[prefetch main route chunk error]', el.path);</w:t>
              <w:br/>
              <w:t xml:space="preserve">      }</w:t>
              <w:br/>
              <w:t xml:space="preserve">    }</w:t>
              <w:br/>
              <w:t xml:space="preserve">  });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b w:val="true"/>
          <w:sz w:val="32"/>
        </w:rPr>
        <w:t>主应用路由chunk加载</w:t>
      </w:r>
      <w:bookmarkEnd w:id="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每次菜单接口返回都把结果存储到localstroage，覆盖更新。下次打开页面的时候如果匹配到路由则执行</w:t>
      </w:r>
      <w:r>
        <w:rPr>
          <w:rFonts w:eastAsia="Consolas" w:ascii="Consolas" w:cs="Consolas" w:hAnsi="Consolas"/>
          <w:sz w:val="22"/>
          <w:shd w:fill="EFF0F1"/>
        </w:rPr>
        <w:t>garfish preload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TypeScript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function getMenu() {</w:t>
              <w:br/>
              <w:t xml:space="preserve">  // 获取上次保存的路由配置</w:t>
              <w:br/>
              <w:t xml:space="preserve">  const gameMenu = safeParseJson(</w:t>
              <w:br/>
              <w:t xml:space="preserve">    localStorage.getItem(`${saveMenuKeyPrefix}game`) || '',</w:t>
              <w:br/>
              <w:t xml:space="preserve">    [],</w:t>
              <w:br/>
              <w:t xml:space="preserve">  );</w:t>
              <w:br/>
              <w:t xml:space="preserve">  const miniGameMenu = safeParseJson(</w:t>
              <w:br/>
              <w:t xml:space="preserve">    localStorage.getItem(`${saveMenuKeyPrefix}mini_game`) || '',</w:t>
              <w:br/>
              <w:t xml:space="preserve">    [],</w:t>
              <w:br/>
              <w:t xml:space="preserve">  );</w:t>
              <w:br/>
              <w:br/>
              <w:t xml:space="preserve">  return [...gameMenu, ...miniGameMenu];</w:t>
              <w:br/>
              <w:t>}</w:t>
              <w:br/>
              <w:br/>
              <w:t>function prefetchSubAppRoute() {</w:t>
              <w:br/>
              <w:t xml:space="preserve">  getMenu().forEach(el =&gt; {</w:t>
              <w:br/>
              <w:t xml:space="preserve">    const match = matchPath(location.pathname, el as any);</w:t>
              <w:br/>
              <w:t xml:space="preserve">    if (match) {</w:t>
              <w:br/>
              <w:t xml:space="preserve">      console.log('[prefetch subApp route chunk]', el);</w:t>
              <w:br/>
              <w:t xml:space="preserve">      prefetchloadAppResource({</w:t>
              <w:br/>
              <w:t xml:space="preserve">        entry: el.appEntry,</w:t>
              <w:br/>
              <w:t xml:space="preserve">        name: el.appName,</w:t>
              <w:br/>
              <w:t xml:space="preserve">      });</w:t>
              <w:br/>
              <w:t xml:space="preserve">    }</w:t>
              <w:br/>
              <w:t xml:space="preserve">  });</w:t>
              <w:br/>
              <w:t>}</w:t>
              <w:br/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b w:val="true"/>
          <w:sz w:val="32"/>
        </w:rPr>
        <w:t>结果</w:t>
      </w:r>
      <w:bookmarkEnd w:id="4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" w:id="5"/>
      <w:r>
        <w:rPr>
          <w:rFonts w:eastAsia="等线" w:ascii="Arial" w:cs="Arial" w:hAnsi="Arial"/>
          <w:b w:val="true"/>
          <w:sz w:val="30"/>
        </w:rPr>
        <w:t>PPE</w:t>
      </w:r>
      <w:bookmarkEnd w:id="5"/>
    </w:p>
    <w:tbl>
      <w:tblPr>
        <w:tblW w:w="0" w:type="auto"/>
        <w:tblInd w:w="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8280"/>
      </w:tblGrid>
      <w:tr>
        <w:tc>
          <w:tcPr>
            <w:tcW w:w="8280" w:type="dxa"/>
            <w:tcBorders>
              <w:top w:val="nil"/>
              <w:left w:sz="18" w:val="single" w:color="BBBFC4"/>
              <w:bottom w:val="nil"/>
              <w:right w:val="nil"/>
            </w:tcBorders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ppe浮动比较大</w:t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56"/>
        <w:gridCol w:w="4123"/>
      </w:tblGrid>
      <w:tr>
        <w:tc>
          <w:tcPr>
            <w:tcW w:w="415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86025" cy="1752600"/>
                  <wp:docPr id="3" name="Drawing 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3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57450" cy="1743075"/>
                  <wp:docPr id="4" name="Drawing 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" w:id="6"/>
      <w:r>
        <w:rPr>
          <w:rFonts w:eastAsia="等线" w:ascii="Arial" w:cs="Arial" w:hAnsi="Arial"/>
          <w:b w:val="true"/>
          <w:sz w:val="30"/>
        </w:rPr>
        <w:t>ONLINE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显著降低LCP指标，但是对整体的性能有劣化（有劣化的MR合入），因为FMP时间段执行的js和加载的资源增加了。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194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11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18349">
    <w:lvl>
      <w:numFmt w:val="bullet"/>
      <w:suff w:val="tab"/>
      <w:lvlText w:val="•"/>
      <w:rPr>
        <w:color w:val="3370ff"/>
      </w:rPr>
    </w:lvl>
  </w:abstractNum>
  <w:abstractNum w:abstractNumId="18350">
    <w:lvl>
      <w:numFmt w:val="bullet"/>
      <w:suff w:val="tab"/>
      <w:lvlText w:val="•"/>
      <w:rPr>
        <w:color w:val="3370ff"/>
      </w:rPr>
    </w:lvl>
  </w:abstractNum>
  <w:abstractNum w:abstractNumId="18351">
    <w:lvl>
      <w:numFmt w:val="bullet"/>
      <w:suff w:val="tab"/>
      <w:lvlText w:val="•"/>
      <w:rPr>
        <w:color w:val="3370ff"/>
      </w:rPr>
    </w:lvl>
  </w:abstractNum>
  <w:abstractNum w:abstractNumId="18352">
    <w:lvl>
      <w:numFmt w:val="bullet"/>
      <w:suff w:val="tab"/>
      <w:lvlText w:val="•"/>
      <w:rPr>
        <w:color w:val="3370ff"/>
      </w:rPr>
    </w:lvl>
  </w:abstractNum>
  <w:num w:numId="1">
    <w:abstractNumId w:val="18349"/>
  </w:num>
  <w:num w:numId="2">
    <w:abstractNumId w:val="18350"/>
  </w:num>
  <w:num w:numId="3">
    <w:abstractNumId w:val="18351"/>
  </w:num>
  <w:num w:numId="4">
    <w:abstractNumId w:val="18352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jpeg" Type="http://schemas.openxmlformats.org/officeDocument/2006/relationships/image"/><Relationship Id="rId6" Target="media/image2.jpe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2025-04-02T06:29:19Z</dcterms:created>
  <dc:creator>Apache POI</dc:creator>
</cp:coreProperties>
</file>