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游戏</w:t>
      </w:r>
      <w:r>
        <w:rPr>
          <w:rFonts w:eastAsia="等线" w:ascii="Arial" w:cs="Arial" w:hAnsi="Arial"/>
          <w:b w:val="true"/>
          <w:sz w:val="52"/>
        </w:rPr>
        <w:t>开平</w:t>
      </w:r>
      <w:r>
        <w:rPr>
          <w:rFonts w:eastAsia="等线" w:ascii="Arial" w:cs="Arial" w:hAnsi="Arial"/>
          <w:b w:val="true"/>
          <w:sz w:val="52"/>
        </w:rPr>
        <w:t>性能优化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业务概述</w:t>
      </w:r>
      <w:bookmarkEnd w:id="0"/>
    </w:p>
    <w:p>
      <w:pPr>
        <w:spacing w:before="120" w:after="120" w:line="288" w:lineRule="auto"/>
        <w:ind w:left="0"/>
        <w:jc w:val="left"/>
      </w:pPr>
      <w:hyperlink r:id="rId4">
        <w:r>
          <w:rPr>
            <w:rFonts w:eastAsia="等线" w:ascii="Arial" w:cs="Arial" w:hAnsi="Arial"/>
            <w:color w:val="3370ff"/>
            <w:sz w:val="22"/>
          </w:rPr>
          <w:t>游戏厂商平台</w:t>
        </w:r>
      </w:hyperlink>
      <w:r>
        <w:rPr>
          <w:rFonts w:eastAsia="等线" w:ascii="Arial" w:cs="Arial" w:hAnsi="Arial"/>
          <w:sz w:val="22"/>
        </w:rPr>
        <w:t>是面向厂商的一站式管理平台，提供游戏入驻、经营等能力，帮助厂商连接创作者和玩家，在抖音平台持续产生优质游戏内容，带动游戏分发和长线生态建设，助力游戏产品全生命周期生长。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前端厂商平台，模块包含：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厂商平台主应用（</w:t>
      </w:r>
      <w:hyperlink r:id="rId6">
        <w:r>
          <w:rPr>
            <w:rFonts w:eastAsia="等线" w:ascii="Arial" w:cs="Arial" w:hAnsi="Arial"/>
            <w:color w:val="3370ff"/>
            <w:sz w:val="22"/>
          </w:rPr>
          <w:t>game_open_platform</w:t>
        </w:r>
      </w:hyperlink>
      <w:r>
        <w:rPr>
          <w:rFonts w:eastAsia="等线" w:ascii="Arial" w:cs="Arial" w:hAnsi="Arial"/>
          <w:sz w:val="22"/>
        </w:rPr>
        <w:t>），包括：平台基础、游戏资料、用户管理、产品列表、菜单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厂商平台子应用（</w:t>
      </w:r>
      <w:hyperlink r:id="rId7">
        <w:r>
          <w:rPr>
            <w:rFonts w:eastAsia="等线" w:ascii="Arial" w:cs="Arial" w:hAnsi="Arial"/>
            <w:color w:val="3370ff"/>
            <w:sz w:val="22"/>
          </w:rPr>
          <w:t>webcast_game_open</w:t>
        </w:r>
      </w:hyperlink>
      <w:r>
        <w:rPr>
          <w:rFonts w:eastAsia="等线" w:ascii="Arial" w:cs="Arial" w:hAnsi="Arial"/>
          <w:sz w:val="22"/>
        </w:rPr>
        <w:t>），包括：内容经营、游戏官号、详情页管理、营销工具、数据中心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" w:id="1"/>
      <w:r>
        <w:rPr>
          <w:rFonts w:eastAsia="等线" w:ascii="Arial" w:cs="Arial" w:hAnsi="Arial"/>
          <w:b w:val="true"/>
          <w:sz w:val="36"/>
        </w:rPr>
        <w:t>架构</w:t>
      </w:r>
      <w:bookmarkEnd w:id="1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b w:val="true"/>
          <w:sz w:val="32"/>
        </w:rPr>
        <w:t>技术架构</w:t>
      </w:r>
      <w:bookmarkEnd w:id="2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7652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3" w:id="3"/>
      <w:r>
        <w:rPr>
          <w:rFonts w:eastAsia="等线" w:ascii="Arial" w:cs="Arial" w:hAnsi="Arial"/>
          <w:b w:val="true"/>
          <w:sz w:val="36"/>
        </w:rPr>
        <w:t>性能埋点</w:t>
      </w:r>
      <w:bookmarkEnd w:id="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主要关注P75的LCP </w:t>
      </w:r>
      <w:r>
        <w:rPr>
          <w:rFonts w:eastAsia="等线" w:ascii="Arial" w:cs="Arial" w:hAnsi="Arial"/>
          <w:sz w:val="22"/>
        </w:rPr>
        <w:t>/ FMP。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72402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72402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4" w:id="4"/>
      <w:r>
        <w:rPr>
          <w:rFonts w:eastAsia="等线" w:ascii="Arial" w:cs="Arial" w:hAnsi="Arial"/>
          <w:b w:val="true"/>
          <w:sz w:val="36"/>
        </w:rPr>
        <w:t>体验优化</w:t>
      </w:r>
      <w:bookmarkEnd w:id="4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" w:id="5"/>
      <w:r>
        <w:rPr>
          <w:rFonts w:eastAsia="等线" w:ascii="Arial" w:cs="Arial" w:hAnsi="Arial"/>
          <w:b w:val="true"/>
          <w:sz w:val="32"/>
        </w:rPr>
        <w:t>资源加载优化</w:t>
      </w:r>
      <w:bookmarkEnd w:id="5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6" w:id="6"/>
      <w:r>
        <w:rPr>
          <w:rFonts w:eastAsia="等线" w:ascii="Arial" w:cs="Arial" w:hAnsi="Arial"/>
          <w:b w:val="true"/>
          <w:sz w:val="30"/>
        </w:rPr>
        <w:t>产物优化</w:t>
      </w:r>
      <w:bookmarkEnd w:id="6"/>
    </w:p>
    <w:tbl>
      <w:tblPr>
        <w:tblW w:w="0" w:type="auto"/>
        <w:tblInd w:w="0" w:type="dxa"/>
        <w:tblBorders>
          <w:top w:val="single" w:color="7099F7"/>
          <w:left w:val="single" w:color="7099F7"/>
          <w:bottom w:val="single" w:color="7099F7"/>
          <w:right w:val="single" w:color="7099F7"/>
          <w:insideH w:val="single" w:color="7099F7"/>
          <w:insideV w:val="single" w:color="7099F7"/>
        </w:tblBorders>
        <w:tblLayout w:type="fixed"/>
      </w:tblPr>
      <w:tblGrid>
        <w:gridCol w:w="8280"/>
      </w:tblGrid>
      <w:tr>
        <w:tc>
          <w:tcPr>
            <w:tcW w:w="8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体积优化</w:t>
            </w:r>
          </w:p>
          <w:p>
            <w:pPr>
              <w:numPr>
                <w:numId w:val="4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异常产物：</w:t>
            </w:r>
            <w:r>
              <w:rPr>
                <w:rFonts w:eastAsia="等线" w:ascii="Arial" w:cs="Arial" w:hAnsi="Arial"/>
                <w:sz w:val="22"/>
              </w:rPr>
              <w:t>安全部门的sdk多次注入的js代码，eden没有默认去掉产物的sourcemap，应该导出png的svg图片。</w:t>
            </w:r>
          </w:p>
          <w:p>
            <w:pPr>
              <w:numPr>
                <w:numId w:val="5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Npm 重复包：</w:t>
            </w:r>
            <w:r>
              <w:rPr>
                <w:rFonts w:eastAsia="等线" w:ascii="Arial" w:cs="Arial" w:hAnsi="Arial"/>
                <w:sz w:val="22"/>
              </w:rPr>
              <w:t>产物中中存在大量相同包名却不同版本的包，尽量统一版本，减少 chunk 大小</w:t>
            </w:r>
          </w:p>
          <w:p>
            <w:pPr>
              <w:numPr>
                <w:numId w:val="6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tree-sharking</w:t>
            </w:r>
            <w:r>
              <w:rPr>
                <w:rFonts w:eastAsia="等线" w:ascii="Arial" w:cs="Arial" w:hAnsi="Arial"/>
                <w:sz w:val="22"/>
              </w:rPr>
              <w:t>：产物中存在第三方包没有tree-sharing的引入，应该配置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sideEffects</w:t>
            </w:r>
            <w:r>
              <w:rPr>
                <w:rFonts w:eastAsia="等线" w:ascii="Arial" w:cs="Arial" w:hAnsi="Arial"/>
                <w:sz w:val="22"/>
              </w:rPr>
              <w:t>，去掉没有副作用部分代码。</w:t>
            </w:r>
          </w:p>
          <w:p>
            <w:pPr>
              <w:numPr>
                <w:numId w:val="7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external：</w:t>
            </w:r>
            <w:r>
              <w:rPr>
                <w:rFonts w:eastAsia="等线" w:ascii="Arial" w:cs="Arial" w:hAnsi="Arial"/>
                <w:sz w:val="22"/>
              </w:rPr>
              <w:t>主应用和子应用复用公共依赖</w:t>
            </w:r>
          </w:p>
          <w:p>
            <w:pPr>
              <w:numPr>
                <w:numId w:val="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加载优化</w:t>
            </w:r>
          </w:p>
          <w:p>
            <w:pPr>
              <w:numPr>
                <w:numId w:val="9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拆包：</w:t>
            </w:r>
            <w:r>
              <w:rPr>
                <w:rFonts w:eastAsia="等线" w:ascii="Arial" w:cs="Arial" w:hAnsi="Arial"/>
                <w:sz w:val="22"/>
              </w:rPr>
              <w:t>大资源变多个小资源，同步加载</w:t>
            </w:r>
          </w:p>
          <w:p>
            <w:pPr>
              <w:numPr>
                <w:numId w:val="10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按需加载：</w:t>
            </w:r>
            <w:r>
              <w:rPr>
                <w:rFonts w:eastAsia="等线" w:ascii="Arial" w:cs="Arial" w:hAnsi="Arial"/>
                <w:sz w:val="22"/>
              </w:rPr>
              <w:t>当用户需要时，才加载js资源</w:t>
            </w:r>
          </w:p>
          <w:p>
            <w:pPr>
              <w:numPr>
                <w:numId w:val="11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分步加载：</w:t>
            </w:r>
            <w:r>
              <w:rPr>
                <w:rFonts w:eastAsia="等线" w:ascii="Arial" w:cs="Arial" w:hAnsi="Arial"/>
                <w:sz w:val="22"/>
              </w:rPr>
              <w:t>根据chunk的重要性，把不是首屏必要的资源异步加载。</w:t>
            </w:r>
          </w:p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5105400" cy="933450"/>
                  <wp:docPr id="3" name="Drawing 3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br/>
              <w:t xml:space="preserve">Synced from: </w:t>
            </w:r>
            <w:hyperlink r:id="rId12">
              <w:r>
                <w:rPr>
                  <w:rFonts w:eastAsia="等线" w:ascii="Arial" w:cs="Arial" w:hAnsi="Arial"/>
                  <w:color w:val="3370ff"/>
                  <w:sz w:val="22"/>
                </w:rPr>
                <w:t>https://bytedance.larkoffice.com/docx/AuHVdS1wMor4rNx4c9hc7VfknVc#QRURdjsObsGSIMbsG17cTJSbnVh</w:t>
              </w:r>
            </w:hyperlink>
          </w:p>
        </w:tc>
      </w:tr>
    </w:tbl>
    <w:p/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0fbef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预期收益：LCP 等性能指标</w:t>
            </w:r>
          </w:p>
          <w:p>
            <w:pPr>
              <w:numPr>
                <w:numId w:val="1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适用场景：通用</w:t>
            </w:r>
          </w:p>
          <w:p>
            <w:pPr>
              <w:numPr>
                <w:numId w:val="1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优化文档：</w:t>
            </w:r>
            <w:hyperlink r:id="rId13">
              <w:r>
                <w:rPr>
                  <w:rFonts w:eastAsia="等线" w:ascii="Arial" w:cs="Arial" w:hAnsi="Arial"/>
                  <w:color w:val="3370ff"/>
                  <w:sz w:val="22"/>
                </w:rPr>
                <w:t>游戏开平体积优化</w:t>
              </w:r>
            </w:hyperlink>
          </w:p>
          <w:p>
            <w:pPr>
              <w:numPr>
                <w:numId w:val="1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性能收益：lcp 4s -&gt; 3s</w:t>
            </w: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" w:id="7"/>
      <w:r>
        <w:rPr>
          <w:rFonts w:eastAsia="等线" w:ascii="Arial" w:cs="Arial" w:hAnsi="Arial"/>
          <w:b w:val="true"/>
          <w:sz w:val="30"/>
        </w:rPr>
        <w:t>资源预请求</w:t>
      </w:r>
      <w:bookmarkEnd w:id="7"/>
    </w:p>
    <w:tbl>
      <w:tblPr>
        <w:tblW w:w="0" w:type="auto"/>
        <w:tblInd w:w="0" w:type="dxa"/>
        <w:tblBorders>
          <w:top w:val="single" w:color="7099F7"/>
          <w:left w:val="single" w:color="7099F7"/>
          <w:bottom w:val="single" w:color="7099F7"/>
          <w:right w:val="single" w:color="7099F7"/>
          <w:insideH w:val="single" w:color="7099F7"/>
          <w:insideV w:val="single" w:color="7099F7"/>
        </w:tblBorders>
        <w:tblLayout w:type="fixed"/>
      </w:tblPr>
      <w:tblGrid>
        <w:gridCol w:w="8280"/>
      </w:tblGrid>
      <w:tr>
        <w:tc>
          <w:tcPr>
            <w:tcW w:w="8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/>
                <w:left w:val="single"/>
                <w:bottom w:val="single"/>
                <w:right w:val="single"/>
                <w:insideH w:val="single"/>
                <w:insideV w:val="single"/>
              </w:tblBorders>
              <w:tblLayout w:type="fixed"/>
            </w:tblPr>
            <w:tblGrid>
              <w:gridCol w:w="8040"/>
            </w:tblGrid>
            <w:tr>
              <w:tc>
                <w:tcPr>
                  <w:tcW w:w="8040" w:type="dxa"/>
                  <w:tcBorders>
                    <w:top w:val="nil"/>
                    <w:left w:sz="18" w:val="single" w:color="BBBFC4"/>
                    <w:bottom w:val="nil"/>
                    <w:right w:val="nil"/>
                  </w:tcBorders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等线" w:ascii="Arial" w:cs="Arial" w:hAnsi="Arial"/>
                      <w:color w:val="646a73"/>
                      <w:sz w:val="22"/>
                    </w:rPr>
                    <w:t>在资源加载同时发起请求server接口，提早获取server接口的数据</w:t>
                  </w:r>
                </w:p>
              </w:tc>
            </w:tr>
          </w:tbl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开平挂载菜单之前需要依赖几个server remote的数据，这些依赖的数据会阻塞菜单内容的渲染，所以应该提早发起请求，并行请求js资源请求和用户数据。</w:t>
            </w:r>
          </w:p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5105400" cy="2019300"/>
                  <wp:docPr id="4" name="Drawing 4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br/>
              <w:t xml:space="preserve">Synced from: </w:t>
            </w:r>
            <w:hyperlink r:id="rId15">
              <w:r>
                <w:rPr>
                  <w:rFonts w:eastAsia="等线" w:ascii="Arial" w:cs="Arial" w:hAnsi="Arial"/>
                  <w:color w:val="3370ff"/>
                  <w:sz w:val="22"/>
                </w:rPr>
                <w:t>https://bytedance.larkoffice.com/docx/Fr1pdLT7FoDWcVx0s6Icm0oOnKe#U1Iedg1DYsdvAqbgtd8cD5A6n4e</w:t>
              </w:r>
            </w:hyperlink>
          </w:p>
        </w:tc>
      </w:tr>
    </w:tbl>
    <w:p/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0fbef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预期收益：fmp 等性能指标</w:t>
            </w:r>
          </w:p>
          <w:p>
            <w:pPr>
              <w:numPr>
                <w:numId w:val="1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适用场景：通用</w:t>
            </w:r>
          </w:p>
          <w:p>
            <w:pPr>
              <w:numPr>
                <w:numId w:val="1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优化文档：</w:t>
            </w:r>
            <w:hyperlink r:id="rId16">
              <w:r>
                <w:rPr>
                  <w:rFonts w:eastAsia="等线" w:ascii="Arial" w:cs="Arial" w:hAnsi="Arial"/>
                  <w:color w:val="3370ff"/>
                  <w:sz w:val="22"/>
                </w:rPr>
                <w:t>开平主应用CRP优化 - prefetch xhr api</w:t>
              </w:r>
            </w:hyperlink>
          </w:p>
          <w:p>
            <w:pPr>
              <w:numPr>
                <w:numId w:val="1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性能收益：fmp 2 -&gt; 1.8</w:t>
            </w: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8" w:id="8"/>
      <w:r>
        <w:rPr>
          <w:rFonts w:eastAsia="等线" w:ascii="Arial" w:cs="Arial" w:hAnsi="Arial"/>
          <w:b w:val="true"/>
          <w:sz w:val="30"/>
        </w:rPr>
        <w:t>资源预加载</w:t>
      </w:r>
      <w:bookmarkEnd w:id="8"/>
    </w:p>
    <w:tbl>
      <w:tblPr>
        <w:tblW w:w="0" w:type="auto"/>
        <w:tblInd w:w="0" w:type="dxa"/>
        <w:tblBorders>
          <w:top w:val="single" w:color="7099F7"/>
          <w:left w:val="single" w:color="7099F7"/>
          <w:bottom w:val="single" w:color="7099F7"/>
          <w:right w:val="single" w:color="7099F7"/>
          <w:insideH w:val="single" w:color="7099F7"/>
          <w:insideV w:val="single" w:color="7099F7"/>
        </w:tblBorders>
        <w:tblLayout w:type="fixed"/>
      </w:tblPr>
      <w:tblGrid>
        <w:gridCol w:w="8280"/>
      </w:tblGrid>
      <w:tr>
        <w:tc>
          <w:tcPr>
            <w:tcW w:w="8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因为主应用加载路由前，依赖这些接口的加载，会阻塞路由和子应用的加载。在请求接口等待服务器响应这段时间，用matchPath匹配到当前路由提前执行资源加载。</w:t>
            </w:r>
          </w:p>
          <w:p>
            <w:pPr>
              <w:numPr>
                <w:numId w:val="2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主应用路由，根据路由配置执行router的import方法。</w:t>
            </w:r>
          </w:p>
          <w:p>
            <w:pPr>
              <w:numPr>
                <w:numId w:val="2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子应用，每次菜单接口返回都把结果存储到localstroage，覆盖更新。下次打开页面的时候如果匹配到路由则执行garfish preload。</w:t>
            </w:r>
          </w:p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5105400" cy="971550"/>
                  <wp:docPr id="5" name="Drawing 5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2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优化前</w:t>
            </w:r>
          </w:p>
          <w:tbl>
            <w:tblPr>
              <w:tblW w:w="0" w:type="auto"/>
              <w:tblInd w:w="0" w:type="dxa"/>
              <w:tblBorders>
                <w:top w:val="none" w:space="4"/>
                <w:left w:val="none" w:space="4"/>
                <w:bottom w:val="none" w:space="4"/>
                <w:right w:val="none" w:space="4"/>
                <w:insideH w:val="none" w:space="4"/>
                <w:insideV w:val="none" w:space="4"/>
              </w:tblBorders>
              <w:tblLayout w:type="fixed"/>
            </w:tblPr>
            <w:tblGrid>
              <w:gridCol w:w="4020"/>
              <w:gridCol w:w="4020"/>
            </w:tblGrid>
            <w:tr>
              <w:tc>
                <w:tcPr>
                  <w:tcW w:w="4020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tbl>
                  <w:tblPr>
                    <w:tblW w:w="0" w:type="auto"/>
                    <w:tblInd w:w="0" w:type="dxa"/>
                    <w:tblBorders>
                      <w:top w:val="single" w:color="dee0e3"/>
                      <w:left w:val="single" w:color="dee0e3"/>
                      <w:bottom w:val="single" w:color="dee0e3"/>
                      <w:right w:val="single" w:color="dee0e3"/>
                      <w:insideH w:val="single" w:color="dee0e3"/>
                      <w:insideV w:val="single" w:color="dee0e3"/>
                    </w:tblBorders>
                    <w:tblLayout w:type="fixed"/>
                  </w:tblPr>
                  <w:tblGrid>
                    <w:gridCol w:w="1095"/>
                    <w:gridCol w:w="555"/>
                    <w:gridCol w:w="1050"/>
                    <w:gridCol w:w="1080"/>
                  </w:tblGrid>
                  <w:tr>
                    <w:tc>
                      <w:tcPr>
                        <w:tcW w:w="1095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  <w:r>
                          <w:rPr>
                            <w:rFonts w:eastAsia="等线" w:ascii="Arial" w:cs="Arial" w:hAnsi="Arial"/>
                            <w:sz w:val="22"/>
                          </w:rPr>
                          <w:t>主应用chunk下载</w:t>
                        </w:r>
                      </w:p>
                    </w:tc>
                    <w:tc>
                      <w:tcPr>
                        <w:tcW w:w="555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</w:p>
                    </w:tc>
                    <w:tc>
                      <w:tcPr>
                        <w:tcW w:w="1050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</w:p>
                    </w:tc>
                    <w:tc>
                      <w:tcPr>
                        <w:tcW w:w="1080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</w:p>
                    </w:tc>
                  </w:tr>
                  <w:tr>
                    <w:tc>
                      <w:tcPr>
                        <w:tcW w:w="1095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</w:p>
                    </w:tc>
                    <w:tc>
                      <w:tcPr>
                        <w:tcW w:w="555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  <w:r>
                          <w:rPr>
                            <w:rFonts w:eastAsia="等线" w:ascii="Arial" w:cs="Arial" w:hAnsi="Arial"/>
                            <w:sz w:val="22"/>
                          </w:rPr>
                          <w:t>Prefetch API</w:t>
                        </w:r>
                      </w:p>
                    </w:tc>
                    <w:tc>
                      <w:tcPr>
                        <w:tcW w:w="1050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</w:p>
                    </w:tc>
                    <w:tc>
                      <w:tcPr>
                        <w:tcW w:w="1080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</w:p>
                    </w:tc>
                  </w:tr>
                  <w:tr>
                    <w:tc>
                      <w:tcPr>
                        <w:tcW w:w="1095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</w:p>
                    </w:tc>
                    <w:tc>
                      <w:tcPr>
                        <w:tcW w:w="555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</w:p>
                    </w:tc>
                    <w:tc>
                      <w:tcPr>
                        <w:tcW w:w="1050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  <w:r>
                          <w:rPr>
                            <w:rFonts w:eastAsia="等线" w:ascii="Arial" w:cs="Arial" w:hAnsi="Arial"/>
                            <w:sz w:val="22"/>
                          </w:rPr>
                          <w:t>主应用路由chunk加载</w:t>
                        </w:r>
                      </w:p>
                    </w:tc>
                    <w:tc>
                      <w:tcPr>
                        <w:tcW w:w="1080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</w:p>
                    </w:tc>
                  </w:tr>
                  <w:tr>
                    <w:tc>
                      <w:tcPr>
                        <w:tcW w:w="1095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</w:p>
                    </w:tc>
                    <w:tc>
                      <w:tcPr>
                        <w:tcW w:w="555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</w:p>
                    </w:tc>
                    <w:tc>
                      <w:tcPr>
                        <w:tcW w:w="1050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</w:p>
                    </w:tc>
                    <w:tc>
                      <w:tcPr>
                        <w:tcW w:w="1080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  <w:r>
                          <w:rPr>
                            <w:rFonts w:eastAsia="等线" w:ascii="Arial" w:cs="Arial" w:hAnsi="Arial"/>
                            <w:sz w:val="22"/>
                          </w:rPr>
                          <w:t>子应用chunk下载</w:t>
                        </w:r>
                      </w:p>
                    </w:tc>
                  </w:tr>
                </w:tbl>
                <w:p/>
              </w:tc>
              <w:tc>
                <w:tcPr>
                  <w:tcW w:w="4020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drawing>
                      <wp:inline distT="0" distR="0" distB="0" distL="0">
                        <wp:extent cx="2400300" cy="533400"/>
                        <wp:docPr id="6" name="Drawing 6" descr=""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"/>
                                <pic:cNvPicPr>
                                  <a:picLocks noChangeAspect="true"/>
                                </pic:cNvPicPr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00300" cy="533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numPr>
                <w:numId w:val="2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优化后</w:t>
            </w:r>
          </w:p>
          <w:tbl>
            <w:tblPr>
              <w:tblW w:w="0" w:type="auto"/>
              <w:tblInd w:w="453" w:type="dxa"/>
              <w:tblBorders>
                <w:top w:val="none" w:space="4"/>
                <w:left w:val="none" w:space="4"/>
                <w:bottom w:val="none" w:space="4"/>
                <w:right w:val="none" w:space="4"/>
                <w:insideH w:val="none" w:space="4"/>
                <w:insideV w:val="none" w:space="4"/>
              </w:tblBorders>
              <w:tblLayout w:type="fixed"/>
            </w:tblPr>
            <w:tblGrid>
              <w:gridCol w:w="4020"/>
              <w:gridCol w:w="4020"/>
            </w:tblGrid>
            <w:tr>
              <w:tc>
                <w:tcPr>
                  <w:tcW w:w="4020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tbl>
                  <w:tblPr>
                    <w:tblW w:w="0" w:type="auto"/>
                    <w:tblInd w:w="0" w:type="dxa"/>
                    <w:tblBorders>
                      <w:top w:val="single" w:color="dee0e3"/>
                      <w:left w:val="single" w:color="dee0e3"/>
                      <w:bottom w:val="single" w:color="dee0e3"/>
                      <w:right w:val="single" w:color="dee0e3"/>
                      <w:insideH w:val="single" w:color="dee0e3"/>
                      <w:insideV w:val="single" w:color="dee0e3"/>
                    </w:tblBorders>
                    <w:tblLayout w:type="fixed"/>
                  </w:tblPr>
                  <w:tblGrid>
                    <w:gridCol w:w="1800"/>
                    <w:gridCol w:w="1980"/>
                  </w:tblGrid>
                  <w:tr>
                    <w:tc>
                      <w:tcPr>
                        <w:tcW w:w="1800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  <w:r>
                          <w:rPr>
                            <w:rFonts w:eastAsia="等线" w:ascii="Arial" w:cs="Arial" w:hAnsi="Arial"/>
                            <w:sz w:val="22"/>
                          </w:rPr>
                          <w:t>主应用chunk下载</w:t>
                        </w:r>
                      </w:p>
                    </w:tc>
                    <w:tc>
                      <w:tcPr>
                        <w:tcW w:w="1980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</w:p>
                    </w:tc>
                  </w:tr>
                  <w:tr>
                    <w:tc>
                      <w:tcPr>
                        <w:tcW w:w="1800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</w:p>
                    </w:tc>
                    <w:tc>
                      <w:tcPr>
                        <w:tcW w:w="1980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  <w:r>
                          <w:rPr>
                            <w:rFonts w:eastAsia="等线" w:ascii="Arial" w:cs="Arial" w:hAnsi="Arial"/>
                            <w:sz w:val="22"/>
                          </w:rPr>
                          <w:t>Prefetch API</w:t>
                        </w:r>
                      </w:p>
                    </w:tc>
                  </w:tr>
                  <w:tr>
                    <w:tc>
                      <w:tcPr>
                        <w:tcW w:w="1800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</w:p>
                    </w:tc>
                    <w:tc>
                      <w:tcPr>
                        <w:tcW w:w="1980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  <w:r>
                          <w:rPr>
                            <w:rFonts w:eastAsia="等线" w:ascii="Arial" w:cs="Arial" w:hAnsi="Arial"/>
                            <w:sz w:val="22"/>
                          </w:rPr>
                          <w:t>主应用路由chunk加载</w:t>
                        </w:r>
                      </w:p>
                    </w:tc>
                  </w:tr>
                  <w:tr>
                    <w:tc>
                      <w:tcPr>
                        <w:tcW w:w="1800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</w:p>
                    </w:tc>
                    <w:tc>
                      <w:tcPr>
                        <w:tcW w:w="1980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  <w:r>
                          <w:rPr>
                            <w:rFonts w:eastAsia="等线" w:ascii="Arial" w:cs="Arial" w:hAnsi="Arial"/>
                            <w:sz w:val="22"/>
                          </w:rPr>
                          <w:t>子应用chunk下载</w:t>
                        </w:r>
                      </w:p>
                    </w:tc>
                  </w:tr>
                </w:tbl>
                <w:p/>
              </w:tc>
              <w:tc>
                <w:tcPr>
                  <w:tcW w:w="4020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drawing>
                      <wp:inline distT="0" distR="0" distB="0" distL="0">
                        <wp:extent cx="2400300" cy="600075"/>
                        <wp:docPr id="7" name="Drawing 7" descr=""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"/>
                                <pic:cNvPicPr>
                                  <a:picLocks noChangeAspect="true"/>
                                </pic:cNvPicPr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00300" cy="600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br/>
              <w:t xml:space="preserve">Synced from: </w:t>
            </w:r>
            <w:hyperlink r:id="rId20">
              <w:r>
                <w:rPr>
                  <w:rFonts w:eastAsia="等线" w:ascii="Arial" w:cs="Arial" w:hAnsi="Arial"/>
                  <w:color w:val="3370ff"/>
                  <w:sz w:val="22"/>
                </w:rPr>
                <w:t>https://bytedance.larkoffice.com/docx/Qw31dzgquoZQihxv53acSCAwncf#MFY6d8Ihpsry7JbGy4Qc7s82nyb</w:t>
              </w:r>
            </w:hyperlink>
          </w:p>
        </w:tc>
      </w:tr>
    </w:tbl>
    <w:p/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0fbef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2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预期收益：LCP 等性能指标</w:t>
            </w:r>
          </w:p>
          <w:p>
            <w:pPr>
              <w:numPr>
                <w:numId w:val="2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适用场景：通用</w:t>
            </w:r>
          </w:p>
          <w:p>
            <w:pPr>
              <w:numPr>
                <w:numId w:val="2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优化文档：</w:t>
            </w:r>
            <w:hyperlink r:id="rId21">
              <w:r>
                <w:rPr>
                  <w:rFonts w:eastAsia="等线" w:ascii="Arial" w:cs="Arial" w:hAnsi="Arial"/>
                  <w:color w:val="3370ff"/>
                  <w:sz w:val="22"/>
                </w:rPr>
                <w:t>开平主应用CRP优化 - prefetch chunk</w:t>
              </w:r>
            </w:hyperlink>
          </w:p>
          <w:p>
            <w:pPr>
              <w:numPr>
                <w:numId w:val="2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性能收益：子应用lcp 7s -&gt; 3s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9" w:id="9"/>
      <w:r>
        <w:rPr>
          <w:rFonts w:eastAsia="等线" w:ascii="Arial" w:cs="Arial" w:hAnsi="Arial"/>
          <w:b w:val="true"/>
          <w:sz w:val="32"/>
        </w:rPr>
        <w:t>业务优化</w:t>
      </w:r>
      <w:bookmarkEnd w:id="9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0" w:id="10"/>
      <w:r>
        <w:rPr>
          <w:rFonts w:eastAsia="等线" w:ascii="Arial" w:cs="Arial" w:hAnsi="Arial"/>
          <w:b w:val="true"/>
          <w:sz w:val="30"/>
        </w:rPr>
        <w:t>菜单请求链路</w:t>
      </w:r>
      <w:bookmarkEnd w:id="1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菜单请求链路经过长期的需求迭代，有临时方案，有复杂的业务场景，整理菜单请求链路，重构业务。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0fbef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2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预期收益：FMP 等性能指标</w:t>
            </w:r>
          </w:p>
          <w:p>
            <w:pPr>
              <w:numPr>
                <w:numId w:val="2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适用场景：通用</w:t>
            </w:r>
          </w:p>
          <w:p>
            <w:pPr>
              <w:numPr>
                <w:numId w:val="3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优化文档：</w:t>
            </w:r>
            <w:hyperlink r:id="rId22">
              <w:r>
                <w:rPr>
                  <w:rFonts w:eastAsia="等线" w:ascii="Arial" w:cs="Arial" w:hAnsi="Arial"/>
                  <w:color w:val="3370ff"/>
                  <w:sz w:val="22"/>
                </w:rPr>
                <w:t>开平主应用CRP优化 - 菜单请求链路</w:t>
              </w:r>
            </w:hyperlink>
          </w:p>
          <w:p>
            <w:pPr>
              <w:numPr>
                <w:numId w:val="3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性能收益：fmp 1.8s -&gt; 1.5s</w:t>
            </w: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1" w:id="11"/>
      <w:r>
        <w:rPr>
          <w:rFonts w:eastAsia="等线" w:ascii="Arial" w:cs="Arial" w:hAnsi="Arial"/>
          <w:b w:val="true"/>
          <w:sz w:val="30"/>
        </w:rPr>
        <w:t>老业务下线</w:t>
      </w:r>
      <w:bookmarkEnd w:id="1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主应用为巨石应用，动态路由通过</w:t>
      </w:r>
      <w:r>
        <w:rPr>
          <w:rFonts w:eastAsia="Consolas" w:ascii="Consolas" w:cs="Consolas" w:hAnsi="Consolas"/>
          <w:sz w:val="22"/>
          <w:shd w:fill="EFF0F1"/>
        </w:rPr>
        <w:t>import()</w:t>
      </w:r>
      <w:r>
        <w:rPr>
          <w:rFonts w:eastAsia="等线" w:ascii="Arial" w:cs="Arial" w:hAnsi="Arial"/>
          <w:sz w:val="22"/>
        </w:rPr>
        <w:t>注册，导致webpack tree-sharking分析受下线业务影响，通过组织清理老业务下线，优化tree-sharing，提高fmp。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0fbef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3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预期收益：FMP 等性能指标</w:t>
            </w:r>
          </w:p>
          <w:p>
            <w:pPr>
              <w:numPr>
                <w:numId w:val="3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适用场景：通用</w:t>
            </w:r>
          </w:p>
          <w:p>
            <w:pPr>
              <w:numPr>
                <w:numId w:val="3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优化文档：</w:t>
            </w:r>
            <w:hyperlink r:id="rId23">
              <w:r>
                <w:rPr>
                  <w:rFonts w:eastAsia="等线" w:ascii="Arial" w:cs="Arial" w:hAnsi="Arial"/>
                  <w:color w:val="3370ff"/>
                  <w:sz w:val="22"/>
                </w:rPr>
                <w:t>游戏开平前端2025.01月业务下线</w:t>
              </w:r>
            </w:hyperlink>
          </w:p>
          <w:p>
            <w:pPr>
              <w:numPr>
                <w:numId w:val="3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性能收益：fmp 1.5s -&gt; 1.3s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24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 xmlns:v="urn:schemas-microsoft-com:vml" xmlns:o="urn:schemas-microsoft-com:office:office" xmlns:w10="urn:schemas-microsoft-com:office:word" xmlns:r="http://schemas.openxmlformats.org/officeDocument/2006/relationships">
  <w:p w:rsidP="" w:rsidRDefault="">
    <w:pPr>
      <w:pStyle w:val="Header"/>
    </w:pPr>
    <w:r>
      <w:rPr>
        <w:noProof/>
      </w:rPr>
      <w:pict>
        <v:shapetype id="_x0000_t75" coordsize="21600,21600" o:spt="75.0" path="m@4@5l@4@11@9@11@9@5xe" stroked="f" filled="f" o:preferrelative="t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" o:spid="_x0000_s1025" type="#_x0000_t75" o:allowincell="f" style="position:absolute;left:0;text-align:left;margin-left:0;margin-top:0;width:414pt;height:697.5pt;z-index:-251645952;mso-wrap-edited:f;mso-width-percent:0;mso-height-percent:0;mso-position-horizontal:center;mso-position-horizontal-relative:margin;mso-position-vertical:center;mso-position-vertical-relative:margin;mso-width-percent:0;mso-height-percent:0">
          <w10:wrap anchorx="margin" anchory="margin"/>
          <v:imagedata r:id="rId1" o:title="image899"/>
        </v:shape>
      </w:pict>
    </w:r>
  </w:p>
</w:hdr>
</file>

<file path=word/numbering.xml><?xml version="1.0" encoding="utf-8"?>
<w:numbering xmlns:w="http://schemas.openxmlformats.org/wordprocessingml/2006/main">
  <w:abstractNum w:abstractNumId="25127">
    <w:lvl>
      <w:numFmt w:val="bullet"/>
      <w:suff w:val="tab"/>
      <w:lvlText w:val="•"/>
      <w:rPr>
        <w:color w:val="3370ff"/>
      </w:rPr>
    </w:lvl>
  </w:abstractNum>
  <w:abstractNum w:abstractNumId="25128">
    <w:lvl>
      <w:numFmt w:val="bullet"/>
      <w:suff w:val="tab"/>
      <w:lvlText w:val="•"/>
      <w:rPr>
        <w:color w:val="3370ff"/>
      </w:rPr>
    </w:lvl>
  </w:abstractNum>
  <w:abstractNum w:abstractNumId="25129">
    <w:lvl>
      <w:numFmt w:val="bullet"/>
      <w:suff w:val="tab"/>
      <w:lvlText w:val="•"/>
      <w:rPr>
        <w:color w:val="3370ff"/>
      </w:rPr>
    </w:lvl>
  </w:abstractNum>
  <w:abstractNum w:abstractNumId="25130">
    <w:lvl>
      <w:numFmt w:val="bullet"/>
      <w:suff w:val="tab"/>
      <w:lvlText w:val="￮"/>
      <w:rPr>
        <w:color w:val="3370ff"/>
      </w:rPr>
    </w:lvl>
  </w:abstractNum>
  <w:abstractNum w:abstractNumId="25131">
    <w:lvl>
      <w:numFmt w:val="bullet"/>
      <w:suff w:val="tab"/>
      <w:lvlText w:val="￮"/>
      <w:rPr>
        <w:color w:val="3370ff"/>
      </w:rPr>
    </w:lvl>
  </w:abstractNum>
  <w:abstractNum w:abstractNumId="25132">
    <w:lvl>
      <w:numFmt w:val="bullet"/>
      <w:suff w:val="tab"/>
      <w:lvlText w:val="￮"/>
      <w:rPr>
        <w:color w:val="3370ff"/>
      </w:rPr>
    </w:lvl>
  </w:abstractNum>
  <w:abstractNum w:abstractNumId="25133">
    <w:lvl>
      <w:numFmt w:val="bullet"/>
      <w:suff w:val="tab"/>
      <w:lvlText w:val="￮"/>
      <w:rPr>
        <w:color w:val="3370ff"/>
      </w:rPr>
    </w:lvl>
  </w:abstractNum>
  <w:abstractNum w:abstractNumId="25134">
    <w:lvl>
      <w:numFmt w:val="bullet"/>
      <w:suff w:val="tab"/>
      <w:lvlText w:val="•"/>
      <w:rPr>
        <w:color w:val="3370ff"/>
      </w:rPr>
    </w:lvl>
  </w:abstractNum>
  <w:abstractNum w:abstractNumId="25135">
    <w:lvl>
      <w:numFmt w:val="bullet"/>
      <w:suff w:val="tab"/>
      <w:lvlText w:val="￮"/>
      <w:rPr>
        <w:color w:val="3370ff"/>
      </w:rPr>
    </w:lvl>
  </w:abstractNum>
  <w:abstractNum w:abstractNumId="25136">
    <w:lvl>
      <w:numFmt w:val="bullet"/>
      <w:suff w:val="tab"/>
      <w:lvlText w:val="￮"/>
      <w:rPr>
        <w:color w:val="3370ff"/>
      </w:rPr>
    </w:lvl>
  </w:abstractNum>
  <w:abstractNum w:abstractNumId="25137">
    <w:lvl>
      <w:numFmt w:val="bullet"/>
      <w:suff w:val="tab"/>
      <w:lvlText w:val="￮"/>
      <w:rPr>
        <w:color w:val="3370ff"/>
      </w:rPr>
    </w:lvl>
  </w:abstractNum>
  <w:abstractNum w:abstractNumId="25138">
    <w:lvl>
      <w:numFmt w:val="bullet"/>
      <w:suff w:val="tab"/>
      <w:lvlText w:val="•"/>
      <w:rPr>
        <w:color w:val="3370ff"/>
      </w:rPr>
    </w:lvl>
  </w:abstractNum>
  <w:abstractNum w:abstractNumId="25139">
    <w:lvl>
      <w:numFmt w:val="bullet"/>
      <w:suff w:val="tab"/>
      <w:lvlText w:val="•"/>
      <w:rPr>
        <w:color w:val="3370ff"/>
      </w:rPr>
    </w:lvl>
  </w:abstractNum>
  <w:abstractNum w:abstractNumId="25140">
    <w:lvl>
      <w:numFmt w:val="bullet"/>
      <w:suff w:val="tab"/>
      <w:lvlText w:val="•"/>
      <w:rPr>
        <w:color w:val="3370ff"/>
      </w:rPr>
    </w:lvl>
  </w:abstractNum>
  <w:abstractNum w:abstractNumId="25141">
    <w:lvl>
      <w:numFmt w:val="bullet"/>
      <w:suff w:val="tab"/>
      <w:lvlText w:val="•"/>
      <w:rPr>
        <w:color w:val="3370ff"/>
      </w:rPr>
    </w:lvl>
  </w:abstractNum>
  <w:abstractNum w:abstractNumId="25142">
    <w:lvl>
      <w:numFmt w:val="bullet"/>
      <w:suff w:val="tab"/>
      <w:lvlText w:val="•"/>
      <w:rPr>
        <w:color w:val="3370ff"/>
      </w:rPr>
    </w:lvl>
  </w:abstractNum>
  <w:abstractNum w:abstractNumId="25143">
    <w:lvl>
      <w:numFmt w:val="bullet"/>
      <w:suff w:val="tab"/>
      <w:lvlText w:val="•"/>
      <w:rPr>
        <w:color w:val="3370ff"/>
      </w:rPr>
    </w:lvl>
  </w:abstractNum>
  <w:abstractNum w:abstractNumId="25144">
    <w:lvl>
      <w:numFmt w:val="bullet"/>
      <w:suff w:val="tab"/>
      <w:lvlText w:val="•"/>
      <w:rPr>
        <w:color w:val="3370ff"/>
      </w:rPr>
    </w:lvl>
  </w:abstractNum>
  <w:abstractNum w:abstractNumId="25145">
    <w:lvl>
      <w:numFmt w:val="bullet"/>
      <w:suff w:val="tab"/>
      <w:lvlText w:val="•"/>
      <w:rPr>
        <w:color w:val="3370ff"/>
      </w:rPr>
    </w:lvl>
  </w:abstractNum>
  <w:abstractNum w:abstractNumId="25146">
    <w:lvl>
      <w:numFmt w:val="bullet"/>
      <w:suff w:val="tab"/>
      <w:lvlText w:val="•"/>
      <w:rPr>
        <w:color w:val="3370ff"/>
      </w:rPr>
    </w:lvl>
  </w:abstractNum>
  <w:abstractNum w:abstractNumId="25147">
    <w:lvl>
      <w:numFmt w:val="bullet"/>
      <w:suff w:val="tab"/>
      <w:lvlText w:val="•"/>
      <w:rPr>
        <w:color w:val="3370ff"/>
      </w:rPr>
    </w:lvl>
  </w:abstractNum>
  <w:abstractNum w:abstractNumId="25148">
    <w:lvl>
      <w:numFmt w:val="bullet"/>
      <w:suff w:val="tab"/>
      <w:lvlText w:val="•"/>
      <w:rPr>
        <w:color w:val="3370ff"/>
      </w:rPr>
    </w:lvl>
  </w:abstractNum>
  <w:abstractNum w:abstractNumId="25149">
    <w:lvl>
      <w:numFmt w:val="bullet"/>
      <w:suff w:val="tab"/>
      <w:lvlText w:val="•"/>
      <w:rPr>
        <w:color w:val="3370ff"/>
      </w:rPr>
    </w:lvl>
  </w:abstractNum>
  <w:abstractNum w:abstractNumId="25150">
    <w:lvl>
      <w:numFmt w:val="bullet"/>
      <w:suff w:val="tab"/>
      <w:lvlText w:val="•"/>
      <w:rPr>
        <w:color w:val="3370ff"/>
      </w:rPr>
    </w:lvl>
  </w:abstractNum>
  <w:abstractNum w:abstractNumId="25151">
    <w:lvl>
      <w:numFmt w:val="bullet"/>
      <w:suff w:val="tab"/>
      <w:lvlText w:val="•"/>
      <w:rPr>
        <w:color w:val="3370ff"/>
      </w:rPr>
    </w:lvl>
  </w:abstractNum>
  <w:abstractNum w:abstractNumId="25152">
    <w:lvl>
      <w:numFmt w:val="bullet"/>
      <w:suff w:val="tab"/>
      <w:lvlText w:val="•"/>
      <w:rPr>
        <w:color w:val="3370ff"/>
      </w:rPr>
    </w:lvl>
  </w:abstractNum>
  <w:abstractNum w:abstractNumId="25153">
    <w:lvl>
      <w:numFmt w:val="bullet"/>
      <w:suff w:val="tab"/>
      <w:lvlText w:val="•"/>
      <w:rPr>
        <w:color w:val="3370ff"/>
      </w:rPr>
    </w:lvl>
  </w:abstractNum>
  <w:abstractNum w:abstractNumId="25154">
    <w:lvl>
      <w:numFmt w:val="bullet"/>
      <w:suff w:val="tab"/>
      <w:lvlText w:val="•"/>
      <w:rPr>
        <w:color w:val="3370ff"/>
      </w:rPr>
    </w:lvl>
  </w:abstractNum>
  <w:abstractNum w:abstractNumId="25155">
    <w:lvl>
      <w:numFmt w:val="bullet"/>
      <w:suff w:val="tab"/>
      <w:lvlText w:val="•"/>
      <w:rPr>
        <w:color w:val="3370ff"/>
      </w:rPr>
    </w:lvl>
  </w:abstractNum>
  <w:abstractNum w:abstractNumId="25156">
    <w:lvl>
      <w:numFmt w:val="bullet"/>
      <w:suff w:val="tab"/>
      <w:lvlText w:val="•"/>
      <w:rPr>
        <w:color w:val="3370ff"/>
      </w:rPr>
    </w:lvl>
  </w:abstractNum>
  <w:abstractNum w:abstractNumId="25157">
    <w:lvl>
      <w:numFmt w:val="bullet"/>
      <w:suff w:val="tab"/>
      <w:lvlText w:val="•"/>
      <w:rPr>
        <w:color w:val="3370ff"/>
      </w:rPr>
    </w:lvl>
  </w:abstractNum>
  <w:abstractNum w:abstractNumId="25158">
    <w:lvl>
      <w:numFmt w:val="bullet"/>
      <w:suff w:val="tab"/>
      <w:lvlText w:val="•"/>
      <w:rPr>
        <w:color w:val="3370ff"/>
      </w:rPr>
    </w:lvl>
  </w:abstractNum>
  <w:abstractNum w:abstractNumId="25159">
    <w:lvl>
      <w:numFmt w:val="bullet"/>
      <w:suff w:val="tab"/>
      <w:lvlText w:val="•"/>
      <w:rPr>
        <w:color w:val="3370ff"/>
      </w:rPr>
    </w:lvl>
  </w:abstractNum>
  <w:abstractNum w:abstractNumId="25160">
    <w:lvl>
      <w:numFmt w:val="bullet"/>
      <w:suff w:val="tab"/>
      <w:lvlText w:val="•"/>
      <w:rPr>
        <w:color w:val="3370ff"/>
      </w:rPr>
    </w:lvl>
  </w:abstractNum>
  <w:abstractNum w:abstractNumId="25161">
    <w:lvl>
      <w:numFmt w:val="bullet"/>
      <w:suff w:val="tab"/>
      <w:lvlText w:val="•"/>
      <w:rPr>
        <w:color w:val="3370ff"/>
      </w:rPr>
    </w:lvl>
  </w:abstractNum>
  <w:num w:numId="1">
    <w:abstractNumId w:val="25127"/>
  </w:num>
  <w:num w:numId="2">
    <w:abstractNumId w:val="25128"/>
  </w:num>
  <w:num w:numId="3">
    <w:abstractNumId w:val="25129"/>
  </w:num>
  <w:num w:numId="4">
    <w:abstractNumId w:val="25130"/>
  </w:num>
  <w:num w:numId="5">
    <w:abstractNumId w:val="25131"/>
  </w:num>
  <w:num w:numId="6">
    <w:abstractNumId w:val="25132"/>
  </w:num>
  <w:num w:numId="7">
    <w:abstractNumId w:val="25133"/>
  </w:num>
  <w:num w:numId="8">
    <w:abstractNumId w:val="25134"/>
  </w:num>
  <w:num w:numId="9">
    <w:abstractNumId w:val="25135"/>
  </w:num>
  <w:num w:numId="10">
    <w:abstractNumId w:val="25136"/>
  </w:num>
  <w:num w:numId="11">
    <w:abstractNumId w:val="25137"/>
  </w:num>
  <w:num w:numId="12">
    <w:abstractNumId w:val="25138"/>
  </w:num>
  <w:num w:numId="13">
    <w:abstractNumId w:val="25139"/>
  </w:num>
  <w:num w:numId="14">
    <w:abstractNumId w:val="25140"/>
  </w:num>
  <w:num w:numId="15">
    <w:abstractNumId w:val="25141"/>
  </w:num>
  <w:num w:numId="16">
    <w:abstractNumId w:val="25142"/>
  </w:num>
  <w:num w:numId="17">
    <w:abstractNumId w:val="25143"/>
  </w:num>
  <w:num w:numId="18">
    <w:abstractNumId w:val="25144"/>
  </w:num>
  <w:num w:numId="19">
    <w:abstractNumId w:val="25145"/>
  </w:num>
  <w:num w:numId="20">
    <w:abstractNumId w:val="25146"/>
  </w:num>
  <w:num w:numId="21">
    <w:abstractNumId w:val="25147"/>
  </w:num>
  <w:num w:numId="22">
    <w:abstractNumId w:val="25148"/>
  </w:num>
  <w:num w:numId="23">
    <w:abstractNumId w:val="25149"/>
  </w:num>
  <w:num w:numId="24">
    <w:abstractNumId w:val="25150"/>
  </w:num>
  <w:num w:numId="25">
    <w:abstractNumId w:val="25151"/>
  </w:num>
  <w:num w:numId="26">
    <w:abstractNumId w:val="25152"/>
  </w:num>
  <w:num w:numId="27">
    <w:abstractNumId w:val="25153"/>
  </w:num>
  <w:num w:numId="28">
    <w:abstractNumId w:val="25154"/>
  </w:num>
  <w:num w:numId="29">
    <w:abstractNumId w:val="25155"/>
  </w:num>
  <w:num w:numId="30">
    <w:abstractNumId w:val="25156"/>
  </w:num>
  <w:num w:numId="31">
    <w:abstractNumId w:val="25157"/>
  </w:num>
  <w:num w:numId="32">
    <w:abstractNumId w:val="25158"/>
  </w:num>
  <w:num w:numId="33">
    <w:abstractNumId w:val="25159"/>
  </w:num>
  <w:num w:numId="34">
    <w:abstractNumId w:val="25160"/>
  </w:num>
  <w:num w:numId="35">
    <w:abstractNumId w:val="25161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3.jpeg" Type="http://schemas.openxmlformats.org/officeDocument/2006/relationships/image"/><Relationship Id="rId11" Target="media/image4.jpeg" Type="http://schemas.openxmlformats.org/officeDocument/2006/relationships/image"/><Relationship Id="rId12" Target="https://bytedance.larkoffice.com/docx/AuHVdS1wMor4rNx4c9hc7VfknVc#QRURdjsObsGSIMbsG17cTJSbnVh" TargetMode="External" Type="http://schemas.openxmlformats.org/officeDocument/2006/relationships/hyperlink"/><Relationship Id="rId13" Target="https://bytedance.larkoffice.com/docx/AuHVdS1wMor4rNx4c9hc7VfknVc" TargetMode="External" Type="http://schemas.openxmlformats.org/officeDocument/2006/relationships/hyperlink"/><Relationship Id="rId14" Target="media/image5.png" Type="http://schemas.openxmlformats.org/officeDocument/2006/relationships/image"/><Relationship Id="rId15" Target="https://bytedance.larkoffice.com/docx/Fr1pdLT7FoDWcVx0s6Icm0oOnKe#U1Iedg1DYsdvAqbgtd8cD5A6n4e" TargetMode="External" Type="http://schemas.openxmlformats.org/officeDocument/2006/relationships/hyperlink"/><Relationship Id="rId16" Target="https://bytedance.larkoffice.com/docx/Fr1pdLT7FoDWcVx0s6Icm0oOnKe" TargetMode="External" Type="http://schemas.openxmlformats.org/officeDocument/2006/relationships/hyperlink"/><Relationship Id="rId17" Target="media/image6.jpeg" Type="http://schemas.openxmlformats.org/officeDocument/2006/relationships/image"/><Relationship Id="rId18" Target="media/image7.jpeg" Type="http://schemas.openxmlformats.org/officeDocument/2006/relationships/image"/><Relationship Id="rId19" Target="media/image8.png" Type="http://schemas.openxmlformats.org/officeDocument/2006/relationships/image"/><Relationship Id="rId2" Target="styles.xml" Type="http://schemas.openxmlformats.org/officeDocument/2006/relationships/styles"/><Relationship Id="rId20" Target="https://bytedance.larkoffice.com/docx/Qw31dzgquoZQihxv53acSCAwncf#MFY6d8Ihpsry7JbGy4Qc7s82nyb" TargetMode="External" Type="http://schemas.openxmlformats.org/officeDocument/2006/relationships/hyperlink"/><Relationship Id="rId21" Target="https://bytedance.larkoffice.com/docx/Qw31dzgquoZQihxv53acSCAwncf" TargetMode="External" Type="http://schemas.openxmlformats.org/officeDocument/2006/relationships/hyperlink"/><Relationship Id="rId22" Target="https://bytedance.larkoffice.com/docx/KPEwd7w6momKulxieHkcFqrRnbh" TargetMode="External" Type="http://schemas.openxmlformats.org/officeDocument/2006/relationships/hyperlink"/><Relationship Id="rId23" Target="https://bytedance.larkoffice.com/docx/LGEYd9QpUoQYyOxpwlMc6LBknce" TargetMode="External" Type="http://schemas.openxmlformats.org/officeDocument/2006/relationships/hyperlink"/><Relationship Id="rId24" Target="header1.xml" Type="http://schemas.openxmlformats.org/officeDocument/2006/relationships/header"/><Relationship Id="rId3" Target="footer1.xml" Type="http://schemas.openxmlformats.org/officeDocument/2006/relationships/footer"/><Relationship Id="rId4" Target="https://game.open.douyin.com/" TargetMode="External" Type="http://schemas.openxmlformats.org/officeDocument/2006/relationships/hyperlink"/><Relationship Id="rId5" Target="numbering.xml" Type="http://schemas.openxmlformats.org/officeDocument/2006/relationships/numbering"/><Relationship Id="rId6" Target="https://code.byted.org/game-fe/game_open_platform" TargetMode="External" Type="http://schemas.openxmlformats.org/officeDocument/2006/relationships/hyperlink"/><Relationship Id="rId7" Target="https://code.byted.org/ife/webcast_game_open" TargetMode="External" Type="http://schemas.openxmlformats.org/officeDocument/2006/relationships/hyperlink"/><Relationship Id="rId8" Target="media/image1.jpeg" Type="http://schemas.openxmlformats.org/officeDocument/2006/relationships/image"/><Relationship Id="rId9" Target="media/image2.jpe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9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2025-04-02T03:02:45Z</dcterms:created>
  <dc:creator>Apache POI</dc:creator>
</cp:coreProperties>
</file>