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comments+xml" PartName="/word/comments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厂商大模型文案分析 One Page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 </w:t>
      </w:r>
      <w:commentRangeStart w:id="1"/>
      <w:commentRangeStart w:id="2"/>
      <w:r>
        <w:rPr>
          <w:rFonts w:eastAsia="等线" w:ascii="Arial" w:cs="Arial" w:hAnsi="Arial"/>
          <w:b w:val="true"/>
          <w:sz w:val="32"/>
        </w:rPr>
        <w:t>现状</w:t>
      </w:r>
      <w:commentRangeEnd w:id="1"/>
      <w:r>
        <w:commentReference w:id="1"/>
      </w:r>
      <w:commentRangeEnd w:id="2"/>
      <w:r>
        <w:commentReference w:id="2"/>
      </w:r>
      <w:bookmarkEnd w:id="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716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厂商文案质量方面：</w:t>
      </w:r>
      <w:r>
        <w:rPr>
          <w:rFonts w:eastAsia="等线" w:ascii="Arial" w:cs="Arial" w:hAnsi="Arial"/>
          <w:sz w:val="22"/>
        </w:rPr>
        <w:t>平台接口报错文案、驳回原因以及提示文案质量良莠不齐，其中还包含普通用户难以理解的名词和数据口径（黑话），这在一定程度上影响用户体验与操作理解。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设计成果方面</w:t>
      </w:r>
      <w:r>
        <w:rPr>
          <w:rFonts w:eastAsia="等线" w:ascii="Arial" w:cs="Arial" w:hAnsi="Arial"/>
          <w:sz w:val="22"/>
        </w:rPr>
        <w:t>：2024 年第三季度设计侧已产出</w:t>
      </w:r>
      <w:hyperlink r:id="rId7">
        <w:r>
          <w:rPr>
            <w:rFonts w:eastAsia="等线" w:ascii="Arial" w:cs="Arial" w:hAnsi="Arial"/>
            <w:color w:val="3370ff"/>
            <w:sz w:val="22"/>
          </w:rPr>
          <w:t xml:space="preserve">抖音游戏厂商平台-中文文案规范1.0 </w:t>
        </w:r>
      </w:hyperlink>
      <w:r>
        <w:rPr>
          <w:rFonts w:eastAsia="等线" w:ascii="Arial" w:cs="Arial" w:hAnsi="Arial"/>
          <w:sz w:val="22"/>
        </w:rPr>
        <w:t>，并提供了一套标准语料库，旨在规范平台文案，提升整体质量。</w:t>
      </w:r>
      <w:r>
        <w:rPr>
          <w:rFonts w:eastAsia="等线" w:ascii="Arial" w:cs="Arial" w:hAnsi="Arial"/>
          <w:b w:val="true"/>
          <w:sz w:val="22"/>
        </w:rPr>
        <w:t>但在推进落地问题方面存在以下问题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现状分析成本高</w:t>
      </w:r>
      <w:r>
        <w:rPr>
          <w:rFonts w:eastAsia="等线" w:ascii="Arial" w:cs="Arial" w:hAnsi="Arial"/>
          <w:sz w:val="22"/>
        </w:rPr>
        <w:t>：核心场景业务文案涉及范围广泛，仅依靠人工分析难以高效梳理当前平台文案质量现状，阻碍对整体文案情况的把控。</w:t>
      </w:r>
    </w:p>
    <w:p>
      <w:pPr>
        <w:numPr>
          <w:numId w:val="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研发修改效率低</w:t>
      </w:r>
      <w:r>
        <w:rPr>
          <w:rFonts w:eastAsia="等线" w:ascii="Arial" w:cs="Arial" w:hAnsi="Arial"/>
          <w:sz w:val="22"/>
        </w:rPr>
        <w:t>：文案基础建设不完善，当前平台文案全部在前端写死，修改替换工作量巨大且难以预估，更新优化效率低。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oncall数据：</w:t>
      </w:r>
      <w:r>
        <w:rPr>
          <w:rFonts w:eastAsia="等线" w:ascii="Arial" w:cs="Arial" w:hAnsi="Arial"/>
          <w:sz w:val="22"/>
        </w:rPr>
        <w:t>xxx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2. </w:t>
      </w:r>
      <w:commentRangeStart w:id="3"/>
      <w:commentRangeStart w:id="4"/>
      <w:r>
        <w:rPr>
          <w:rFonts w:eastAsia="等线" w:ascii="Arial" w:cs="Arial" w:hAnsi="Arial"/>
          <w:b w:val="true"/>
          <w:sz w:val="32"/>
        </w:rPr>
        <w:t>目标及策略</w:t>
      </w:r>
      <w:commentRangeEnd w:id="3"/>
      <w:r>
        <w:commentReference w:id="3"/>
      </w:r>
      <w:commentRangeEnd w:id="4"/>
      <w:r>
        <w:commentReference w:id="4"/>
      </w:r>
      <w:bookmarkEnd w:id="1"/>
    </w:p>
    <w:tbl>
      <w:tblPr>
        <w:tblW w:w="0" w:type="auto"/>
        <w:tblInd w:w="0" w:type="dxa"/>
        <w:tblBorders>
          <w:top w:val="single" w:color=""/>
          <w:left w:val="single" w:color=""/>
          <w:bottom w:val="single" w:color=""/>
          <w:right w:val="single" w:color=""/>
          <w:insideH w:val="single" w:color=""/>
          <w:insideV w:val="single" w:color="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efff0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推动厂商平台文案优化落地：</w:t>
            </w:r>
          </w:p>
          <w:p>
            <w:pPr>
              <w:numPr>
                <w:numId w:val="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整体文案分提升从xx-&gt;xx；</w:t>
            </w:r>
          </w:p>
          <w:p>
            <w:pPr>
              <w:numPr>
                <w:numId w:val="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文案不可读率降低至xxx%；</w:t>
            </w:r>
          </w:p>
          <w:p>
            <w:pPr>
              <w:numPr>
                <w:numId w:val="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相关oncall率下降xx</w:t>
            </w:r>
          </w:p>
        </w:tc>
      </w:tr>
    </w:tbl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针对文案标准的推进：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文案采集：</w:t>
      </w:r>
      <w:r>
        <w:rPr>
          <w:rFonts w:eastAsia="等线" w:ascii="Arial" w:cs="Arial" w:hAnsi="Arial"/>
          <w:sz w:val="22"/>
        </w:rPr>
        <w:t>通过采集厂商平台上高优场景的文案，进行分析。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智能化分析：</w:t>
      </w:r>
      <w:r>
        <w:rPr>
          <w:rFonts w:eastAsia="等线" w:ascii="Arial" w:cs="Arial" w:hAnsi="Arial"/>
          <w:sz w:val="22"/>
        </w:rPr>
        <w:t>文案分析以设计提供的文案标准，借助大模型能力进行智能化分析，抽象出各文案的评分，从而筛选梳理不可读文案。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针对平台文案质量：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数据清洗和监控：</w:t>
      </w:r>
      <w:r>
        <w:rPr>
          <w:rFonts w:eastAsia="等线" w:ascii="Arial" w:cs="Arial" w:hAnsi="Arial"/>
          <w:sz w:val="22"/>
        </w:rPr>
        <w:t>根据大模型输出的文案评分进行分类，可</w:t>
      </w:r>
      <w:r>
        <w:rPr>
          <w:rFonts w:eastAsia="等线" w:ascii="Arial" w:cs="Arial" w:hAnsi="Arial"/>
          <w:b w:val="true"/>
          <w:sz w:val="22"/>
        </w:rPr>
        <w:t>按照分数</w:t>
      </w:r>
      <w:r>
        <w:rPr>
          <w:rFonts w:eastAsia="等线" w:ascii="Arial" w:cs="Arial" w:hAnsi="Arial"/>
          <w:sz w:val="22"/>
        </w:rPr>
        <w:t>进行分档、可按照</w:t>
      </w:r>
      <w:r>
        <w:rPr>
          <w:rFonts w:eastAsia="等线" w:ascii="Arial" w:cs="Arial" w:hAnsi="Arial"/>
          <w:b w:val="true"/>
          <w:sz w:val="22"/>
        </w:rPr>
        <w:t>各维度、各模块</w:t>
      </w:r>
      <w:r>
        <w:rPr>
          <w:rFonts w:eastAsia="等线" w:ascii="Arial" w:cs="Arial" w:hAnsi="Arial"/>
          <w:sz w:val="22"/>
        </w:rPr>
        <w:t>进行分组，以可视化形式展现厂商平台文案质量情况及变化。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针对文案优化：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文案组件化</w:t>
      </w:r>
      <w:r>
        <w:rPr>
          <w:rFonts w:eastAsia="等线" w:ascii="Arial" w:cs="Arial" w:hAnsi="Arial"/>
          <w:sz w:val="22"/>
        </w:rPr>
        <w:t>：针对高频场景的文案，结合组件进行模版化</w:t>
      </w:r>
    </w:p>
    <w:p>
      <w:pPr>
        <w:numPr>
          <w:numId w:val="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业务名词表维护</w:t>
      </w:r>
      <w:r>
        <w:rPr>
          <w:rFonts w:eastAsia="等线" w:ascii="Arial" w:cs="Arial" w:hAnsi="Arial"/>
          <w:sz w:val="22"/>
        </w:rPr>
        <w:t>： 接入starling平台，对于业务名词、可复用文案进行统一维护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产品化文案词典工具：</w:t>
      </w:r>
      <w:r>
        <w:rPr>
          <w:rFonts w:eastAsia="等线" w:ascii="Arial" w:cs="Arial" w:hAnsi="Arial"/>
          <w:sz w:val="22"/>
        </w:rPr>
        <w:t>平台内对各类名词接入蚂蚁线词典能力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技术方案</w:t>
      </w:r>
      <w:bookmarkEnd w:id="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3.1 文案采集</w:t>
      </w:r>
      <w:bookmarkEnd w:id="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287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3.2 文案分析</w:t>
      </w:r>
      <w:bookmarkEnd w:id="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" w:id="5"/>
      <w:r>
        <w:rPr>
          <w:rFonts w:eastAsia="等线" w:ascii="Arial" w:cs="Arial" w:hAnsi="Arial"/>
          <w:b w:val="true"/>
          <w:sz w:val="28"/>
        </w:rPr>
        <w:t>3.2.1 大模型分析</w:t>
      </w:r>
      <w:bookmarkEnd w:id="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" w:id="6"/>
      <w:r>
        <w:rPr>
          <w:rFonts w:eastAsia="等线" w:ascii="Arial" w:cs="Arial" w:hAnsi="Arial"/>
          <w:b w:val="true"/>
          <w:sz w:val="28"/>
        </w:rPr>
        <w:t>3.2.2 文案分计算公式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</w:t>
      </w:r>
      <w:hyperlink r:id="rId10">
        <w:r>
          <w:rPr>
            <w:rFonts w:eastAsia="等线" w:ascii="Arial" w:cs="Arial" w:hAnsi="Arial"/>
            <w:color w:val="3370ff"/>
            <w:sz w:val="22"/>
          </w:rPr>
          <w:t xml:space="preserve">抖音游戏厂商平台-中文文案规范1.0 </w:t>
        </w:r>
      </w:hyperlink>
      <w:r>
        <w:rPr>
          <w:rFonts w:eastAsia="等线" w:ascii="Arial" w:cs="Arial" w:hAnsi="Arial"/>
          <w:sz w:val="22"/>
        </w:rPr>
        <w:t>，遵从总纲的标准下，从以下4个维度进行评分：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原则：简洁、清晰、平等、普适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贯彻 4 项原则，缓解用户对信息不对称导致的不信任感，提升用户理解成本。</w:t>
            </w:r>
          </w:p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8040"/>
            </w:tblGrid>
            <w:tr>
              <w:tc>
                <w:tcPr>
                  <w:tcW w:w="804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646a73"/>
                      <w:sz w:val="22"/>
                    </w:rPr>
                    <w:t>撰写文案时，站在用户角度想清楚：</w:t>
                  </w:r>
                </w:p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color w:val="245bdb"/>
                      <w:sz w:val="22"/>
                    </w:rPr>
                    <w:t>什么样的用户在阅读这段文案，他们需要明确知道什么信息？他们是否能读懂下一步该怎么做？</w:t>
                  </w:r>
                </w:p>
              </w:tc>
            </w:tr>
          </w:tbl>
          <w:p>
            <w:pPr>
              <w:jc w:val="left"/>
            </w:pPr>
          </w:p>
        </w:tc>
      </w:tr>
    </w:tbl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普适易懂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文本内容要易于理解；尽量不使用生僻词、技术术语、 业务术语和不常见的缩写；如果使用，应该通过补充说明解释其含义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b7edb1"/>
              </w:rPr>
              <w:t xml:space="preserve"> </w:t>
            </w:r>
            <w:r>
              <w:rPr>
                <w:rFonts w:eastAsia="等线" w:ascii="Arial" w:cs="Arial" w:hAnsi="Arial"/>
                <w:b w:val="true"/>
                <w:sz w:val="22"/>
                <w:shd w:fill="b7edb1"/>
              </w:rPr>
              <w:t>✅ 正确示范</w:t>
            </w:r>
            <w:r>
              <w:rPr>
                <w:rFonts w:eastAsia="等线" w:ascii="Arial" w:cs="Arial" w:hAnsi="Arial"/>
                <w:sz w:val="22"/>
                <w:shd w:fill="b7edb1"/>
              </w:rPr>
              <w:t xml:space="preserve">                                                                                                             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fbbfbc"/>
              </w:rPr>
              <w:t xml:space="preserve"> ❌  错误示范                                                                                                                       </w:t>
            </w:r>
          </w:p>
        </w:tc>
      </w:tr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为了避免审核不通过，请在游戏发布的7-15天前切换为下载状态并上传游戏包，并确保包名一致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请尽量在游戏发布时间的7-15天前切换为下载状态并上传游戏包，减少因审核不通过导致无法正常发布下载。请确保包名与后续所传包包名一致</w:t>
            </w:r>
          </w:p>
        </w:tc>
      </w:tr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阅读冗长的文案会消耗用户大量的精力，保证文案内容的完整性同时，采用精炼的语言。</w:t>
                  </w:r>
                </w:p>
              </w:tc>
            </w:tr>
          </w:tbl>
          <w:p/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冗长的文案、重复的用词。会让用户产生“这款产品很复杂”的印象。</w:t>
                  </w:r>
                </w:p>
              </w:tc>
            </w:tr>
          </w:tbl>
          <w:p/>
        </w:tc>
      </w:tr>
    </w:tbl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简单有效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文本需要表达一个明确完整的意思，并且避免冗余和重复的表述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b7edb1"/>
              </w:rPr>
              <w:t xml:space="preserve"> </w:t>
            </w:r>
            <w:r>
              <w:rPr>
                <w:rFonts w:eastAsia="等线" w:ascii="Arial" w:cs="Arial" w:hAnsi="Arial"/>
                <w:b w:val="true"/>
                <w:sz w:val="22"/>
                <w:shd w:fill="b7edb1"/>
              </w:rPr>
              <w:t>✅ 正确示范</w:t>
            </w:r>
            <w:r>
              <w:rPr>
                <w:rFonts w:eastAsia="等线" w:ascii="Arial" w:cs="Arial" w:hAnsi="Arial"/>
                <w:sz w:val="22"/>
                <w:shd w:fill="b7edb1"/>
              </w:rPr>
              <w:t xml:space="preserve">                                                                                                             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fbbfbc"/>
              </w:rPr>
              <w:t xml:space="preserve"> ❌  错误示范                                                                                                                       </w:t>
            </w:r>
          </w:p>
        </w:tc>
      </w:tr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请输入至少包含字母、数字、符号 2 种组合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不能输入特殊字符！</w:t>
            </w:r>
          </w:p>
        </w:tc>
      </w:tr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避免不够完整的表达，给予具体原因，帮助/引导用户快速决策。</w:t>
                  </w:r>
                </w:p>
              </w:tc>
            </w:tr>
          </w:tbl>
          <w:p/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描述内容过“简”，内容完整性缺失，用户无法清晰理解。</w:t>
                  </w:r>
                </w:p>
              </w:tc>
            </w:tr>
          </w:tbl>
          <w:p/>
        </w:tc>
      </w:tr>
    </w:tbl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表述一致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每个条目的结构和表述方式是大体一致的；整个文本中，对同一概念的指代用词是一致的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b7edb1"/>
              </w:rPr>
              <w:t xml:space="preserve"> </w:t>
            </w:r>
            <w:r>
              <w:rPr>
                <w:rFonts w:eastAsia="等线" w:ascii="Arial" w:cs="Arial" w:hAnsi="Arial"/>
                <w:b w:val="true"/>
                <w:sz w:val="22"/>
                <w:shd w:fill="b7edb1"/>
              </w:rPr>
              <w:t>✅ 正确示范</w:t>
            </w:r>
            <w:r>
              <w:rPr>
                <w:rFonts w:eastAsia="等线" w:ascii="Arial" w:cs="Arial" w:hAnsi="Arial"/>
                <w:sz w:val="22"/>
                <w:shd w:fill="b7edb1"/>
              </w:rPr>
              <w:t xml:space="preserve">                                                                                                             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fbbfbc"/>
              </w:rPr>
              <w:t xml:space="preserve"> ❌  错误示范                                                                                                                       </w:t>
            </w:r>
          </w:p>
        </w:tc>
      </w:tr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创作者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主播、作者、达人</w:t>
            </w:r>
          </w:p>
        </w:tc>
      </w:tr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统一称谓，不在同场景中混用人称</w:t>
                  </w:r>
                </w:p>
              </w:tc>
            </w:tr>
          </w:tbl>
          <w:p/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“主播、作者、达人”同角色不同称谓，表述不一致</w:t>
                  </w:r>
                </w:p>
              </w:tc>
            </w:tr>
          </w:tbl>
          <w:p/>
        </w:tc>
      </w:tr>
    </w:tbl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积极严谨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没有错别字和语法错误，标点符号使用规范；主体内容使用中文；避免使用过于随意和口语化的表达方式；情绪正向、友善；数值格式要满足相应要求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b7edb1"/>
              </w:rPr>
              <w:t xml:space="preserve"> </w:t>
            </w:r>
            <w:r>
              <w:rPr>
                <w:rFonts w:eastAsia="等线" w:ascii="Arial" w:cs="Arial" w:hAnsi="Arial"/>
                <w:b w:val="true"/>
                <w:sz w:val="22"/>
                <w:shd w:fill="b7edb1"/>
              </w:rPr>
              <w:t>✅ 正确示范</w:t>
            </w:r>
            <w:r>
              <w:rPr>
                <w:rFonts w:eastAsia="等线" w:ascii="Arial" w:cs="Arial" w:hAnsi="Arial"/>
                <w:sz w:val="22"/>
                <w:shd w:fill="b7edb1"/>
              </w:rPr>
              <w:t xml:space="preserve">                                                                                                             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fbbfbc"/>
              </w:rPr>
              <w:t xml:space="preserve"> ❌  错误示范                                                                                                                       </w:t>
            </w:r>
          </w:p>
        </w:tc>
      </w:tr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请上传头像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必须上传头像！</w:t>
            </w:r>
          </w:p>
        </w:tc>
      </w:tr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避免强迫用户、责怪用户的语气。</w:t>
                  </w:r>
                </w:p>
              </w:tc>
            </w:tr>
          </w:tbl>
          <w:p/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使用极端、苛责的语气，会让用户产生出"浮躁、冰冷"的印象。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各维度打分结束后，根据以下公式进行总分计算：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计算公式</w:t>
            </w:r>
          </w:p>
        </w:tc>
      </w:tr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文案分数是通过</w:t>
            </w:r>
            <w:r>
              <w:rPr>
                <w:rFonts w:eastAsia="等线" w:ascii="Arial" w:cs="Arial" w:hAnsi="Arial"/>
                <w:b w:val="true"/>
                <w:sz w:val="22"/>
              </w:rPr>
              <w:t>各个维度的评分做加权平均</w:t>
            </w:r>
            <w:r>
              <w:rPr>
                <w:rFonts w:eastAsia="等线" w:ascii="Arial" w:cs="Arial" w:hAnsi="Arial"/>
                <w:sz w:val="22"/>
              </w:rPr>
              <w:t>，最后映射到 100 分得到最终得分，具体公式如下：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</w:r>
            <m:oMath xmlns:m="http://schemas.openxmlformats.org/officeDocument/2006/math" xmlns:mml="http://www.w3.org/1998/Math/MathML">
              <m:r>
                <w:rPr>
                  <w:rFonts w:ascii="Cambria Math" w:hAnsi="Cambria Math"/>
                </w:rPr>
                <m:t>单条文案分数=</m:t>
              </m:r>
              <m:f>
                <m:fPr>
                  <m:type m:val="bar"/>
                </m:fPr>
                <m:num>
                  <m:nary>
                    <m:naryPr>
                      <m:chr m:val="∑"/>
                      <m:limLoc m:val="subSup"/>
                      <m:grow m:val="1"/>
                      <m:subHide m:val="off"/>
                      <m:supHide m:val="off"/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/>
                  </m:nary>
                  <m:r>
                    <w:rPr>
                      <w:rFonts w:ascii="Cambria Math" w:hAnsi="Cambria Math"/>
                    </w:rPr>
                    <m:t>维度i权重×</m:t>
                  </m:r>
                  <m:r>
                    <w:rPr>
                      <w:rFonts w:ascii="Cambria Math" w:hAnsi="Cambria Math"/>
                    </w:rPr>
                    <m:t>(100×维度i得分/维度i最高分）</m:t>
                  </m:r>
                </m:num>
                <m:den>
                  <m:nary>
                    <m:naryPr>
                      <m:chr m:val="∑"/>
                      <m:limLoc m:val="subSup"/>
                      <m:grow m:val="1"/>
                      <m:subHide m:val="off"/>
                      <m:supHide m:val="off"/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/>
                  </m:nary>
                  <m:r>
                    <w:rPr>
                      <w:rFonts w:ascii="Cambria Math" w:hAnsi="Cambria Math"/>
                    </w:rPr>
                    <m:t>维度i权重</m:t>
                  </m:r>
                </m:den>
              </m:f>
            </m:oMath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目前各个维度的最高分都是 2 分，权重均为 1，每个维度的评分标准为：</w:t>
            </w:r>
          </w:p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 分：文本质量 完全符合 打分标准</w:t>
            </w:r>
          </w:p>
          <w:p>
            <w:pPr>
              <w:numPr>
                <w:numId w:val="2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 分：文本质量 大致符合 打分标准, 但有明显不足</w:t>
            </w:r>
          </w:p>
          <w:p>
            <w:pPr>
              <w:numPr>
                <w:numId w:val="2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 分：文本质量 完全不符合 打分标准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按目前的维度和权重配置，最终可能的得分情况如下：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110"/>
        <w:gridCol w:w="1725"/>
        <w:gridCol w:w="5460"/>
      </w:tblGrid>
      <w:tr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总得分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百分制得分</w:t>
            </w:r>
          </w:p>
        </w:tc>
        <w:tc>
          <w:tcPr>
            <w:tcW w:w="5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维度得分情况</w:t>
            </w:r>
          </w:p>
        </w:tc>
      </w:tr>
      <w:tr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5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0分 x 4</w:t>
            </w:r>
          </w:p>
        </w:tc>
      </w:tr>
      <w:tr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12.5</w:t>
            </w:r>
          </w:p>
        </w:tc>
        <w:tc>
          <w:tcPr>
            <w:tcW w:w="5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0分 x 3， 1分 x 1</w:t>
            </w:r>
          </w:p>
        </w:tc>
      </w:tr>
      <w:tr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25</w:t>
            </w:r>
          </w:p>
        </w:tc>
        <w:tc>
          <w:tcPr>
            <w:tcW w:w="5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0分 x 3，2分 x 1</w:t>
            </w:r>
          </w:p>
          <w:p>
            <w:pPr>
              <w:numPr>
                <w:numId w:val="2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0分 x 2，1分 x 2</w:t>
            </w:r>
          </w:p>
        </w:tc>
      </w:tr>
      <w:tr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37.5</w:t>
            </w:r>
          </w:p>
        </w:tc>
        <w:tc>
          <w:tcPr>
            <w:tcW w:w="5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0分 x 2，1分 x 1，2分 x 1</w:t>
            </w:r>
          </w:p>
          <w:p>
            <w:pPr>
              <w:numPr>
                <w:numId w:val="3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0分 x 1，1分 x 3</w:t>
            </w:r>
          </w:p>
        </w:tc>
      </w:tr>
      <w:tr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50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0分 x 2，2分 x 2</w:t>
            </w:r>
          </w:p>
          <w:p>
            <w:pPr>
              <w:numPr>
                <w:numId w:val="3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0分 x 1，1分 x 2，2分 x 1</w:t>
            </w:r>
          </w:p>
          <w:p>
            <w:pPr>
              <w:numPr>
                <w:numId w:val="3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1分 x 4</w:t>
            </w:r>
          </w:p>
        </w:tc>
      </w:tr>
      <w:tr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62.5</w:t>
            </w:r>
          </w:p>
        </w:tc>
        <w:tc>
          <w:tcPr>
            <w:tcW w:w="5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0分 x 1，1分 x 1，2分 x 2</w:t>
            </w:r>
          </w:p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1分 x 3，2分 x 1</w:t>
            </w:r>
          </w:p>
        </w:tc>
      </w:tr>
      <w:tr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6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75</w:t>
            </w:r>
          </w:p>
        </w:tc>
        <w:tc>
          <w:tcPr>
            <w:tcW w:w="5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0分 x 1，2分 x 3</w:t>
            </w:r>
          </w:p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1分 x 2，2分 x 2</w:t>
            </w:r>
          </w:p>
        </w:tc>
      </w:tr>
      <w:tr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7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87.5</w:t>
            </w:r>
          </w:p>
        </w:tc>
        <w:tc>
          <w:tcPr>
            <w:tcW w:w="5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1分 x 1，2分 x 3</w:t>
            </w:r>
          </w:p>
        </w:tc>
      </w:tr>
      <w:tr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8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</w:t>
            </w:r>
          </w:p>
        </w:tc>
        <w:tc>
          <w:tcPr>
            <w:tcW w:w="5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2分 x 4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对最终分数进行几档，会设定对应的权重，便于区分各个文案的严重程度和治理的优先级：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890"/>
        <w:gridCol w:w="3585"/>
        <w:gridCol w:w="2820"/>
      </w:tblGrid>
      <w:tr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分数档位</w:t>
            </w:r>
          </w:p>
        </w:tc>
        <w:tc>
          <w:tcPr>
            <w:tcW w:w="35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档位说明</w:t>
            </w:r>
          </w:p>
        </w:tc>
        <w:tc>
          <w:tcPr>
            <w:tcW w:w="28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权重</w:t>
            </w:r>
          </w:p>
        </w:tc>
      </w:tr>
      <w:tr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 ≤ x  &lt;= 70</w:t>
            </w:r>
          </w:p>
        </w:tc>
        <w:tc>
          <w:tcPr>
            <w:tcW w:w="35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急需治理，完全看不懂</w:t>
            </w:r>
            <w:r>
              <w:rPr>
                <w:rFonts w:eastAsia="等线" w:ascii="Arial" w:cs="Arial" w:hAnsi="Arial"/>
                <w:sz w:val="22"/>
                <w:shd w:fill="fff67a"/>
              </w:rPr>
              <w:t>（不可读文案）</w:t>
            </w:r>
          </w:p>
        </w:tc>
        <w:tc>
          <w:tcPr>
            <w:tcW w:w="28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</w:t>
            </w:r>
          </w:p>
        </w:tc>
      </w:tr>
      <w:tr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70 ≤ x  &lt; 90</w:t>
            </w:r>
          </w:p>
        </w:tc>
        <w:tc>
          <w:tcPr>
            <w:tcW w:w="35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能看懂，但很难理解</w:t>
            </w:r>
          </w:p>
        </w:tc>
        <w:tc>
          <w:tcPr>
            <w:tcW w:w="28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</w:t>
            </w:r>
          </w:p>
        </w:tc>
      </w:tr>
      <w:tr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90 ≤ x &lt; 100</w:t>
            </w:r>
          </w:p>
        </w:tc>
        <w:tc>
          <w:tcPr>
            <w:tcW w:w="35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能大致理解，但局部存在问题</w:t>
            </w:r>
          </w:p>
        </w:tc>
        <w:tc>
          <w:tcPr>
            <w:tcW w:w="28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</w:tr>
      <w:tr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</w:t>
            </w:r>
          </w:p>
        </w:tc>
        <w:tc>
          <w:tcPr>
            <w:tcW w:w="35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文案没有任何问题</w:t>
            </w:r>
          </w:p>
        </w:tc>
        <w:tc>
          <w:tcPr>
            <w:tcW w:w="28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页面文案分数根据页面所有文案的分数档位、展示次数做加权平均：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690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69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计算公式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模块文案分数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69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页面所有文案按</w:t>
            </w:r>
            <w:r>
              <w:rPr>
                <w:rFonts w:eastAsia="等线" w:ascii="Arial" w:cs="Arial" w:hAnsi="Arial"/>
                <w:b w:val="true"/>
                <w:sz w:val="22"/>
              </w:rPr>
              <w:t>分数档位权重</w:t>
            </w:r>
            <w:r>
              <w:rPr>
                <w:rFonts w:eastAsia="等线" w:ascii="Arial" w:cs="Arial" w:hAnsi="Arial"/>
                <w:sz w:val="22"/>
              </w:rPr>
              <w:t>和</w:t>
            </w:r>
            <w:r>
              <w:rPr>
                <w:rFonts w:eastAsia="等线" w:ascii="Arial" w:cs="Arial" w:hAnsi="Arial"/>
                <w:b w:val="true"/>
                <w:sz w:val="22"/>
              </w:rPr>
              <w:t>展示次数</w:t>
            </w:r>
            <w:r>
              <w:rPr>
                <w:rFonts w:eastAsia="等线" w:ascii="Arial" w:cs="Arial" w:hAnsi="Arial"/>
                <w:sz w:val="22"/>
              </w:rPr>
              <w:t>加权平均：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</w:r>
            <m:oMath xmlns:m="http://schemas.openxmlformats.org/officeDocument/2006/math" xmlns:mml="http://www.w3.org/1998/Math/MathML">
              <m:r>
                <w:rPr>
                  <w:rFonts w:ascii="Cambria Math" w:hAnsi="Cambria Math"/>
                </w:rPr>
                <m:t>模块文案分数=</m:t>
              </m:r>
              <m:f>
                <m:fPr>
                  <m:type m:val="bar"/>
                </m:fPr>
                <m:num>
                  <m:nary>
                    <m:naryPr>
                      <m:chr m:val="∑"/>
                      <m:limLoc m:val="subSup"/>
                      <m:grow m:val="1"/>
                      <m:subHide m:val="off"/>
                      <m:supHide m:val="off"/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(文案i档位权重×文案i分数×文案i展示次数）</m:t>
                      </m:r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grow m:val="1"/>
                      <m:subHide m:val="off"/>
                      <m:supHide m:val="off"/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/>
                  </m:nary>
                  <m:r>
                    <w:rPr>
                      <w:rFonts w:ascii="Cambria Math" w:hAnsi="Cambria Math"/>
                    </w:rPr>
                    <m:t>文案i档位权重×文案i展示次数</m:t>
                  </m:r>
                </m:den>
              </m:f>
            </m:oMath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平台文案分数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69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平台文案分数由所有模块文案分数根据模块权重加权平均：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</w:r>
            <m:oMath xmlns:m="http://schemas.openxmlformats.org/officeDocument/2006/math" xmlns:mml="http://www.w3.org/1998/Math/MathML">
              <m:r>
                <w:rPr>
                  <w:rFonts w:ascii="Cambria Math" w:hAnsi="Cambria Math"/>
                </w:rPr>
                <m:t>平台文案分数=</m:t>
              </m:r>
              <m:f>
                <m:fPr>
                  <m:type m:val="bar"/>
                </m:fPr>
                <m:num>
                  <m:nary>
                    <m:naryPr>
                      <m:chr m:val="∑"/>
                      <m:limLoc m:val="subSup"/>
                      <m:grow m:val="1"/>
                      <m:subHide m:val="off"/>
                      <m:supHide m:val="off"/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(模块i权重×模块i文案分数）</m:t>
                      </m:r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grow m:val="1"/>
                      <m:subHide m:val="off"/>
                      <m:supHide m:val="off"/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/>
                  </m:nary>
                  <m:r>
                    <w:rPr>
                      <w:rFonts w:ascii="Cambria Math" w:hAnsi="Cambria Math"/>
                    </w:rPr>
                    <m:t>模块i权重</m:t>
                  </m:r>
                </m:den>
              </m:f>
            </m:oMath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模块权重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【A级】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sdk_access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创作者活动管理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用户活动管理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财务管理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开发者服务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内容授权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全渠合作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数据中心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数据中心V2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游戏管理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游戏详情页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账户中心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【B级】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福利礼包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新游测试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渠道分账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道具售卖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游戏抖音号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游戏首页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主体变更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【C级】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Dou+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互动指令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福利宣传治理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学习中心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" w:id="7"/>
      <w:r>
        <w:rPr>
          <w:rFonts w:eastAsia="等线" w:ascii="Arial" w:cs="Arial" w:hAnsi="Arial"/>
          <w:b w:val="true"/>
          <w:sz w:val="28"/>
        </w:rPr>
        <w:t>3.2.3 数据统计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目前只统计了</w:t>
      </w:r>
      <w:r>
        <w:rPr>
          <w:rFonts w:eastAsia="等线" w:ascii="Arial" w:cs="Arial" w:hAnsi="Arial"/>
          <w:b w:val="true"/>
          <w:sz w:val="22"/>
          <w:shd w:fill="fff67a"/>
        </w:rPr>
        <w:t xml:space="preserve"> tcs拒审原因、Banner、Form validate、Toast 和 请求报错 </w:t>
      </w:r>
      <w:r>
        <w:rPr>
          <w:rFonts w:eastAsia="等线" w:ascii="Arial" w:cs="Arial" w:hAnsi="Arial"/>
          <w:b w:val="true"/>
          <w:sz w:val="22"/>
        </w:rPr>
        <w:t xml:space="preserve"> </w:t>
      </w:r>
      <w:r>
        <w:rPr>
          <w:rFonts w:eastAsia="等线" w:ascii="Arial" w:cs="Arial" w:hAnsi="Arial"/>
          <w:sz w:val="22"/>
        </w:rPr>
        <w:t>的文案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859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测试demo：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[This type of content is unavailable for download at the moment.]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" w:id="8"/>
      <w:r>
        <w:rPr>
          <w:rFonts w:eastAsia="等线" w:ascii="Arial" w:cs="Arial" w:hAnsi="Arial"/>
          <w:b w:val="true"/>
          <w:sz w:val="28"/>
        </w:rPr>
        <w:t>3.2.4 数据监控与指标</w:t>
      </w:r>
      <w:bookmarkEnd w:id="8"/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ff67a"/>
        </w:rPr>
        <w:t>整体文案分：厂商平台所有文案平均分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ff67a"/>
        </w:rPr>
        <w:t>文案不可读率：分数低于30的文案数量占比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文案类oncall占比：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3.3 文案优化</w:t>
      </w:r>
      <w:bookmarkEnd w:id="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" w:id="10"/>
      <w:r>
        <w:rPr>
          <w:rFonts w:eastAsia="等线" w:ascii="Arial" w:cs="Arial" w:hAnsi="Arial"/>
          <w:b w:val="true"/>
          <w:sz w:val="28"/>
        </w:rPr>
        <w:t>3.3.1 字典解释方案</w:t>
      </w:r>
      <w:bookmarkEnd w:id="10"/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固定数据格式，可以存在TCC中，如：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  "text": "创作者",</w:t>
              <w:br/>
              <w:t xml:space="preserve">    "description": "创作者是指xxxxx",</w:t>
              <w:br/>
              <w:t xml:space="preserve">    "img": "https://xxxxxxx"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客户端提供统一组件进行展示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" w:id="11"/>
      <w:r>
        <w:rPr>
          <w:rFonts w:eastAsia="等线" w:ascii="Arial" w:cs="Arial" w:hAnsi="Arial"/>
          <w:b w:val="true"/>
          <w:sz w:val="28"/>
        </w:rPr>
        <w:t>3.3.2 文案组件化</w:t>
      </w:r>
      <w:bookmarkEnd w:id="11"/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" w:id="12"/>
      <w:r>
        <w:rPr>
          <w:rFonts w:eastAsia="等线" w:ascii="Arial" w:cs="Arial" w:hAnsi="Arial"/>
          <w:b w:val="true"/>
          <w:sz w:val="28"/>
        </w:rPr>
        <w:t>3.3.3 Starling平台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前端做规范</w:t>
      </w:r>
    </w:p>
    <w:tbl>
      <w:tblPr>
        <w:tblW w:w="0" w:type="auto"/>
        <w:tblInd w:w="0" w:type="dxa"/>
        <w:tblBorders>
          <w:top w:val="single" w:color="7099F7"/>
          <w:left w:val="single" w:color="7099F7"/>
          <w:bottom w:val="single" w:color="7099F7"/>
          <w:right w:val="single" w:color="7099F7"/>
          <w:insideH w:val="single" w:color="7099F7"/>
          <w:insideV w:val="single" w:color="7099F7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105400" cy="971550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color w:val="3370ff"/>
          <w:sz w:val="32"/>
        </w:rPr>
        <w:t xml:space="preserve">4. </w:t>
      </w:r>
      <w:r>
        <w:rPr>
          <w:rFonts w:eastAsia="等线" w:ascii="Arial" w:cs="Arial" w:hAnsi="Arial"/>
          <w:b w:val="true"/>
          <w:sz w:val="32"/>
        </w:rPr>
        <w:t>进展 &amp; 规划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Q1规划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trike w:val="true"/>
          <w:color w:val="646a73"/>
          <w:sz w:val="22"/>
        </w:rPr>
        <w:t>完成厂商平台文案收集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trike w:val="true"/>
          <w:color w:val="646a73"/>
          <w:sz w:val="22"/>
        </w:rPr>
        <w:t>指标完善：完成以不同模块、页面维度的数据统计、确立</w:t>
      </w:r>
      <w:r>
        <w:rPr>
          <w:rFonts w:eastAsia="等线" w:ascii="Arial" w:cs="Arial" w:hAnsi="Arial"/>
          <w:b w:val="true"/>
          <w:strike w:val="true"/>
          <w:color w:val="646a73"/>
          <w:sz w:val="22"/>
        </w:rPr>
        <w:t>整体平台分</w:t>
      </w:r>
      <w:r>
        <w:rPr>
          <w:rFonts w:eastAsia="等线" w:ascii="Arial" w:cs="Arial" w:hAnsi="Arial"/>
          <w:strike w:val="true"/>
          <w:color w:val="646a73"/>
          <w:sz w:val="22"/>
        </w:rPr>
        <w:t>和</w:t>
      </w:r>
      <w:r>
        <w:rPr>
          <w:rFonts w:eastAsia="等线" w:ascii="Arial" w:cs="Arial" w:hAnsi="Arial"/>
          <w:b w:val="true"/>
          <w:strike w:val="true"/>
          <w:color w:val="646a73"/>
          <w:sz w:val="22"/>
        </w:rPr>
        <w:t>不可读文案率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trike w:val="true"/>
          <w:color w:val="646a73"/>
          <w:sz w:val="22"/>
        </w:rPr>
        <w:t>梳理出第一版待优化文案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Q2规划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文案优化：</w:t>
      </w:r>
      <w:r>
        <w:rPr>
          <w:rFonts w:eastAsia="等线" w:ascii="Arial" w:cs="Arial" w:hAnsi="Arial"/>
          <w:sz w:val="22"/>
        </w:rPr>
        <w:t>持续优化不可读文案：</w:t>
      </w:r>
    </w:p>
    <w:p>
      <w:pPr>
        <w:numPr>
          <w:numId w:val="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优化q1梳理出的不可读文案 </w:t>
      </w:r>
      <w:hyperlink r:id="rId13">
        <w:r>
          <w:rPr>
            <w:rFonts w:eastAsia="等线" w:ascii="Arial" w:cs="Arial" w:hAnsi="Arial"/>
            <w:color w:val="3370ff"/>
            <w:sz w:val="22"/>
          </w:rPr>
          <w:t>厂商平台文案评估机器人-统计平台</w:t>
        </w:r>
      </w:hyperlink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推进server优化存量接口报错文案</w:t>
      </w:r>
      <w:hyperlink r:id="rId14">
        <w:r>
          <w:rPr>
            <w:rFonts w:eastAsia="等线" w:ascii="Arial" w:cs="Arial" w:hAnsi="Arial"/>
            <w:color w:val="3370ff"/>
            <w:sz w:val="22"/>
          </w:rPr>
          <w:t>厂商平台文案评估机器人-统计平台</w:t>
        </w:r>
      </w:hyperlink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联合客服侧收集并优化文案向oncall（持续更新：</w:t>
      </w:r>
      <w:hyperlink r:id="rId15">
        <w:r>
          <w:rPr>
            <w:rFonts w:eastAsia="等线" w:ascii="Arial" w:cs="Arial" w:hAnsi="Arial"/>
            <w:color w:val="3370ff"/>
            <w:sz w:val="22"/>
          </w:rPr>
          <w:t>客服侧梳理-游戏厂商-前端文案负反馈整理</w:t>
        </w:r>
      </w:hyperlink>
      <w:r>
        <w:rPr>
          <w:rFonts w:eastAsia="等线" w:ascii="Arial" w:cs="Arial" w:hAnsi="Arial"/>
          <w:sz w:val="22"/>
        </w:rPr>
        <w:t>）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平台体验：</w:t>
      </w:r>
    </w:p>
    <w:p>
      <w:pPr>
        <w:numPr>
          <w:numId w:val="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配合产品设计上线 </w:t>
      </w:r>
      <w:r>
        <w:rPr>
          <w:rFonts w:eastAsia="等线" w:ascii="Arial" w:cs="Arial" w:hAnsi="Arial"/>
          <w:sz w:val="22"/>
        </w:rPr>
        <w:t>蚂蚁线功能</w:t>
      </w:r>
    </w:p>
    <w:p>
      <w:pPr>
        <w:numPr>
          <w:numId w:val="5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文案组件化：</w:t>
      </w:r>
    </w:p>
    <w:p>
      <w:pPr>
        <w:numPr>
          <w:numId w:val="5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规范化特定场景的文案</w:t>
      </w:r>
      <w:r>
        <w:rPr>
          <w:rFonts w:eastAsia="等线" w:ascii="Arial" w:cs="Arial" w:hAnsi="Arial"/>
          <w:sz w:val="22"/>
        </w:rPr>
        <w:t>，统一管理（包含错误码、异常提示、蚂蚁线）</w:t>
      </w:r>
    </w:p>
    <w:tbl>
      <w:tblPr>
        <w:tblW w:w="0" w:type="auto"/>
        <w:tblInd w:w="453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7827"/>
      </w:tblGrid>
      <w:tr>
        <w:tc>
          <w:tcPr>
            <w:tcW w:w="7827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如何实现增量需求的文案组件化规范，能够减少错误率和开发成本。</w:t>
            </w:r>
          </w:p>
        </w:tc>
      </w:tr>
    </w:tbl>
    <w:p/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570"/>
        <w:gridCol w:w="1095"/>
        <w:gridCol w:w="2280"/>
        <w:gridCol w:w="3885"/>
      </w:tblGrid>
      <w:tr>
        <w:tc>
          <w:tcPr>
            <w:tcW w:w="175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场景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规范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例句</w:t>
            </w:r>
          </w:p>
        </w:tc>
      </w:tr>
      <w:tr>
        <w:tc>
          <w:tcPr>
            <w:tcW w:w="60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引导 / 提示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表单类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占位文案：</w:t>
            </w:r>
          </w:p>
          <w:p>
            <w:pPr>
              <w:numPr>
                <w:numId w:val="5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输入 xxx</w:t>
            </w:r>
          </w:p>
          <w:p>
            <w:pPr>
              <w:numPr>
                <w:numId w:val="5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选择 xxx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默认占位文案：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57450" cy="781050"/>
                  <wp:docPr id="5" name="Drawing 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占位文案带有规则时，不再重复默认占位文案：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57450" cy="571500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格式限制类：</w:t>
            </w:r>
          </w:p>
          <w:p>
            <w:pPr>
              <w:numPr>
                <w:numId w:val="5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上传 xxx，支持上传 xxx 格式，大小xxx 以内，数量 xxx 以内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上传游戏内包含实名注册功能的截图，支持上传 JPG、PNG、BPM 和 TIFF格式，单张大小 5M 以内，数量 5 张以内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57450" cy="666750"/>
                  <wp:docPr id="7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全局类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eastAsia="等线" w:ascii="Arial" w:cs="Arial" w:hAnsi="Arial"/>
                <w:sz w:val="22"/>
              </w:rPr>
              <w:t>陈述事实+ 引导操作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已自动识别图片并填入信息，建议检查确认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57450" cy="514350"/>
                  <wp:docPr id="8" name="Drawing 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空状态</w:t>
            </w:r>
          </w:p>
        </w:tc>
        <w:tc>
          <w:tcPr>
            <w:tcW w:w="11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--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新功能、新用户类：</w:t>
            </w:r>
          </w:p>
          <w:p>
            <w:pPr>
              <w:numPr>
                <w:numId w:val="5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暂无xxx + 引导说明 + 行动点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495425" cy="2305050"/>
                  <wp:docPr id="9" name="Drawing 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无权限类：</w:t>
            </w:r>
          </w:p>
          <w:p>
            <w:pPr>
              <w:numPr>
                <w:numId w:val="6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无权限查看 xxx，可联系管理员申请权限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81150" cy="2286000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搜索无结果：</w:t>
            </w:r>
          </w:p>
          <w:p>
            <w:pPr>
              <w:numPr>
                <w:numId w:val="6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没有查找到相关结果，请重新输入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828800" cy="2266950"/>
                  <wp:docPr id="11" name="Drawing 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404：</w:t>
            </w:r>
          </w:p>
          <w:p>
            <w:pPr>
              <w:numPr>
                <w:numId w:val="6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访问的页面不存在，请检查网址再次访问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181225" cy="2257425"/>
                  <wp:docPr id="12" name="Drawing 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报错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表单报错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不使用「请」、不使用否定语气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xxx 为必填项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xxx + 须 + “规则”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抖音号 ID 为必填项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57450" cy="676275"/>
                  <wp:docPr id="13" name="Drawing 1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密码须包含至少一个数字和一个字母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57450" cy="676275"/>
                  <wp:docPr id="14" name="Drawing 1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全局类报错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0"/>
              <w:jc w:val="left"/>
            </w:pPr>
            <w:r>
              <w:rPr>
                <w:rFonts w:eastAsia="等线" w:ascii="Arial" w:cs="Arial" w:hAnsi="Arial"/>
                <w:sz w:val="22"/>
              </w:rPr>
              <w:t>陈述事实 + 引导 + 引导操作(可选)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抱歉，无法完成发布。</w:t>
            </w:r>
            <w:r>
              <w:rPr>
                <w:rFonts w:eastAsia="等线" w:ascii="Arial" w:cs="Arial" w:hAnsi="Arial"/>
                <w:color w:val="245bdb"/>
                <w:sz w:val="22"/>
              </w:rPr>
              <w:t>查看失败详情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57450" cy="514350"/>
                  <wp:docPr id="15" name="Drawing 1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成功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轻量的成功反馈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xxx + 已 + 动词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设置已保存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1790700" cy="762000"/>
                  <wp:docPr id="16" name="Drawing 1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较重的成功反馈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（耗费较多精力时，更多用于全页面或弹窗內）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名词 + 动词 + 成功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规则创建成功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105025" cy="2009775"/>
                  <wp:docPr id="17" name="Drawing 1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警示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用户的操作触发、系统判断触发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（如二次确认）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case1: 建议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标题：确认+行为+？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描述：行为后的状态陈述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case2: 标题：行为 + 行为后的状态陈述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确认放弃修改？你未保存的内容将会丢失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57450" cy="1162050"/>
                  <wp:docPr id="18" name="Drawing 1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60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加载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正常加载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xxx 中，请稍后...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加载中，请稍后...</w:t>
            </w: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过长时间的加载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xxx 中，可能需要一段时间，请 + 建议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创建游戏中，可能需要一段时间，请不要离开</w:t>
            </w:r>
          </w:p>
        </w:tc>
      </w:tr>
    </w:tbl>
    <w:p/>
    <w:tbl>
      <w:tblPr>
        <w:tblW w:w="0" w:type="auto"/>
        <w:tblInd w:w="453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1950"/>
              <w:gridCol w:w="1950"/>
            </w:tblGrid>
            <w:tr>
              <w:tc>
                <w:tcPr>
                  <w:tcW w:w="3900" w:type="dxa"/>
                  <w:hMerge w:val="restart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2324100" cy="962025"/>
                        <wp:docPr id="19" name="Drawing 19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4100" cy="962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50" w:type="dxa"/>
                  <w:hMerge w:val="continue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</w:p>
              </w:tc>
            </w:tr>
            <w:tr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  <w:shd w:fill="b7edb1"/>
                    </w:rPr>
                    <w:t xml:space="preserve"> </w:t>
                  </w:r>
                  <w:r>
                    <w:rPr>
                      <w:rFonts w:eastAsia="等线" w:ascii="Arial" w:cs="Arial" w:hAnsi="Arial"/>
                      <w:b w:val="true"/>
                      <w:sz w:val="22"/>
                      <w:shd w:fill="b7edb1"/>
                    </w:rPr>
                    <w:t>✅ 正确示范</w:t>
                  </w:r>
                  <w:r>
                    <w:rPr>
                      <w:rFonts w:eastAsia="等线" w:ascii="Arial" w:cs="Arial" w:hAnsi="Arial"/>
                      <w:sz w:val="22"/>
                      <w:shd w:fill="b7edb1"/>
                    </w:rPr>
                    <w:t xml:space="preserve">                                        </w:t>
                  </w:r>
                </w:p>
              </w:tc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sz w:val="22"/>
                      <w:shd w:fill="fbbfbc"/>
                    </w:rPr>
                    <w:t xml:space="preserve"> ❌  错误示范      </w:t>
                  </w:r>
                  <w:r>
                    <w:rPr>
                      <w:rFonts w:eastAsia="等线" w:ascii="Arial" w:cs="Arial" w:hAnsi="Arial"/>
                      <w:sz w:val="22"/>
                      <w:shd w:fill="fbbfbc"/>
                    </w:rPr>
                    <w:t xml:space="preserve">                                  </w:t>
                  </w:r>
                </w:p>
              </w:tc>
            </w:tr>
            <w:tr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新建 + 新建</w:t>
                  </w:r>
                </w:p>
              </w:tc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创建 + 确定</w:t>
                  </w:r>
                </w:p>
              </w:tc>
            </w:tr>
          </w:tbl>
          <w:p/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1950"/>
              <w:gridCol w:w="1950"/>
            </w:tblGrid>
            <w:tr>
              <w:tc>
                <w:tcPr>
                  <w:tcW w:w="3900" w:type="dxa"/>
                  <w:hMerge w:val="restart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2324100" cy="962025"/>
                        <wp:docPr id="20" name="Drawing 20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4100" cy="962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50" w:type="dxa"/>
                  <w:hMerge w:val="continue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</w:p>
              </w:tc>
            </w:tr>
            <w:tr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  <w:shd w:fill="b7edb1"/>
                    </w:rPr>
                    <w:t xml:space="preserve"> </w:t>
                  </w:r>
                  <w:r>
                    <w:rPr>
                      <w:rFonts w:eastAsia="等线" w:ascii="Arial" w:cs="Arial" w:hAnsi="Arial"/>
                      <w:b w:val="true"/>
                      <w:sz w:val="22"/>
                      <w:shd w:fill="b7edb1"/>
                    </w:rPr>
                    <w:t>✅ 正确示范</w:t>
                  </w:r>
                  <w:r>
                    <w:rPr>
                      <w:rFonts w:eastAsia="等线" w:ascii="Arial" w:cs="Arial" w:hAnsi="Arial"/>
                      <w:sz w:val="22"/>
                      <w:shd w:fill="b7edb1"/>
                    </w:rPr>
                    <w:t xml:space="preserve">                                        </w:t>
                  </w:r>
                </w:p>
              </w:tc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b w:val="true"/>
                      <w:sz w:val="22"/>
                      <w:shd w:fill="fbbfbc"/>
                    </w:rPr>
                    <w:t xml:space="preserve"> ❌  错误示范      </w:t>
                  </w:r>
                  <w:r>
                    <w:rPr>
                      <w:rFonts w:eastAsia="等线" w:ascii="Arial" w:cs="Arial" w:hAnsi="Arial"/>
                      <w:sz w:val="22"/>
                      <w:shd w:fill="fbbfbc"/>
                    </w:rPr>
                    <w:t xml:space="preserve">                                  </w:t>
                  </w:r>
                </w:p>
              </w:tc>
            </w:tr>
            <w:tr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编辑 + 保存</w:t>
                  </w:r>
                </w:p>
              </w:tc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修改 + 完成</w:t>
                  </w:r>
                </w:p>
              </w:tc>
            </w:tr>
          </w:tbl>
          <w:p/>
        </w:tc>
      </w:tr>
    </w:tbl>
    <w:p/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705"/>
        <w:gridCol w:w="2850"/>
      </w:tblGrid>
      <w:tr>
        <w:tc>
          <w:tcPr>
            <w:tcW w:w="655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4010025" cy="1666875"/>
                  <wp:docPr id="21" name="Drawing 2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37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b7edb1"/>
              </w:rPr>
              <w:t xml:space="preserve"> </w:t>
            </w:r>
            <w:r>
              <w:rPr>
                <w:rFonts w:eastAsia="等线" w:ascii="Arial" w:cs="Arial" w:hAnsi="Arial"/>
                <w:b w:val="true"/>
                <w:sz w:val="22"/>
                <w:shd w:fill="b7edb1"/>
              </w:rPr>
              <w:t>✅ 正确示范</w:t>
            </w:r>
            <w:r>
              <w:rPr>
                <w:rFonts w:eastAsia="等线" w:ascii="Arial" w:cs="Arial" w:hAnsi="Arial"/>
                <w:sz w:val="22"/>
                <w:shd w:fill="b7edb1"/>
              </w:rPr>
              <w:t xml:space="preserve">                                        </w:t>
            </w:r>
          </w:p>
        </w:tc>
        <w:tc>
          <w:tcPr>
            <w:tcW w:w="28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fbbfbc"/>
              </w:rPr>
              <w:t xml:space="preserve"> ❌  错误示范      </w:t>
            </w:r>
            <w:r>
              <w:rPr>
                <w:rFonts w:eastAsia="等线" w:ascii="Arial" w:cs="Arial" w:hAnsi="Arial"/>
                <w:sz w:val="22"/>
                <w:shd w:fill="fbbfbc"/>
              </w:rPr>
              <w:t xml:space="preserve">                                  </w:t>
            </w:r>
          </w:p>
        </w:tc>
      </w:tr>
      <w:tr>
        <w:tc>
          <w:tcPr>
            <w:tcW w:w="37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删除 + 删除</w:t>
            </w:r>
          </w:p>
        </w:tc>
        <w:tc>
          <w:tcPr>
            <w:tcW w:w="28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删除 +确认</w:t>
            </w:r>
          </w:p>
        </w:tc>
      </w:tr>
    </w:tbl>
    <w:p>
      <w:pPr>
        <w:spacing w:before="120" w:after="120" w:line="288" w:lineRule="auto"/>
        <w:ind w:left="453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" w:id="14"/>
      <w:r>
        <w:rPr>
          <w:rFonts w:eastAsia="等线" w:ascii="Arial" w:cs="Arial" w:hAnsi="Arial"/>
          <w:color w:val="3370ff"/>
          <w:sz w:val="32"/>
        </w:rPr>
        <w:t xml:space="preserve">5. </w:t>
      </w:r>
      <w:r>
        <w:rPr>
          <w:rFonts w:eastAsia="等线" w:ascii="Arial" w:cs="Arial" w:hAnsi="Arial"/>
          <w:b w:val="true"/>
          <w:sz w:val="32"/>
        </w:rPr>
        <w:t>讨论</w:t>
      </w:r>
      <w:bookmarkEnd w:id="14"/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增量检测方案：区分boe、ppe环境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5" w:id="15"/>
      <w:r>
        <w:rPr>
          <w:rFonts w:eastAsia="等线" w:ascii="Arial" w:cs="Arial" w:hAnsi="Arial"/>
          <w:color w:val="3370ff"/>
          <w:sz w:val="32"/>
        </w:rPr>
        <w:t xml:space="preserve">6. </w:t>
      </w:r>
      <w:r>
        <w:rPr>
          <w:rFonts w:eastAsia="等线" w:ascii="Arial" w:cs="Arial" w:hAnsi="Arial"/>
          <w:b w:val="true"/>
          <w:sz w:val="32"/>
        </w:rPr>
        <w:t>参考方案</w:t>
      </w:r>
      <w:bookmarkEnd w:id="15"/>
    </w:p>
    <w:p>
      <w:pPr>
        <w:numPr>
          <w:numId w:val="64"/>
        </w:numPr>
        <w:spacing w:before="120" w:after="120" w:line="288" w:lineRule="auto"/>
        <w:ind w:left="0"/>
        <w:jc w:val="left"/>
      </w:pPr>
      <w:hyperlink r:id="rId33">
        <w:r>
          <w:rPr>
            <w:rFonts w:eastAsia="等线" w:ascii="Arial" w:cs="Arial" w:hAnsi="Arial"/>
            <w:color w:val="3370ff"/>
            <w:sz w:val="22"/>
          </w:rPr>
          <w:t>物流供应链文案治理专项</w:t>
        </w:r>
      </w:hyperlink>
    </w:p>
    <w:p>
      <w:pPr>
        <w:numPr>
          <w:numId w:val="65"/>
        </w:numPr>
        <w:spacing w:before="120" w:after="120" w:line="288" w:lineRule="auto"/>
        <w:ind w:left="0"/>
        <w:jc w:val="left"/>
      </w:pPr>
      <w:hyperlink r:id="rId34">
        <w:r>
          <w:rPr>
            <w:rFonts w:eastAsia="等线" w:ascii="Arial" w:cs="Arial" w:hAnsi="Arial"/>
            <w:color w:val="3370ff"/>
            <w:sz w:val="22"/>
          </w:rPr>
          <w:t>文案全链路监控优化</w:t>
        </w:r>
      </w:hyperlink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35"/>
      <w:pgSz w:orient="portrait" w:h="16840" w:w="11905"/>
    </w:sectPr>
  </w:body>
</w:document>
</file>

<file path=word/comments.xml><?xml version="1.0" encoding="utf-8"?>
<w:comments xmlns:w="http://schemas.openxmlformats.org/wordprocessingml/2006/main">
  <w:comment w:id="1" w:date="2025-02-17T19:01:47.000+08:00" w:author="Jingxi Zhan">
    <w:p>
      <w:r>
        <w:t>补充</w:t>
      </w:r>
    </w:p>
  </w:comment>
  <w:comment w:id="2" w:date="2025-02-17T19:01:55.000+08:00" w:author="Jingxi Zhan">
    <w:p>
      <w:r>
        <w:t>oncall比例</w:t>
      </w:r>
    </w:p>
  </w:comment>
  <w:comment w:id="3" w:date="2025-02-17T19:03:26.000+08:00" w:author="Jingxi Zhan">
    <w:p>
      <w:r>
        <w:t>客观标准：oncall反馈</w:t>
      </w:r>
    </w:p>
  </w:comment>
  <w:comment w:id="4" w:date="2025-02-17T19:07:03.000+08:00" w:author="Jingxi Zhan">
    <w:p>
      <w:r>
        <w:t>策略归类</w:t>
      </w:r>
    </w:p>
  </w:comment>
</w:comments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142573">
    <w:lvl>
      <w:numFmt w:val="bullet"/>
      <w:suff w:val="tab"/>
      <w:lvlText w:val="•"/>
      <w:rPr>
        <w:color w:val="3370ff"/>
      </w:rPr>
    </w:lvl>
  </w:abstractNum>
  <w:abstractNum w:abstractNumId="2142574">
    <w:lvl>
      <w:numFmt w:val="bullet"/>
      <w:suff w:val="tab"/>
      <w:lvlText w:val="•"/>
      <w:rPr>
        <w:color w:val="3370ff"/>
      </w:rPr>
    </w:lvl>
  </w:abstractNum>
  <w:abstractNum w:abstractNumId="2142575">
    <w:lvl>
      <w:numFmt w:val="bullet"/>
      <w:suff w:val="tab"/>
      <w:lvlText w:val="￮"/>
      <w:rPr>
        <w:color w:val="3370ff"/>
      </w:rPr>
    </w:lvl>
  </w:abstractNum>
  <w:abstractNum w:abstractNumId="2142576">
    <w:lvl>
      <w:numFmt w:val="bullet"/>
      <w:suff w:val="tab"/>
      <w:lvlText w:val="￮"/>
      <w:rPr>
        <w:color w:val="3370ff"/>
      </w:rPr>
    </w:lvl>
  </w:abstractNum>
  <w:abstractNum w:abstractNumId="2142577">
    <w:lvl>
      <w:numFmt w:val="bullet"/>
      <w:suff w:val="tab"/>
      <w:lvlText w:val="•"/>
      <w:rPr>
        <w:color w:val="3370ff"/>
      </w:rPr>
    </w:lvl>
  </w:abstractNum>
  <w:abstractNum w:abstractNumId="2142578">
    <w:lvl>
      <w:numFmt w:val="bullet"/>
      <w:suff w:val="tab"/>
      <w:lvlText w:val="•"/>
      <w:rPr>
        <w:color w:val="3370ff"/>
      </w:rPr>
    </w:lvl>
  </w:abstractNum>
  <w:abstractNum w:abstractNumId="2142579">
    <w:lvl>
      <w:numFmt w:val="bullet"/>
      <w:suff w:val="tab"/>
      <w:lvlText w:val="•"/>
      <w:rPr>
        <w:color w:val="3370ff"/>
      </w:rPr>
    </w:lvl>
  </w:abstractNum>
  <w:abstractNum w:abstractNumId="2142580">
    <w:lvl>
      <w:numFmt w:val="bullet"/>
      <w:suff w:val="tab"/>
      <w:lvlText w:val="•"/>
      <w:rPr>
        <w:color w:val="3370ff"/>
      </w:rPr>
    </w:lvl>
  </w:abstractNum>
  <w:abstractNum w:abstractNumId="2142581">
    <w:lvl>
      <w:numFmt w:val="bullet"/>
      <w:suff w:val="tab"/>
      <w:lvlText w:val="•"/>
      <w:rPr>
        <w:color w:val="3370ff"/>
      </w:rPr>
    </w:lvl>
  </w:abstractNum>
  <w:abstractNum w:abstractNumId="2142582">
    <w:lvl>
      <w:numFmt w:val="bullet"/>
      <w:suff w:val="tab"/>
      <w:lvlText w:val="￮"/>
      <w:rPr>
        <w:color w:val="3370ff"/>
      </w:rPr>
    </w:lvl>
  </w:abstractNum>
  <w:abstractNum w:abstractNumId="2142583">
    <w:lvl>
      <w:numFmt w:val="bullet"/>
      <w:suff w:val="tab"/>
      <w:lvlText w:val="￮"/>
      <w:rPr>
        <w:color w:val="3370ff"/>
      </w:rPr>
    </w:lvl>
  </w:abstractNum>
  <w:abstractNum w:abstractNumId="2142584">
    <w:lvl>
      <w:numFmt w:val="bullet"/>
      <w:suff w:val="tab"/>
      <w:lvlText w:val="•"/>
      <w:rPr>
        <w:color w:val="3370ff"/>
      </w:rPr>
    </w:lvl>
  </w:abstractNum>
  <w:abstractNum w:abstractNumId="2142585">
    <w:lvl>
      <w:numFmt w:val="bullet"/>
      <w:suff w:val="tab"/>
      <w:lvlText w:val="￮"/>
      <w:rPr>
        <w:color w:val="3370ff"/>
      </w:rPr>
    </w:lvl>
  </w:abstractNum>
  <w:abstractNum w:abstractNumId="2142586">
    <w:lvl>
      <w:numFmt w:val="bullet"/>
      <w:suff w:val="tab"/>
      <w:lvlText w:val="•"/>
      <w:rPr>
        <w:color w:val="3370ff"/>
      </w:rPr>
    </w:lvl>
  </w:abstractNum>
  <w:abstractNum w:abstractNumId="2142587">
    <w:lvl>
      <w:numFmt w:val="bullet"/>
      <w:suff w:val="tab"/>
      <w:lvlText w:val="￮"/>
      <w:rPr>
        <w:color w:val="3370ff"/>
      </w:rPr>
    </w:lvl>
  </w:abstractNum>
  <w:abstractNum w:abstractNumId="2142588">
    <w:lvl>
      <w:numFmt w:val="bullet"/>
      <w:suff w:val="tab"/>
      <w:lvlText w:val="￮"/>
      <w:rPr>
        <w:color w:val="3370ff"/>
      </w:rPr>
    </w:lvl>
  </w:abstractNum>
  <w:abstractNum w:abstractNumId="2142589">
    <w:lvl>
      <w:numFmt w:val="bullet"/>
      <w:suff w:val="tab"/>
      <w:lvlText w:val="￮"/>
      <w:rPr>
        <w:color w:val="3370ff"/>
      </w:rPr>
    </w:lvl>
  </w:abstractNum>
  <w:abstractNum w:abstractNumId="2142590">
    <w:lvl>
      <w:numFmt w:val="bullet"/>
      <w:suff w:val="tab"/>
      <w:lvlText w:val="•"/>
      <w:rPr>
        <w:color w:val="3370ff"/>
      </w:rPr>
    </w:lvl>
  </w:abstractNum>
  <w:abstractNum w:abstractNumId="2142591">
    <w:lvl>
      <w:numFmt w:val="bullet"/>
      <w:suff w:val="tab"/>
      <w:lvlText w:val="•"/>
      <w:rPr>
        <w:color w:val="3370ff"/>
      </w:rPr>
    </w:lvl>
  </w:abstractNum>
  <w:abstractNum w:abstractNumId="2142592">
    <w:lvl>
      <w:numFmt w:val="bullet"/>
      <w:suff w:val="tab"/>
      <w:lvlText w:val="•"/>
      <w:rPr>
        <w:color w:val="3370ff"/>
      </w:rPr>
    </w:lvl>
  </w:abstractNum>
  <w:abstractNum w:abstractNumId="2142593">
    <w:lvl>
      <w:numFmt w:val="bullet"/>
      <w:suff w:val="tab"/>
      <w:lvlText w:val="•"/>
      <w:rPr>
        <w:color w:val="3370ff"/>
      </w:rPr>
    </w:lvl>
  </w:abstractNum>
  <w:abstractNum w:abstractNumId="2142594">
    <w:lvl>
      <w:numFmt w:val="bullet"/>
      <w:suff w:val="tab"/>
      <w:lvlText w:val="•"/>
      <w:rPr>
        <w:color w:val="3370ff"/>
      </w:rPr>
    </w:lvl>
  </w:abstractNum>
  <w:abstractNum w:abstractNumId="2142595">
    <w:lvl>
      <w:numFmt w:val="bullet"/>
      <w:suff w:val="tab"/>
      <w:lvlText w:val="•"/>
      <w:rPr>
        <w:color w:val="3370ff"/>
      </w:rPr>
    </w:lvl>
  </w:abstractNum>
  <w:abstractNum w:abstractNumId="2142596">
    <w:lvl>
      <w:numFmt w:val="bullet"/>
      <w:suff w:val="tab"/>
      <w:lvlText w:val="•"/>
      <w:rPr>
        <w:color w:val="3370ff"/>
      </w:rPr>
    </w:lvl>
  </w:abstractNum>
  <w:abstractNum w:abstractNumId="2142597">
    <w:lvl>
      <w:numFmt w:val="bullet"/>
      <w:suff w:val="tab"/>
      <w:lvlText w:val="•"/>
      <w:rPr>
        <w:color w:val="3370ff"/>
      </w:rPr>
    </w:lvl>
  </w:abstractNum>
  <w:abstractNum w:abstractNumId="2142598">
    <w:lvl>
      <w:numFmt w:val="bullet"/>
      <w:suff w:val="tab"/>
      <w:lvlText w:val="•"/>
      <w:rPr>
        <w:color w:val="3370ff"/>
      </w:rPr>
    </w:lvl>
  </w:abstractNum>
  <w:abstractNum w:abstractNumId="2142599">
    <w:lvl>
      <w:numFmt w:val="bullet"/>
      <w:suff w:val="tab"/>
      <w:lvlText w:val="•"/>
      <w:rPr>
        <w:color w:val="3370ff"/>
      </w:rPr>
    </w:lvl>
  </w:abstractNum>
  <w:abstractNum w:abstractNumId="2142600">
    <w:lvl>
      <w:numFmt w:val="bullet"/>
      <w:suff w:val="tab"/>
      <w:lvlText w:val="•"/>
      <w:rPr>
        <w:color w:val="3370ff"/>
      </w:rPr>
    </w:lvl>
  </w:abstractNum>
  <w:abstractNum w:abstractNumId="2142601">
    <w:lvl>
      <w:numFmt w:val="bullet"/>
      <w:suff w:val="tab"/>
      <w:lvlText w:val="•"/>
      <w:rPr>
        <w:color w:val="3370ff"/>
      </w:rPr>
    </w:lvl>
  </w:abstractNum>
  <w:abstractNum w:abstractNumId="2142602">
    <w:lvl>
      <w:numFmt w:val="bullet"/>
      <w:suff w:val="tab"/>
      <w:lvlText w:val="•"/>
      <w:rPr>
        <w:color w:val="3370ff"/>
      </w:rPr>
    </w:lvl>
  </w:abstractNum>
  <w:abstractNum w:abstractNumId="2142603">
    <w:lvl>
      <w:numFmt w:val="bullet"/>
      <w:suff w:val="tab"/>
      <w:lvlText w:val="•"/>
      <w:rPr>
        <w:color w:val="3370ff"/>
      </w:rPr>
    </w:lvl>
  </w:abstractNum>
  <w:abstractNum w:abstractNumId="2142604">
    <w:lvl>
      <w:numFmt w:val="bullet"/>
      <w:suff w:val="tab"/>
      <w:lvlText w:val="•"/>
      <w:rPr>
        <w:color w:val="3370ff"/>
      </w:rPr>
    </w:lvl>
  </w:abstractNum>
  <w:abstractNum w:abstractNumId="2142605">
    <w:lvl>
      <w:numFmt w:val="bullet"/>
      <w:suff w:val="tab"/>
      <w:lvlText w:val="•"/>
      <w:rPr>
        <w:color w:val="3370ff"/>
      </w:rPr>
    </w:lvl>
  </w:abstractNum>
  <w:abstractNum w:abstractNumId="2142606">
    <w:lvl>
      <w:numFmt w:val="bullet"/>
      <w:suff w:val="tab"/>
      <w:lvlText w:val="•"/>
      <w:rPr>
        <w:color w:val="3370ff"/>
      </w:rPr>
    </w:lvl>
  </w:abstractNum>
  <w:abstractNum w:abstractNumId="2142607">
    <w:lvl>
      <w:numFmt w:val="bullet"/>
      <w:suff w:val="tab"/>
      <w:lvlText w:val="•"/>
      <w:rPr>
        <w:color w:val="3370ff"/>
      </w:rPr>
    </w:lvl>
  </w:abstractNum>
  <w:abstractNum w:abstractNumId="2142608">
    <w:lvl>
      <w:numFmt w:val="bullet"/>
      <w:suff w:val="tab"/>
      <w:lvlText w:val="•"/>
      <w:rPr>
        <w:color w:val="3370ff"/>
      </w:rPr>
    </w:lvl>
  </w:abstractNum>
  <w:abstractNum w:abstractNumId="2142609">
    <w:lvl>
      <w:numFmt w:val="bullet"/>
      <w:suff w:val="tab"/>
      <w:lvlText w:val="•"/>
      <w:rPr>
        <w:color w:val="3370ff"/>
      </w:rPr>
    </w:lvl>
  </w:abstractNum>
  <w:abstractNum w:abstractNumId="2142610">
    <w:lvl>
      <w:numFmt w:val="bullet"/>
      <w:suff w:val="tab"/>
      <w:lvlText w:val="•"/>
      <w:rPr>
        <w:color w:val="3370ff"/>
      </w:rPr>
    </w:lvl>
  </w:abstractNum>
  <w:abstractNum w:abstractNumId="2142611">
    <w:lvl>
      <w:numFmt w:val="bullet"/>
      <w:suff w:val="tab"/>
      <w:lvlText w:val="•"/>
      <w:rPr>
        <w:color w:val="3370ff"/>
      </w:rPr>
    </w:lvl>
  </w:abstractNum>
  <w:abstractNum w:abstractNumId="2142612">
    <w:lvl>
      <w:numFmt w:val="bullet"/>
      <w:suff w:val="tab"/>
      <w:lvlText w:val="•"/>
      <w:rPr>
        <w:color w:val="3370ff"/>
      </w:rPr>
    </w:lvl>
  </w:abstractNum>
  <w:abstractNum w:abstractNumId="2142613">
    <w:lvl>
      <w:numFmt w:val="bullet"/>
      <w:suff w:val="tab"/>
      <w:lvlText w:val="•"/>
      <w:rPr>
        <w:color w:val="3370ff"/>
      </w:rPr>
    </w:lvl>
  </w:abstractNum>
  <w:abstractNum w:abstractNumId="2142614">
    <w:lvl>
      <w:numFmt w:val="bullet"/>
      <w:suff w:val="tab"/>
      <w:lvlText w:val="•"/>
      <w:rPr>
        <w:color w:val="3370ff"/>
      </w:rPr>
    </w:lvl>
  </w:abstractNum>
  <w:abstractNum w:abstractNumId="2142615">
    <w:lvl>
      <w:numFmt w:val="bullet"/>
      <w:suff w:val="tab"/>
      <w:lvlText w:val="•"/>
      <w:rPr>
        <w:color w:val="3370ff"/>
      </w:rPr>
    </w:lvl>
  </w:abstractNum>
  <w:abstractNum w:abstractNumId="2142616">
    <w:lvl>
      <w:numFmt w:val="bullet"/>
      <w:suff w:val="tab"/>
      <w:lvlText w:val="•"/>
      <w:rPr>
        <w:color w:val="3370ff"/>
      </w:rPr>
    </w:lvl>
  </w:abstractNum>
  <w:abstractNum w:abstractNumId="2142617">
    <w:lvl>
      <w:numFmt w:val="bullet"/>
      <w:suff w:val="space"/>
      <w:lvlText w:val="□"/>
      <w:lvlText w:val="☑"/>
    </w:lvl>
  </w:abstractNum>
  <w:abstractNum w:abstractNumId="2142618">
    <w:lvl>
      <w:numFmt w:val="bullet"/>
      <w:suff w:val="space"/>
      <w:lvlText w:val="□"/>
      <w:lvlText w:val="☑"/>
    </w:lvl>
  </w:abstractNum>
  <w:abstractNum w:abstractNumId="2142619">
    <w:lvl>
      <w:numFmt w:val="bullet"/>
      <w:suff w:val="space"/>
      <w:lvlText w:val="□"/>
      <w:lvlText w:val="☑"/>
    </w:lvl>
  </w:abstractNum>
  <w:abstractNum w:abstractNumId="2142620">
    <w:lvl>
      <w:numFmt w:val="bullet"/>
      <w:suff w:val="tab"/>
      <w:lvlText w:val="•"/>
      <w:rPr>
        <w:color w:val="3370ff"/>
      </w:rPr>
    </w:lvl>
  </w:abstractNum>
  <w:abstractNum w:abstractNumId="2142621">
    <w:lvl>
      <w:numFmt w:val="bullet"/>
      <w:suff w:val="space"/>
      <w:lvlText w:val="□"/>
    </w:lvl>
  </w:abstractNum>
  <w:abstractNum w:abstractNumId="2142622">
    <w:lvl>
      <w:numFmt w:val="bullet"/>
      <w:suff w:val="space"/>
      <w:lvlText w:val="□"/>
    </w:lvl>
  </w:abstractNum>
  <w:abstractNum w:abstractNumId="2142623">
    <w:lvl>
      <w:numFmt w:val="bullet"/>
      <w:suff w:val="space"/>
      <w:lvlText w:val="□"/>
    </w:lvl>
  </w:abstractNum>
  <w:abstractNum w:abstractNumId="2142624">
    <w:lvl>
      <w:numFmt w:val="bullet"/>
      <w:suff w:val="tab"/>
      <w:lvlText w:val="•"/>
      <w:rPr>
        <w:color w:val="3370ff"/>
      </w:rPr>
    </w:lvl>
  </w:abstractNum>
  <w:abstractNum w:abstractNumId="2142625">
    <w:lvl>
      <w:numFmt w:val="bullet"/>
      <w:suff w:val="space"/>
      <w:lvlText w:val="□"/>
    </w:lvl>
  </w:abstractNum>
  <w:abstractNum w:abstractNumId="2142626">
    <w:lvl>
      <w:numFmt w:val="bullet"/>
      <w:suff w:val="space"/>
      <w:lvlText w:val="□"/>
    </w:lvl>
  </w:abstractNum>
  <w:abstractNum w:abstractNumId="2142627">
    <w:lvl>
      <w:numFmt w:val="bullet"/>
      <w:suff w:val="space"/>
      <w:lvlText w:val="□"/>
    </w:lvl>
  </w:abstractNum>
  <w:abstractNum w:abstractNumId="2142628">
    <w:lvl>
      <w:numFmt w:val="bullet"/>
      <w:suff w:val="tab"/>
      <w:lvlText w:val="•"/>
      <w:rPr>
        <w:color w:val="3370ff"/>
      </w:rPr>
    </w:lvl>
  </w:abstractNum>
  <w:abstractNum w:abstractNumId="2142629">
    <w:lvl>
      <w:numFmt w:val="bullet"/>
      <w:suff w:val="tab"/>
      <w:lvlText w:val="•"/>
      <w:rPr>
        <w:color w:val="3370ff"/>
      </w:rPr>
    </w:lvl>
  </w:abstractNum>
  <w:abstractNum w:abstractNumId="2142630">
    <w:lvl>
      <w:numFmt w:val="bullet"/>
      <w:suff w:val="tab"/>
      <w:lvlText w:val="•"/>
      <w:rPr>
        <w:color w:val="3370ff"/>
      </w:rPr>
    </w:lvl>
  </w:abstractNum>
  <w:abstractNum w:abstractNumId="2142631">
    <w:lvl>
      <w:numFmt w:val="bullet"/>
      <w:suff w:val="tab"/>
      <w:lvlText w:val="•"/>
      <w:rPr>
        <w:color w:val="3370ff"/>
      </w:rPr>
    </w:lvl>
  </w:abstractNum>
  <w:abstractNum w:abstractNumId="2142632">
    <w:lvl>
      <w:numFmt w:val="bullet"/>
      <w:suff w:val="tab"/>
      <w:lvlText w:val="•"/>
      <w:rPr>
        <w:color w:val="3370ff"/>
      </w:rPr>
    </w:lvl>
  </w:abstractNum>
  <w:abstractNum w:abstractNumId="2142633">
    <w:lvl>
      <w:numFmt w:val="bullet"/>
      <w:suff w:val="tab"/>
      <w:lvlText w:val="•"/>
      <w:rPr>
        <w:color w:val="3370ff"/>
      </w:rPr>
    </w:lvl>
  </w:abstractNum>
  <w:abstractNum w:abstractNumId="2142634">
    <w:lvl>
      <w:numFmt w:val="bullet"/>
      <w:suff w:val="tab"/>
      <w:lvlText w:val="•"/>
      <w:rPr>
        <w:color w:val="3370ff"/>
      </w:rPr>
    </w:lvl>
  </w:abstractNum>
  <w:abstractNum w:abstractNumId="2142635">
    <w:lvl>
      <w:numFmt w:val="bullet"/>
      <w:suff w:val="tab"/>
      <w:lvlText w:val="•"/>
      <w:rPr>
        <w:color w:val="3370ff"/>
      </w:rPr>
    </w:lvl>
  </w:abstractNum>
  <w:abstractNum w:abstractNumId="2142636">
    <w:lvl>
      <w:numFmt w:val="bullet"/>
      <w:suff w:val="tab"/>
      <w:lvlText w:val="•"/>
      <w:rPr>
        <w:color w:val="3370ff"/>
      </w:rPr>
    </w:lvl>
  </w:abstractNum>
  <w:abstractNum w:abstractNumId="2142637">
    <w:lvl>
      <w:numFmt w:val="bullet"/>
      <w:suff w:val="tab"/>
      <w:lvlText w:val="•"/>
      <w:rPr>
        <w:color w:val="3370ff"/>
      </w:rPr>
    </w:lvl>
  </w:abstractNum>
  <w:num w:numId="1">
    <w:abstractNumId w:val="2142573"/>
  </w:num>
  <w:num w:numId="2">
    <w:abstractNumId w:val="2142574"/>
  </w:num>
  <w:num w:numId="3">
    <w:abstractNumId w:val="2142575"/>
  </w:num>
  <w:num w:numId="4">
    <w:abstractNumId w:val="2142576"/>
  </w:num>
  <w:num w:numId="5">
    <w:abstractNumId w:val="2142577"/>
  </w:num>
  <w:num w:numId="6">
    <w:abstractNumId w:val="2142578"/>
  </w:num>
  <w:num w:numId="7">
    <w:abstractNumId w:val="2142579"/>
  </w:num>
  <w:num w:numId="8">
    <w:abstractNumId w:val="2142580"/>
  </w:num>
  <w:num w:numId="9">
    <w:abstractNumId w:val="2142581"/>
  </w:num>
  <w:num w:numId="10">
    <w:abstractNumId w:val="2142582"/>
  </w:num>
  <w:num w:numId="11">
    <w:abstractNumId w:val="2142583"/>
  </w:num>
  <w:num w:numId="12">
    <w:abstractNumId w:val="2142584"/>
  </w:num>
  <w:num w:numId="13">
    <w:abstractNumId w:val="2142585"/>
  </w:num>
  <w:num w:numId="14">
    <w:abstractNumId w:val="2142586"/>
  </w:num>
  <w:num w:numId="15">
    <w:abstractNumId w:val="2142587"/>
  </w:num>
  <w:num w:numId="16">
    <w:abstractNumId w:val="2142588"/>
  </w:num>
  <w:num w:numId="17">
    <w:abstractNumId w:val="2142589"/>
  </w:num>
  <w:num w:numId="18">
    <w:abstractNumId w:val="2142590"/>
  </w:num>
  <w:num w:numId="19">
    <w:abstractNumId w:val="2142591"/>
  </w:num>
  <w:num w:numId="20">
    <w:abstractNumId w:val="2142592"/>
  </w:num>
  <w:num w:numId="21">
    <w:abstractNumId w:val="2142593"/>
  </w:num>
  <w:num w:numId="22">
    <w:abstractNumId w:val="2142594"/>
  </w:num>
  <w:num w:numId="23">
    <w:abstractNumId w:val="2142595"/>
  </w:num>
  <w:num w:numId="24">
    <w:abstractNumId w:val="2142596"/>
  </w:num>
  <w:num w:numId="25">
    <w:abstractNumId w:val="2142597"/>
  </w:num>
  <w:num w:numId="26">
    <w:abstractNumId w:val="2142598"/>
  </w:num>
  <w:num w:numId="27">
    <w:abstractNumId w:val="2142599"/>
  </w:num>
  <w:num w:numId="28">
    <w:abstractNumId w:val="2142600"/>
  </w:num>
  <w:num w:numId="29">
    <w:abstractNumId w:val="2142601"/>
  </w:num>
  <w:num w:numId="30">
    <w:abstractNumId w:val="2142602"/>
  </w:num>
  <w:num w:numId="31">
    <w:abstractNumId w:val="2142603"/>
  </w:num>
  <w:num w:numId="32">
    <w:abstractNumId w:val="2142604"/>
  </w:num>
  <w:num w:numId="33">
    <w:abstractNumId w:val="2142605"/>
  </w:num>
  <w:num w:numId="34">
    <w:abstractNumId w:val="2142606"/>
  </w:num>
  <w:num w:numId="35">
    <w:abstractNumId w:val="2142607"/>
  </w:num>
  <w:num w:numId="36">
    <w:abstractNumId w:val="2142608"/>
  </w:num>
  <w:num w:numId="37">
    <w:abstractNumId w:val="2142609"/>
  </w:num>
  <w:num w:numId="38">
    <w:abstractNumId w:val="2142610"/>
  </w:num>
  <w:num w:numId="39">
    <w:abstractNumId w:val="2142611"/>
  </w:num>
  <w:num w:numId="40">
    <w:abstractNumId w:val="2142612"/>
  </w:num>
  <w:num w:numId="41">
    <w:abstractNumId w:val="2142613"/>
  </w:num>
  <w:num w:numId="42">
    <w:abstractNumId w:val="2142614"/>
  </w:num>
  <w:num w:numId="43">
    <w:abstractNumId w:val="2142615"/>
  </w:num>
  <w:num w:numId="44">
    <w:abstractNumId w:val="2142616"/>
  </w:num>
  <w:num w:numId="45">
    <w:abstractNumId w:val="2142617"/>
  </w:num>
  <w:num w:numId="46">
    <w:abstractNumId w:val="2142618"/>
  </w:num>
  <w:num w:numId="47">
    <w:abstractNumId w:val="2142619"/>
  </w:num>
  <w:num w:numId="48">
    <w:abstractNumId w:val="2142620"/>
  </w:num>
  <w:num w:numId="49">
    <w:abstractNumId w:val="2142621"/>
  </w:num>
  <w:num w:numId="50">
    <w:abstractNumId w:val="2142622"/>
  </w:num>
  <w:num w:numId="51">
    <w:abstractNumId w:val="2142623"/>
  </w:num>
  <w:num w:numId="52">
    <w:abstractNumId w:val="2142624"/>
  </w:num>
  <w:num w:numId="53">
    <w:abstractNumId w:val="2142625"/>
  </w:num>
  <w:num w:numId="54">
    <w:abstractNumId w:val="2142626"/>
  </w:num>
  <w:num w:numId="55">
    <w:abstractNumId w:val="2142627"/>
  </w:num>
  <w:num w:numId="56">
    <w:abstractNumId w:val="2142628"/>
  </w:num>
  <w:num w:numId="57">
    <w:abstractNumId w:val="2142629"/>
  </w:num>
  <w:num w:numId="58">
    <w:abstractNumId w:val="2142630"/>
  </w:num>
  <w:num w:numId="59">
    <w:abstractNumId w:val="2142631"/>
  </w:num>
  <w:num w:numId="60">
    <w:abstractNumId w:val="2142632"/>
  </w:num>
  <w:num w:numId="61">
    <w:abstractNumId w:val="2142633"/>
  </w:num>
  <w:num w:numId="62">
    <w:abstractNumId w:val="2142634"/>
  </w:num>
  <w:num w:numId="63">
    <w:abstractNumId w:val="2142635"/>
  </w:num>
  <w:num w:numId="64">
    <w:abstractNumId w:val="2142636"/>
  </w:num>
  <w:num w:numId="65">
    <w:abstractNumId w:val="214263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bytedance.larkoffice.com/docx/PlOmdvH1kotsd6xNiz3ckLpOnSg" TargetMode="External" Type="http://schemas.openxmlformats.org/officeDocument/2006/relationships/hyperlink"/><Relationship Id="rId11" Target="media/image4.jpeg" Type="http://schemas.openxmlformats.org/officeDocument/2006/relationships/image"/><Relationship Id="rId12" Target="media/image5.jpeg" Type="http://schemas.openxmlformats.org/officeDocument/2006/relationships/image"/><Relationship Id="rId13" Target="https://bytedance.larkoffice.com/base/GiEMbNa3iaAvxrsncfTc6eFPnKE?table=tblu9HoPlu5DosUF&amp;view=vewaRdXDGB" TargetMode="External" Type="http://schemas.openxmlformats.org/officeDocument/2006/relationships/hyperlink"/><Relationship Id="rId14" Target="https://bytedance.larkoffice.com/base/GiEMbNa3iaAvxrsncfTc6eFPnKE?table=tblrdDkHENvBpMXb&amp;view=vewkHoMuTe" TargetMode="External" Type="http://schemas.openxmlformats.org/officeDocument/2006/relationships/hyperlink"/><Relationship Id="rId15" Target="https://bytedance.larkoffice.com/sheets/J0ZqssOzxhTWYEtAUwMcpyNRnVb?sheet=92d759" TargetMode="External" Type="http://schemas.openxmlformats.org/officeDocument/2006/relationships/hyperlink"/><Relationship Id="rId16" Target="media/image6.png" Type="http://schemas.openxmlformats.org/officeDocument/2006/relationships/image"/><Relationship Id="rId17" Target="media/image7.png" Type="http://schemas.openxmlformats.org/officeDocument/2006/relationships/image"/><Relationship Id="rId18" Target="media/image8.png" Type="http://schemas.openxmlformats.org/officeDocument/2006/relationships/image"/><Relationship Id="rId19" Target="media/image9.png" Type="http://schemas.openxmlformats.org/officeDocument/2006/relationships/image"/><Relationship Id="rId2" Target="styles.xml" Type="http://schemas.openxmlformats.org/officeDocument/2006/relationships/styles"/><Relationship Id="rId20" Target="media/image10.png" Type="http://schemas.openxmlformats.org/officeDocument/2006/relationships/image"/><Relationship Id="rId21" Target="media/image11.png" Type="http://schemas.openxmlformats.org/officeDocument/2006/relationships/image"/><Relationship Id="rId22" Target="media/image12.png" Type="http://schemas.openxmlformats.org/officeDocument/2006/relationships/image"/><Relationship Id="rId23" Target="media/image13.png" Type="http://schemas.openxmlformats.org/officeDocument/2006/relationships/image"/><Relationship Id="rId24" Target="media/image14.png" Type="http://schemas.openxmlformats.org/officeDocument/2006/relationships/image"/><Relationship Id="rId25" Target="media/image15.png" Type="http://schemas.openxmlformats.org/officeDocument/2006/relationships/image"/><Relationship Id="rId26" Target="media/image16.png" Type="http://schemas.openxmlformats.org/officeDocument/2006/relationships/image"/><Relationship Id="rId27" Target="media/image17.png" Type="http://schemas.openxmlformats.org/officeDocument/2006/relationships/image"/><Relationship Id="rId28" Target="media/image18.png" Type="http://schemas.openxmlformats.org/officeDocument/2006/relationships/image"/><Relationship Id="rId29" Target="media/image19.png" Type="http://schemas.openxmlformats.org/officeDocument/2006/relationships/image"/><Relationship Id="rId3" Target="footer1.xml" Type="http://schemas.openxmlformats.org/officeDocument/2006/relationships/footer"/><Relationship Id="rId30" Target="media/image20.png" Type="http://schemas.openxmlformats.org/officeDocument/2006/relationships/image"/><Relationship Id="rId31" Target="media/image21.png" Type="http://schemas.openxmlformats.org/officeDocument/2006/relationships/image"/><Relationship Id="rId32" Target="media/image22.png" Type="http://schemas.openxmlformats.org/officeDocument/2006/relationships/image"/><Relationship Id="rId33" Target="https://bytedance.larkoffice.com/wiki/RGmHwpjWMi1zJlkRHi2ch2VOndh" TargetMode="External" Type="http://schemas.openxmlformats.org/officeDocument/2006/relationships/hyperlink"/><Relationship Id="rId34" Target="https://bytedance.larkoffice.com/docx/MZmtdFl45odkfXxKWpCcXnbXnjb" TargetMode="External" Type="http://schemas.openxmlformats.org/officeDocument/2006/relationships/hyperlink"/><Relationship Id="rId35" Target="header1.xml" Type="http://schemas.openxmlformats.org/officeDocument/2006/relationships/header"/><Relationship Id="rId4" Target="comments.xml" Type="http://schemas.openxmlformats.org/officeDocument/2006/relationships/comments"/><Relationship Id="rId5" Target="media/image1.png" Type="http://schemas.openxmlformats.org/officeDocument/2006/relationships/image"/><Relationship Id="rId6" Target="numbering.xml" Type="http://schemas.openxmlformats.org/officeDocument/2006/relationships/numbering"/><Relationship Id="rId7" Target="https://bytedance.larkoffice.com/docx/PlOmdvH1kotsd6xNiz3ckLpOnSg" TargetMode="External" Type="http://schemas.openxmlformats.org/officeDocument/2006/relationships/hyperlink"/><Relationship Id="rId8" Target="media/image2.jpeg" Type="http://schemas.openxmlformats.org/officeDocument/2006/relationships/image"/><Relationship Id="rId9" Target="media/image3.jpe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2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2025-04-02T12:39:56Z</dcterms:created>
  <dc:creator>Apache POI</dc:creator>
</cp:coreProperties>
</file>