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金融投资-全球央行增持黄金趋势分析</w:t>
      </w:r>
    </w:p>
    <w:p>
      <w:r>
        <w:t>来源图片: Screenshot_20240429_190539_tv.danmaku.bili.jpg</w:t>
      </w:r>
    </w:p>
    <w:p>
      <w:r>
        <w:t>识别时间: 2026-04-27 15:36</w:t>
      </w:r>
    </w:p>
    <w:p>
      <w:r>
        <w:t>分类: 金融投资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**摘要**：2022年和2023年全球央行购金情况对比，分析央行增持黄金的动机和全球通胀指标与观点。</w:t>
      </w:r>
    </w:p>
    <w:p/>
    <w:p>
      <w:pPr>
        <w:pStyle w:val="Heading1"/>
      </w:pPr>
      <w:r>
        <w:t>全球央行增持黄金情况</w:t>
      </w:r>
    </w:p>
    <w:p/>
    <w:p>
      <w:pPr>
        <w:pStyle w:val="Heading2"/>
      </w:pPr>
      <w:r>
        <w:t>2022年主要购金央行</w:t>
      </w:r>
    </w:p>
    <w:p>
      <w:r>
        <w:t>- 土耳其</w:t>
      </w:r>
    </w:p>
    <w:p>
      <w:r>
        <w:t>- 中国</w:t>
      </w:r>
    </w:p>
    <w:p>
      <w:r>
        <w:t>- 俄罗斯</w:t>
      </w:r>
    </w:p>
    <w:p/>
    <w:p>
      <w:pPr>
        <w:pStyle w:val="Heading2"/>
      </w:pPr>
      <w:r>
        <w:t>2023年主要购金央行</w:t>
      </w:r>
    </w:p>
    <w:p>
      <w:r>
        <w:t>- 中国</w:t>
      </w:r>
    </w:p>
    <w:p>
      <w:r>
        <w:t>- 波兰</w:t>
      </w:r>
    </w:p>
    <w:p>
      <w:r>
        <w:t>- 新加坡</w:t>
      </w:r>
    </w:p>
    <w:p/>
    <w:p>
      <w:pPr>
        <w:pStyle w:val="Heading2"/>
      </w:pPr>
      <w:r>
        <w:t>央行增持黄金情况(吨)</w:t>
      </w:r>
    </w:p>
    <w:p/>
    <w:p>
      <w:r>
        <w:t>| 国家 | 储备量 | 购入量 |</w:t>
      </w:r>
    </w:p>
    <w:p>
      <w:r>
        <w:t>| :---: | :---: | :---: |</w:t>
      </w:r>
    </w:p>
    <w:p>
      <w:r>
        <w:t>| 中国 | - | - |</w:t>
      </w:r>
    </w:p>
    <w:p>
      <w:r>
        <w:t>| 波兰 | - | - |</w:t>
      </w:r>
    </w:p>
    <w:p>
      <w:r>
        <w:t>| 新加坡 | - | - |</w:t>
      </w:r>
    </w:p>
    <w:p>
      <w:r>
        <w:t>| 利比亚 | - | - |</w:t>
      </w:r>
    </w:p>
    <w:p>
      <w:r>
        <w:t>| 捷克 | - | - |</w:t>
      </w:r>
    </w:p>
    <w:p>
      <w:r>
        <w:t>| 印度 | - | - |</w:t>
      </w:r>
    </w:p>
    <w:p>
      <w:r>
        <w:t>| 卡塔尔 | - | - |</w:t>
      </w:r>
    </w:p>
    <w:p>
      <w:r>
        <w:t>| 伊拉克 | - | - |</w:t>
      </w:r>
    </w:p>
    <w:p>
      <w:r>
        <w:t>| 埃及 | - | - |</w:t>
      </w:r>
    </w:p>
    <w:p>
      <w:r>
        <w:t>| 俄罗斯 | - | - |</w:t>
      </w:r>
    </w:p>
    <w:p/>
    <w:p>
      <w:pPr>
        <w:pStyle w:val="Heading2"/>
      </w:pPr>
      <w:r>
        <w:t>美国的通胀指标与观点</w:t>
      </w:r>
    </w:p>
    <w:p>
      <w:r>
        <w:t>- 未提供具体信息</w:t>
      </w:r>
    </w:p>
    <w:p/>
    <w:p>
      <w:pPr>
        <w:pStyle w:val="Heading2"/>
      </w:pPr>
      <w:r>
        <w:t>全球央行黄金的储备与购金动机</w:t>
      </w:r>
    </w:p>
    <w:p>
      <w:r>
        <w:t>- 未提供具体信息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