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GOTSF KPI 预测与异常检测系统</w:t>
      </w:r>
    </w:p>
    <w:p>
      <w:pPr>
        <w:pStyle w:val="Subtitle"/>
      </w:pPr>
      <w:r>
        <w:t>项目技术报告  第八周交付  2026 年 10 月</w:t>
      </w:r>
    </w:p>
    <w:p>
      <w:r>
        <w:t>项目已将 KPI 预测与异常检测整合为可在本机运行的 Streamlit 应用。用户既能查询历史结果，也能修改输入，观察同一模型给出的预测或异常判定。本次交付集中于 GOTSF，包含独立工程、必要数据和权重、测试材料、操作说明及演示 PPT；旧工程保留作为备份。</w:t>
      </w:r>
    </w:p>
    <w:p>
      <w:r>
        <w:t>当前系统用于离线实验展示和交互分析。预测与检测使用不同的数据粒度，不能直接把两页数值混在一起比较；异常结果和相关性证据均不等同于真实故障或因果结论。</w:t>
      </w:r>
    </w:p>
    <w:p>
      <w:pPr>
        <w:pStyle w:val="Heading1"/>
      </w:pPr>
      <w:r>
        <w:t>1 项目范围与系统结构</w:t>
      </w:r>
    </w:p>
    <w:p>
      <w:r>
        <w:t>前期工作形成了数据预处理、多模型 KPI 预测、统计与机器学习异常检测以及典型事件分析。第七周完成 Web 交互，第八周围绕已实现的 GOTSF 页面收敛工程依赖。本版不复制其他数据集的适配器、无关模型工厂或重复历史脚本。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12"/>
        <w:gridCol w:w="4104"/>
        <w:gridCol w:w="4248"/>
      </w:tblGrid>
      <w:tr>
        <w:trPr>
          <w:cantSplit/>
          <w:tblHeader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type="dxa" w:w="41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实现</w:t>
            </w:r>
          </w:p>
        </w:tc>
        <w:tc>
          <w:tcPr>
            <w:tcW w:type="dxa" w:w="42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主要输出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预测</w:t>
            </w:r>
          </w:p>
        </w:tc>
        <w:tc>
          <w:tcPr>
            <w:tcW w:type="dxa" w:w="41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过去 24 小时的 4 项 KPI 联合输入 LSTM</w:t>
            </w:r>
          </w:p>
        </w:tc>
        <w:tc>
          <w:tcPr>
            <w:tcW w:type="dxa" w:w="42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下一小时 4 项预测及误差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异常检测</w:t>
            </w:r>
          </w:p>
        </w:tc>
        <w:tc>
          <w:tcPr>
            <w:tcW w:type="dxa" w:w="41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每项 KPI 独立评分并应用固定阈值</w:t>
            </w:r>
          </w:p>
        </w:tc>
        <w:tc>
          <w:tcPr>
            <w:tcW w:type="dxa" w:w="42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逐 KPI 分数与记录级 OR 判定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交互界面</w:t>
            </w:r>
          </w:p>
        </w:tc>
        <w:tc>
          <w:tcPr>
            <w:tcW w:type="dxa" w:w="41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输入编辑、历史查询、筛选、曲线与下载</w:t>
            </w:r>
          </w:p>
        </w:tc>
        <w:tc>
          <w:tcPr>
            <w:tcW w:type="dxa" w:w="42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假设输入与原输入的前后对比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离线分析</w:t>
            </w:r>
          </w:p>
        </w:tc>
        <w:tc>
          <w:tcPr>
            <w:tcW w:type="dxa" w:w="41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原始曲线、分数、关联证据与通信机制</w:t>
            </w:r>
          </w:p>
        </w:tc>
        <w:tc>
          <w:tcPr>
            <w:tcW w:type="dxa" w:w="42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候选原因和进一步排查建议</w:t>
            </w:r>
          </w:p>
        </w:tc>
      </w:tr>
    </w:tbl>
    <w:p>
      <w:pPr>
        <w:spacing w:after="0"/>
      </w:pPr>
    </w:p>
    <w:p>
      <w:r>
        <w:t>app.py 负责页面导航，app_pages 负责控件和展示，core 负责数据检查、推理和评分，assets 存放冻结模型及输入。Web 不调用训练命令，也不修改源数据。离线重训另设入口，输出到新目录，不覆盖交付模型。</w:t>
      </w:r>
    </w:p>
    <w:p>
      <w:pPr>
        <w:pStyle w:val="Heading1"/>
      </w:pPr>
      <w:r>
        <w:t>2 数据来源与划分</w:t>
      </w:r>
    </w:p>
    <w:p>
      <w:r>
        <w:t>四项指标为 DLPRB、DLThpVol、DLThpTime 和 MR_number，分别描述下行无线资源利用、下行传输量、下行传输时间及测量报告数量。当前材料保留既有数据集数值尺度；不能未经单位核对就解释为资源百分比、Mbps 或实际用户数量。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3888"/>
        <w:gridCol w:w="4248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type="dxa" w:w="38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预测页面</w:t>
            </w:r>
          </w:p>
        </w:tc>
        <w:tc>
          <w:tcPr>
            <w:tcW w:type="dxa" w:w="42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异常检测页面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观测粒度</w:t>
            </w:r>
          </w:p>
        </w:tc>
        <w:tc>
          <w:tcPr>
            <w:tcW w:type="dxa" w:w="38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网络级小时汇总</w:t>
            </w:r>
          </w:p>
        </w:tc>
        <w:tc>
          <w:tcPr>
            <w:tcW w:type="dxa" w:w="42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90 个小区的小时波束均值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用户输入</w:t>
            </w:r>
          </w:p>
        </w:tc>
        <w:tc>
          <w:tcPr>
            <w:tcW w:type="dxa" w:w="38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24 小时 × 4 项，共 96 个 Z-score 值</w:t>
            </w:r>
          </w:p>
        </w:tc>
        <w:tc>
          <w:tcPr>
            <w:tcW w:type="dxa" w:w="42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选定已有小区及小时的 4 个非负源尺度观测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拟合数据</w:t>
            </w:r>
          </w:p>
        </w:tc>
        <w:tc>
          <w:tcPr>
            <w:tcW w:type="dxa" w:w="38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候选训练 816 个窗口</w:t>
            </w:r>
          </w:p>
        </w:tc>
        <w:tc>
          <w:tcPr>
            <w:tcW w:type="dxa" w:w="42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每项 KPI 60,480 点，小时 0 至 671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验证或校准</w:t>
            </w:r>
          </w:p>
        </w:tc>
        <w:tc>
          <w:tcPr>
            <w:tcW w:type="dxa" w:w="38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144 个窗口选择配置和轮次</w:t>
            </w:r>
          </w:p>
        </w:tc>
        <w:tc>
          <w:tcPr>
            <w:tcW w:type="dxa" w:w="42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每项 KPI 15,120 点，小时 672 至 839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最终测试</w:t>
            </w:r>
          </w:p>
        </w:tc>
        <w:tc>
          <w:tcPr>
            <w:tcW w:type="dxa" w:w="38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144 个窗口，下一小时一步预测</w:t>
            </w:r>
          </w:p>
        </w:tc>
        <w:tc>
          <w:tcPr>
            <w:tcW w:type="dxa" w:w="42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每项 KPI 30,240 点，两个独立的 168 小时片段</w:t>
            </w:r>
          </w:p>
        </w:tc>
      </w:tr>
    </w:tbl>
    <w:p>
      <w:pPr>
        <w:spacing w:after="0"/>
      </w:pPr>
    </w:p>
    <w:p>
      <w:r>
        <w:t>LSTM 选定配置后，把训练和验证的 960 个窗口合并进行最终拟合，测试集不参与拟合。检测测试段为项目相对小时 840 至 1007、1680 至 1847，两段分开展示。预测页面的小时编号则是序列内部的相对位置，例如目标 24 对应输入 0 至 23，不能直接等同于检测页面的全项目小时编号。</w:t>
      </w:r>
    </w:p>
    <w:p>
      <w:r>
        <w:t>预测样本沿用了前期全源数据统计的预处理，存在信息泄漏局限。本次保持数据与结果口径不变，因此结果是原实验的复核，不作为严格无泄漏部署性能。检测的日周期基准与尺度使用既有训练期参数；自定义输入不会重新估计它们。</w:t>
      </w:r>
    </w:p>
    <w:p>
      <w:pPr>
        <w:pStyle w:val="Heading1"/>
      </w:pPr>
      <w:r>
        <w:t>3 LSTM 预测的具体实现</w:t>
      </w:r>
    </w:p>
    <w:p>
      <w:r>
        <w:t>单个样本是 24×4 的矩阵，每一行是一个小时，每列是一项 KPI。模型按时间先后读入 24 行，所有小时共享同一套 LSTM 权重。隐藏状态和记忆状态均为 32 维，起始为零；每一步利用当前 4 个输入和上一小时状态，通过输入门、遗忘门和输出门更新记忆。取第 24 个小时的隐藏状态，经一个线性层映射为 4 个输出。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7776"/>
      </w:tblGrid>
      <w:tr>
        <w:trPr>
          <w:cantSplit/>
          <w:tblHeader/>
        </w:trPr>
        <w:tc>
          <w:tcPr>
            <w:tcW w:type="dxa" w:w="20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配置</w:t>
            </w:r>
          </w:p>
        </w:tc>
        <w:tc>
          <w:tcPr>
            <w:tcW w:type="dxa" w:w="777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取值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网络结构</w:t>
            </w:r>
          </w:p>
        </w:tc>
        <w:tc>
          <w:tcPr>
            <w:tcW w:type="dxa" w:w="777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单层、单向 LSTM，输入维度 4，隐藏维度 32，线性输出 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可训练参数</w:t>
            </w:r>
          </w:p>
        </w:tc>
        <w:tc>
          <w:tcPr>
            <w:tcW w:type="dxa" w:w="777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4,996 个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训练目标</w:t>
            </w:r>
          </w:p>
        </w:tc>
        <w:tc>
          <w:tcPr>
            <w:tcW w:type="dxa" w:w="777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对样本及 4 个输出求平均的均方误差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优化器</w:t>
            </w:r>
          </w:p>
        </w:tc>
        <w:tc>
          <w:tcPr>
            <w:tcW w:type="dxa" w:w="777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Adam，学习率 0.003，权重衰减 1e-5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训练控制</w:t>
            </w:r>
          </w:p>
        </w:tc>
        <w:tc>
          <w:tcPr>
            <w:tcW w:type="dxa" w:w="777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batch size 256，梯度裁剪 1.0，无 dropout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参数选择</w:t>
            </w:r>
          </w:p>
        </w:tc>
        <w:tc>
          <w:tcPr>
            <w:tcW w:type="dxa" w:w="777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验证集平均逐 KPI RMSE；耐心值 12，最小改善 1e-5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交付权重</w:t>
            </w:r>
          </w:p>
        </w:tc>
        <w:tc>
          <w:tcPr>
            <w:tcW w:type="dxa" w:w="777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seed 42，选定最终拟合轮次 80；CPU 推理</w:t>
            </w:r>
          </w:p>
        </w:tc>
      </w:tr>
    </w:tbl>
    <w:p>
      <w:pPr>
        <w:spacing w:after="0"/>
      </w:pPr>
    </w:p>
    <w:p>
      <w:r>
        <w:t>历史查询为一步预测回放：每个窗口独立使用实际历史观测，不把上一次预测值递归填进下一次输入。测试时真实目标只参与画图与评分，不传入 forward。自定义输入则使用同一个冻结模型对原始窗口与编辑窗口分别预测，输出变化不表示模型经过了重新学习。</w:t>
      </w:r>
    </w:p>
    <w:p>
      <w:pPr>
        <w:pStyle w:val="Heading1"/>
      </w:pPr>
      <w:r>
        <w:t>4 预测结果与解释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52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KPI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R²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样本数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DLPRB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0.0444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0.0590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0.9581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144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DLThpVol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0.0322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0.0412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0.9524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144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DLThpTime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0.0368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0.0470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0.9673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144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MR_number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0.0436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0.0564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0.9750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144</w:t>
            </w:r>
          </w:p>
        </w:tc>
      </w:tr>
    </w:tbl>
    <w:p>
      <w:pPr>
        <w:spacing w:after="0"/>
      </w:pPr>
    </w:p>
    <w:p>
      <w:r>
        <w:t>MAE 表示平均绝对误差，RMSE 对较大的误差更敏感，R² 衡量相对于用目标均值预测的改善程度。这里的误差均在 Z-score 尺度，不是物理单位。表中为完整 144 窗口测试集的 CPU 复算结果；网页过滤后的指标仅描述选中子集，应连同样本数阅读。</w:t>
      </w:r>
    </w:p>
    <w:p>
      <w:r>
        <w:t>该表没有用来宣称 LSTM 一定优于所有方法。工程 evidence 中保留了先前 GOTSF 多模型指标档案，但当前网页只接入 LSTM。模型选择及跨方法结论应回到同一数据划分和预处理限制下比较。</w:t>
      </w:r>
    </w:p>
    <w:p>
      <w:pPr>
        <w:pStyle w:val="Heading1"/>
      </w:pPr>
      <w:r>
        <w:t>5 异常检测的具体实现</w:t>
      </w:r>
    </w:p>
    <w:p>
      <w:r>
        <w:t>先对一个小区的有效波束取均值得到小时观测。每个观测减去训练期同小区、同一天内小时的中位数，再除以训练期该小区残差的标准差。此去日周期后的数值是检测输入。随后每项 KPI 跨小区汇总，分别建立 4 种检测器，因此共保存 16 个模型或规则对象，而不是用 4 项特征训练一个联合分类器。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4536"/>
        <w:gridCol w:w="3672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方法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拟合与评分</w:t>
            </w:r>
          </w:p>
        </w:tc>
        <w:tc>
          <w:tcPr>
            <w:tcW w:type="dxa" w:w="36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本项目设置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3σ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训练均值上下 3 个标准差形成基础范围；评分表示偏离边界程度</w:t>
            </w:r>
          </w:p>
        </w:tc>
        <w:tc>
          <w:tcPr>
            <w:tcW w:type="dxa" w:w="36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沿用独立校准，阈值不小于 0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IQR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以 Q1 和 Q3 及 1.5 倍四分位距构造上下界</w:t>
            </w:r>
          </w:p>
        </w:tc>
        <w:tc>
          <w:tcPr>
            <w:tcW w:type="dxa" w:w="36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按原尺度边界距离评分，不除以 IQR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孤立森林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随机划分得到隔离难度；应用取 decision_function 相反数</w:t>
            </w:r>
          </w:p>
        </w:tc>
        <w:tc>
          <w:tcPr>
            <w:tcW w:type="dxa" w:w="36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200 棵树，每树最多 256 点，seed 42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One-Class SVM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RBF 核学习参考分布边界；取 decision_function 相反数</w:t>
            </w:r>
          </w:p>
        </w:tc>
        <w:tc>
          <w:tcPr>
            <w:tcW w:type="dxa" w:w="36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nu 0.05，gamma scale，tol 1e-7</w:t>
            </w:r>
          </w:p>
        </w:tc>
      </w:tr>
    </w:tbl>
    <w:p>
      <w:pPr>
        <w:spacing w:after="0"/>
      </w:pPr>
    </w:p>
    <w:p>
      <w:r>
        <w:t>机器学习方法最多从 60,480 个拟合点中固定随机抽取 6,000 点。孤立森林每棵树的 256 点是在该拟合样本池内再取子样本，不代表整个系统只使用 256 条记录。200 棵树是计算开销与随机评分稳定性之间的工程基线；256 点是常用子采样基线。当前实验没有完成系统参数敏感性搜索，不能写成这些参数已被证明最优。</w:t>
      </w:r>
    </w:p>
    <w:p>
      <w:r>
        <w:t>阈值使用独立校准数据的上尾 5% 分位规则，采用有限样本秩位置，并加入固定数值保护量。SVM 的保护量为 1e-6，其他方法采用 1e-10 乘以阈值尺度。评分严格高于有效阈值才触发；测试时不重算阈值，也不强制每组有 5% 异常。nu 并不等于测试异常比例。</w:t>
      </w:r>
    </w:p>
    <w:p>
      <w:r>
        <w:t>记录级汇总采用 OR：任一 KPI 异常则整条小时记录为疑似异常；4 项都可判且都未触发才是未判异常；有缺项而其余均未触发时标为无法判定。不同 KPI、不同方法的分数不可相加或直接比大小。GOTSF 没有人工故障标签，所以只报告异常标记数量和比例，不提供准确率、召回率或误报率。</w:t>
      </w:r>
    </w:p>
    <w:p>
      <w:pPr>
        <w:pStyle w:val="Heading1"/>
      </w:pPr>
      <w:r>
        <w:t>6 Web 交互与演示方法</w:t>
      </w:r>
    </w:p>
    <w:p>
      <w:r>
        <w:t>预测演示：选择一个测试窗口，将 DLPRB 最后 3 小时增加 0.30，再点击前后比较。页面展示编辑后的历史输入、原预测、当前预测及变化量。增加量属于 Z-score，不是 30% 的物理资源占比。切换可见 KPI 只改变展示，不改变联合预测的输入和输出。</w:t>
      </w:r>
    </w:p>
    <w:p>
      <w:r>
        <w:t>检测演示：选择孤立森林、小区 0_0、test_5w-6w、小时 840，把 DLPRB 改为 2。其分数约由 -0.1026 变为 0.2945，高于有效阈值约 0.1464，记录从未判异常变为疑似异常。其余 3 项分数保持不变，这体现了逐 KPI 独立检测。</w:t>
      </w:r>
    </w:p>
    <w:p>
      <w:r>
        <w:t>系统保留草稿与结果的边界：编辑器种子和用户草稿分开存储，页面切换时重新挂载而不重复应用修改；输入、方法或数据上下文变更后清除旧结果，要求重新计算。缺失值、无穷值、错误维度及错误 KPI 顺序被拒绝。超出训练范围只作警告，不静默截断。下载按当前表格范围导出，并保留完整 4 项明细下载入口。</w:t>
      </w:r>
    </w:p>
    <w:p>
      <w:pPr>
        <w:pStyle w:val="Heading1"/>
      </w:pPr>
      <w:r>
        <w:t>7 典型事件与根因排查</w:t>
      </w:r>
    </w:p>
    <w:p>
      <w:r>
        <w:t>已检测案例为小区 1_1 在 1724 至 1750 小时的连续事件，共 27 个小时；前后各 30 点一起观察，合计 87 点。四项使用 One-Class SVM，事件结果在本次打包模型上重新核对。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1728"/>
        <w:gridCol w:w="1944"/>
        <w:gridCol w:w="2016"/>
        <w:gridCol w:w="1800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KPI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事件异常点</w:t>
            </w:r>
          </w:p>
        </w:tc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事件中位数</w:t>
            </w:r>
          </w:p>
        </w:tc>
        <w:tc>
          <w:tcPr>
            <w:tcW w:type="dxa" w:w="20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分数峰值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峰值小时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DLPRB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2/27</w:t>
            </w:r>
          </w:p>
        </w:tc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0.952</w:t>
            </w:r>
          </w:p>
        </w:tc>
        <w:tc>
          <w:tcPr>
            <w:tcW w:type="dxa" w:w="20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0.6809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1727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DLThpVol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26/27</w:t>
            </w:r>
          </w:p>
        </w:tc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1.632</w:t>
            </w:r>
          </w:p>
        </w:tc>
        <w:tc>
          <w:tcPr>
            <w:tcW w:type="dxa" w:w="20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62.7972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1741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DLThpTime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23/27</w:t>
            </w:r>
          </w:p>
        </w:tc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1.748</w:t>
            </w:r>
          </w:p>
        </w:tc>
        <w:tc>
          <w:tcPr>
            <w:tcW w:type="dxa" w:w="20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59.0401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1732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MR_number</w:t>
            </w:r>
          </w:p>
        </w:tc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1/27</w:t>
            </w:r>
          </w:p>
        </w:tc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0.831</w:t>
            </w:r>
          </w:p>
        </w:tc>
        <w:tc>
          <w:tcPr>
            <w:tcW w:type="dxa" w:w="20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17.2490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1745</w:t>
            </w:r>
          </w:p>
        </w:tc>
      </w:tr>
    </w:tbl>
    <w:p>
      <w:pPr>
        <w:spacing w:after="0"/>
      </w:pPr>
    </w:p>
    <w:p>
      <w:r>
        <w:t>异常主要由传输量与传输时间持续偏高构成，不是四项全程同时异常。历史分析中，两项在完整 87 点去日周期残差上的 Spearman 相关系数为 0.924，Bonferroni 校正后 p 值为 7.954e-14，校正置信区间为 [0.714, 0.981]。该区间是相关系数估计的不确定性范围，不是 KPI 正常取值范围。这里沿用原实验 164 项检验的校正口径，没有因仅展示 GOTSF 而放松标准。</w:t>
      </w:r>
    </w:p>
    <w:p>
      <w:r>
        <w:t>相关性支持两者共同变化，但不能说明谁导致谁。优先核查业务量和调度变化，再检查排队、时延、丢包与调度日志；同时核对采集和聚合方式。缺少体验与故障日志时，不应直接下结论为资源拥塞、用户激增或攻击。该分析作为离线报告提供，未被包装成网页自动根因确认功能。</w:t>
      </w:r>
    </w:p>
    <w:p>
      <w:pPr>
        <w:pStyle w:val="Heading1"/>
      </w:pPr>
      <w:r>
        <w:t>8 工程整理与验证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4536"/>
        <w:gridCol w:w="3312"/>
      </w:tblGrid>
      <w:tr>
        <w:trPr>
          <w:cantSplit/>
          <w:tblHeader/>
        </w:trPr>
        <w:tc>
          <w:tcPr>
            <w:tcW w:type="dxa" w:w="20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检查项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核对范围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异常检测迁移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16 个对象 × 30,240 点，共 483,840 次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分数差异为 0，判定完全一致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LSTM 代码清理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新旧代码在同一 CPU 上运行 144 窗口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输出差异为 0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历史 CUDA 结果对照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144 × 4 个输出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最大绝对差约 5.63e-6，符合浮点后端差异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自动化测试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12 项，涵盖资产、推理、输入边界和 4 种页面模式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全部通过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离线训练入口</w:t>
            </w:r>
          </w:p>
        </w:tc>
        <w:tc>
          <w:tcPr>
            <w:tcW w:type="dxa" w:w="45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LSTM 最终拟合及 16 个检测器命令</w:t>
            </w:r>
          </w:p>
        </w:tc>
        <w:tc>
          <w:tcPr>
            <w:tcW w:type="dxa" w:w="33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本机执行通过，未替换交付权重</w:t>
            </w:r>
          </w:p>
        </w:tc>
      </w:tr>
    </w:tbl>
    <w:p>
      <w:pPr>
        <w:spacing w:after="0"/>
      </w:pPr>
    </w:p>
    <w:p>
      <w:r>
        <w:t>所有必需资产随工程提供，运行代码通过相对路径定位，不依赖原 E 盘 Week5 或 Week6 目录。模型文件记录 SHA-256 校验值。加载模型仅限受信任的交付资产，网页没有开放任意模型上传。新电脑完整安装、浏览器交互的全部视觉状态、并发压力和生产部署不在本次验证范围内。</w:t>
      </w:r>
    </w:p>
    <w:p>
      <w:r>
        <w:t>代码清理移除了无关数据集特例、多模型工厂、动态导入和重复文件，保留关键注释、缓存失效参数、数值保护及状态管理。旧目录的已有修改没有被删除、回退或合并到新的提交中。</w:t>
      </w:r>
    </w:p>
    <w:p>
      <w:pPr>
        <w:pStyle w:val="Heading1"/>
      </w:pPr>
      <w:r>
        <w:t>9 交付与后续改进</w:t>
      </w:r>
    </w:p>
    <w:p>
      <w:r>
        <w:t>交付包含独立本地 Git 仓库、可恢复历史的 Git bundle 和不含虚拟环境的 ZIP 提交包。docs 中存放本报告、8 页演示 PPT、操作说明与整理记录；README 提供启动、测试及可选重训命令。用户确认本次不上传 GitHub，因此没有创建或配置远程仓库。</w:t>
      </w:r>
    </w:p>
    <w:p>
      <w:r>
        <w:t>下一阶段首先应把预测预处理改为仅在训练期拟合，并重新跑时间隔离的评估；其次引入经过确认的异常标签和故障日志，验证告警质量及根因假设；最后再考虑统一预测与检测的数据粒度、实时接入和部署。这些是后续工作，不列为当前已完成功能。</w:t>
      </w:r>
    </w:p>
    <w:p>
      <w:pPr>
        <w:pStyle w:val="Heading1"/>
      </w:pPr>
      <w:r>
        <w:t>附录 可核对材料</w:t>
      </w:r>
    </w:p>
    <w:p>
      <w:r>
        <w:t>数据及模型来源：原 Week5 的 GOTSF 联合预测输出、原 Week6 所选 KPI 的 GOTSF 检测输出、用户最后修改的 Week7 页面。输入与模型哈希见 evidence/asset_manifest.json；迁移结果见 migration_audit.json；预测指标见 current_prediction_metrics.csv；案例数值见 root_cause_case.csv；自动化测试详情见 test_results.txt。相关性数字引用第六周异常根因分析报告的 GOTSF 案例，本版未重新估计统计区间。</w:t>
      </w:r>
    </w:p>
    <w:p>
      <w:pPr>
        <w:pStyle w:val="Heading2"/>
      </w:pPr>
      <w:r>
        <w:t>启动与复核</w:t>
      </w:r>
    </w:p>
    <w:p>
      <w:r>
        <w:t>在解压后的 gotsf-kpi-system 目录打开终端，使用已安装 requirements.txt 依赖的 Python 环境。若沿用原 Week5 环境，具体解释器路径和 PowerShell 完整命令见 README。下面命令均在工程根目录执行。</w:t>
      </w:r>
    </w:p>
    <w:p>
      <w:r>
        <w:rPr>
          <w:rFonts w:ascii="Consolas" w:hAnsi="Consolas"/>
          <w:sz w:val="20"/>
        </w:rPr>
        <w:t>python -m streamlit run app.py --server.address 127.0.0.1</w:t>
      </w:r>
    </w:p>
    <w:p>
      <w:r>
        <w:rPr>
          <w:rFonts w:ascii="Consolas" w:hAnsi="Consolas"/>
          <w:sz w:val="20"/>
        </w:rPr>
        <w:t>python -m unittest discover -s tests -v</w:t>
      </w:r>
    </w:p>
    <w:p>
      <w:r>
        <w:t>启动后访问 http://127.0.0.1:8501，保持终端运行。演示先做预测页的批量修改与恢复，再做异常页的单小时试验，最后导出 CSV 检查 4 项结果。页面标为“疑似异常”时，应回看分数、有效阈值和输入尺度，不直接解释为故障。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6984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交付对象</w:t>
            </w:r>
          </w:p>
        </w:tc>
        <w:tc>
          <w:tcPr>
            <w:tcW w:type="dxa" w:w="698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keepNext/>
              <w:spacing w:after="40" w:before="40" w:line="264" w:lineRule="auto"/>
            </w:pPr>
            <w:r>
              <w:rPr>
                <w:b/>
                <w:sz w:val="20"/>
              </w:rPr>
              <w:t>内容与用途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gotsf-kpi-system 目录</w:t>
            </w:r>
          </w:p>
        </w:tc>
        <w:tc>
          <w:tcPr>
            <w:tcW w:type="dxa" w:w="698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可运行工程和本地 Git 历史，README 是第一入口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ZIP 提交包</w:t>
            </w:r>
          </w:p>
        </w:tc>
        <w:tc>
          <w:tcPr>
            <w:tcW w:type="dxa" w:w="698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代码、必要资产及文档；不含虚拟环境、缓存和 .git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Git bundle</w:t>
            </w:r>
          </w:p>
        </w:tc>
        <w:tc>
          <w:tcPr>
            <w:tcW w:type="dxa" w:w="698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离线保存提交历史，可用 git clone 恢复仓库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docs 目录</w:t>
            </w:r>
          </w:p>
        </w:tc>
        <w:tc>
          <w:tcPr>
            <w:tcW w:type="dxa" w:w="698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技术报告、8 页演示 PPT、操作说明及整理记录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evidence 目录</w:t>
            </w:r>
          </w:p>
        </w:tc>
        <w:tc>
          <w:tcPr>
            <w:tcW w:type="dxa" w:w="698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64" w:lineRule="auto"/>
            </w:pPr>
            <w:r>
              <w:rPr>
                <w:b w:val="0"/>
                <w:sz w:val="20"/>
              </w:rPr>
              <w:t>指标档案、资产校验、模型迁移与测试结果</w:t>
            </w:r>
          </w:p>
        </w:tc>
      </w:tr>
    </w:tbl>
    <w:p>
      <w:pPr>
        <w:spacing w:after="0"/>
      </w:pPr>
    </w:p>
    <w:p>
      <w:r>
        <w:t>现有模型仅接受本项目已定义的输入格式。将来迁移到新小区、新采集系统或原始物理单位时，需要重新核对字段、时间顺序、聚合及预处理参数，不能只更换 CSV 文件路径。公开仓库前还应确认数据和权重的再分发许可。</w:t>
      </w:r>
    </w:p>
    <w:sectPr w:rsidR="00FC693F" w:rsidRPr="0006063C" w:rsidSect="00034616"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pageBreakBefore w:val="0"/>
      <w:spacing w:after="140" w:line="288" w:lineRule="auto"/>
    </w:pPr>
    <w:rPr>
      <w:rFonts w:ascii="Microsoft YaHei" w:hAnsi="Microsoft YaHei" w:eastAsia="微软雅黑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40" w:after="140" w:line="288" w:lineRule="auto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40" w:after="140" w:line="288" w:lineRule="auto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ageBreakBefore w:val="0"/>
      <w:spacing w:after="140" w:line="288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pageBreakBefore w:val="0"/>
      <w:numPr>
        <w:ilvl w:val="1"/>
      </w:numPr>
      <w:spacing w:after="140" w:line="288" w:lineRule="auto"/>
    </w:pPr>
    <w:rPr>
      <w:rFonts w:asciiTheme="majorHAnsi" w:eastAsiaTheme="majorEastAsia" w:hAnsiTheme="majorHAnsi" w:cstheme="majorBidi" w:ascii="Microsoft YaHei" w:hAnsi="Microsoft YaHei" w:eastAsia="微软雅黑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pageBreakBefore w:val="0"/>
      <w:spacing w:line="288" w:lineRule="auto" w:after="140"/>
    </w:pPr>
    <w:rPr>
      <w:rFonts w:ascii="Microsoft YaHei" w:hAnsi="Microsoft YaHei" w:eastAsia="微软雅黑"/>
      <w:b/>
      <w:bCs/>
      <w:i w:val="0"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GOTSF KPI预测与异常检测系统技术报告</dc:title>
  <dc:subject>第八周项目总结与交付</dc:subject>
  <dc:creator>HAOYU CHEN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