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545"/>
          <w:sz w:val="32"/>
        </w:rPr>
        <w:t>EEP 595 Privacy-Preserving ML - Project Part 3 Final Report</w:t>
      </w:r>
    </w:p>
    <w:p>
      <w:pPr>
        <w:jc w:val="center"/>
      </w:pPr>
      <w:r>
        <w:rPr>
          <w:rFonts w:ascii="Calibri" w:hAnsi="Calibri"/>
          <w:b w:val="0"/>
          <w:color w:val="555555"/>
          <w:sz w:val="18"/>
        </w:rPr>
        <w:t>Project: Evaluating Privacy-Utility Tradeoffs in Machine Learning | Team: Joe Zhang, Mingwei Xu, Houser Zhang | Due: May 30, 2026</w:t>
      </w:r>
    </w:p>
    <w:p>
      <w:pPr>
        <w:pStyle w:val="Heading1"/>
      </w:pPr>
      <w:r>
        <w:rPr>
          <w:rFonts w:ascii="Calibri" w:hAnsi="Calibri"/>
          <w:b/>
          <w:color w:val="2E74B5"/>
          <w:sz w:val="32"/>
        </w:rPr>
        <w:t>Executive Summary</w:t>
      </w:r>
    </w:p>
    <w:p>
      <w:pPr>
        <w:spacing w:after="120" w:line="264" w:lineRule="auto"/>
      </w:pPr>
      <w:r>
        <w:rPr>
          <w:rFonts w:ascii="Calibri" w:hAnsi="Calibri"/>
          <w:b w:val="0"/>
          <w:sz w:val="22"/>
        </w:rPr>
        <w:t>Our project set out to benchmark three foundational Privacy-Preserving Machine Learning (PPML) techniques on a shared classification task: Differential Privacy (DP), Federated Learning (FL), and Homomorphic Encryption (HE). In Part 2, we established a reproducible pipeline. For our Part 3 Final Report, we refined these prototypes into robust implementations by adding native RDP accounting for DP, pathological non-IID data splits for FL to observe client drift, and fully measured TenSEAL encrypted inference for HE.</w:t>
      </w:r>
    </w:p>
    <w:p>
      <w:pPr>
        <w:pStyle w:val="Heading1"/>
      </w:pPr>
      <w:r>
        <w:rPr>
          <w:rFonts w:ascii="Calibri" w:hAnsi="Calibri"/>
          <w:b/>
          <w:color w:val="2E74B5"/>
          <w:sz w:val="32"/>
        </w:rPr>
        <w:t>Final Results &amp; Analysis</w:t>
      </w:r>
    </w:p>
    <w:p>
      <w:pPr>
        <w:spacing w:after="120" w:line="264" w:lineRule="auto"/>
      </w:pPr>
      <w:r>
        <w:rPr>
          <w:rFonts w:ascii="Calibri" w:hAnsi="Calibri"/>
          <w:b w:val="0"/>
          <w:sz w:val="22"/>
        </w:rPr>
        <w:t>The table below outlines our final metrics across the various benchmarking tracks. Accuracy and macro-F1 measure model utility, train-test gap serves as a preliminary over-fitting signal, and runtime captures computational cost. The privacy budget (epsilon) is computed for the target delta = 10^-4.</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2736"/>
            <w:tcMar>
              <w:top w:w="80" w:type="dxa"/>
              <w:start w:w="120" w:type="dxa"/>
              <w:bottom w:w="80" w:type="dxa"/>
              <w:end w:w="120" w:type="dxa"/>
            </w:tcMar>
            <w:shd w:fill="E8EEF5"/>
          </w:tcPr>
          <w:p>
            <w:pPr>
              <w:jc w:val="center"/>
            </w:pPr>
            <w:r/>
            <w:r>
              <w:rPr>
                <w:rFonts w:ascii="Calibri" w:hAnsi="Calibri"/>
                <w:b/>
                <w:color w:val="0B2545"/>
                <w:sz w:val="16"/>
              </w:rPr>
              <w:t>Method</w:t>
            </w:r>
          </w:p>
        </w:tc>
        <w:tc>
          <w:tcPr>
            <w:tcW w:type="dxa" w:w="1008"/>
            <w:tcMar>
              <w:top w:w="80" w:type="dxa"/>
              <w:start w:w="120" w:type="dxa"/>
              <w:bottom w:w="80" w:type="dxa"/>
              <w:end w:w="120" w:type="dxa"/>
            </w:tcMar>
            <w:shd w:fill="E8EEF5"/>
          </w:tcPr>
          <w:p>
            <w:pPr>
              <w:jc w:val="center"/>
            </w:pPr>
            <w:r/>
            <w:r>
              <w:rPr>
                <w:rFonts w:ascii="Calibri" w:hAnsi="Calibri"/>
                <w:b/>
                <w:color w:val="0B2545"/>
                <w:sz w:val="16"/>
              </w:rPr>
              <w:t>Test acc.</w:t>
            </w:r>
          </w:p>
        </w:tc>
        <w:tc>
          <w:tcPr>
            <w:tcW w:type="dxa" w:w="1008"/>
            <w:tcMar>
              <w:top w:w="80" w:type="dxa"/>
              <w:start w:w="120" w:type="dxa"/>
              <w:bottom w:w="80" w:type="dxa"/>
              <w:end w:w="120" w:type="dxa"/>
            </w:tcMar>
            <w:shd w:fill="E8EEF5"/>
          </w:tcPr>
          <w:p>
            <w:pPr>
              <w:jc w:val="center"/>
            </w:pPr>
            <w:r/>
            <w:r>
              <w:rPr>
                <w:rFonts w:ascii="Calibri" w:hAnsi="Calibri"/>
                <w:b/>
                <w:color w:val="0B2545"/>
                <w:sz w:val="16"/>
              </w:rPr>
              <w:t>Macro-F1</w:t>
            </w:r>
          </w:p>
        </w:tc>
        <w:tc>
          <w:tcPr>
            <w:tcW w:type="dxa" w:w="792"/>
            <w:tcMar>
              <w:top w:w="80" w:type="dxa"/>
              <w:start w:w="120" w:type="dxa"/>
              <w:bottom w:w="80" w:type="dxa"/>
              <w:end w:w="120" w:type="dxa"/>
            </w:tcMar>
            <w:shd w:fill="E8EEF5"/>
          </w:tcPr>
          <w:p>
            <w:pPr>
              <w:jc w:val="center"/>
            </w:pPr>
            <w:r/>
            <w:r>
              <w:rPr>
                <w:rFonts w:ascii="Calibri" w:hAnsi="Calibri"/>
                <w:b/>
                <w:color w:val="0B2545"/>
                <w:sz w:val="16"/>
              </w:rPr>
              <w:t>Gap</w:t>
            </w:r>
          </w:p>
        </w:tc>
        <w:tc>
          <w:tcPr>
            <w:tcW w:type="dxa" w:w="936"/>
            <w:tcMar>
              <w:top w:w="80" w:type="dxa"/>
              <w:start w:w="120" w:type="dxa"/>
              <w:bottom w:w="80" w:type="dxa"/>
              <w:end w:w="120" w:type="dxa"/>
            </w:tcMar>
            <w:shd w:fill="E8EEF5"/>
          </w:tcPr>
          <w:p>
            <w:pPr>
              <w:jc w:val="center"/>
            </w:pPr>
            <w:r/>
            <w:r>
              <w:rPr>
                <w:rFonts w:ascii="Calibri" w:hAnsi="Calibri"/>
                <w:b/>
                <w:color w:val="0B2545"/>
                <w:sz w:val="16"/>
              </w:rPr>
              <w:t>Runtime</w:t>
            </w:r>
          </w:p>
        </w:tc>
        <w:tc>
          <w:tcPr>
            <w:tcW w:type="dxa" w:w="1440"/>
            <w:tcMar>
              <w:top w:w="80" w:type="dxa"/>
              <w:start w:w="120" w:type="dxa"/>
              <w:bottom w:w="80" w:type="dxa"/>
              <w:end w:w="120" w:type="dxa"/>
            </w:tcMar>
            <w:shd w:fill="E8EEF5"/>
          </w:tcPr>
          <w:p>
            <w:pPr>
              <w:jc w:val="center"/>
            </w:pPr>
            <w:r/>
            <w:r>
              <w:rPr>
                <w:rFonts w:ascii="Calibri" w:hAnsi="Calibri"/>
                <w:b/>
                <w:color w:val="0B2545"/>
                <w:sz w:val="16"/>
              </w:rPr>
              <w:t>Epsilon (δ=1e-4)</w:t>
            </w:r>
          </w:p>
        </w:tc>
      </w:tr>
      <w:tr>
        <w:tc>
          <w:tcPr>
            <w:tcW w:type="dxa" w:w="2736"/>
            <w:tcMar>
              <w:top w:w="80" w:type="dxa"/>
              <w:start w:w="120" w:type="dxa"/>
              <w:bottom w:w="80" w:type="dxa"/>
              <w:end w:w="120" w:type="dxa"/>
            </w:tcMar>
          </w:tcPr>
          <w:p>
            <w:pPr>
              <w:jc w:val="left"/>
            </w:pPr>
            <w:r/>
            <w:r>
              <w:rPr>
                <w:rFonts w:ascii="Calibri" w:hAnsi="Calibri"/>
                <w:b w:val="0"/>
                <w:sz w:val="16"/>
              </w:rPr>
              <w:t>Centralized baseline</w:t>
            </w:r>
          </w:p>
        </w:tc>
        <w:tc>
          <w:tcPr>
            <w:tcW w:type="dxa" w:w="1008"/>
            <w:tcMar>
              <w:top w:w="80" w:type="dxa"/>
              <w:start w:w="120" w:type="dxa"/>
              <w:bottom w:w="80" w:type="dxa"/>
              <w:end w:w="120" w:type="dxa"/>
            </w:tcMar>
          </w:tcPr>
          <w:p>
            <w:pPr>
              <w:jc w:val="center"/>
            </w:pPr>
            <w:r/>
            <w:r>
              <w:rPr>
                <w:rFonts w:ascii="Calibri" w:hAnsi="Calibri"/>
                <w:b w:val="0"/>
                <w:sz w:val="16"/>
              </w:rPr>
              <w:t>98.33%</w:t>
            </w:r>
          </w:p>
        </w:tc>
        <w:tc>
          <w:tcPr>
            <w:tcW w:type="dxa" w:w="1008"/>
            <w:tcMar>
              <w:top w:w="80" w:type="dxa"/>
              <w:start w:w="120" w:type="dxa"/>
              <w:bottom w:w="80" w:type="dxa"/>
              <w:end w:w="120" w:type="dxa"/>
            </w:tcMar>
          </w:tcPr>
          <w:p>
            <w:pPr>
              <w:jc w:val="center"/>
            </w:pPr>
            <w:r/>
            <w:r>
              <w:rPr>
                <w:rFonts w:ascii="Calibri" w:hAnsi="Calibri"/>
                <w:b w:val="0"/>
                <w:sz w:val="16"/>
              </w:rPr>
              <w:t>0.9833</w:t>
            </w:r>
          </w:p>
        </w:tc>
        <w:tc>
          <w:tcPr>
            <w:tcW w:type="dxa" w:w="792"/>
            <w:tcMar>
              <w:top w:w="80" w:type="dxa"/>
              <w:start w:w="120" w:type="dxa"/>
              <w:bottom w:w="80" w:type="dxa"/>
              <w:end w:w="120" w:type="dxa"/>
            </w:tcMar>
          </w:tcPr>
          <w:p>
            <w:pPr>
              <w:jc w:val="center"/>
            </w:pPr>
            <w:r/>
            <w:r>
              <w:rPr>
                <w:rFonts w:ascii="Calibri" w:hAnsi="Calibri"/>
                <w:b w:val="0"/>
                <w:sz w:val="16"/>
              </w:rPr>
              <w:t>0.0027</w:t>
            </w:r>
          </w:p>
        </w:tc>
        <w:tc>
          <w:tcPr>
            <w:tcW w:type="dxa" w:w="936"/>
            <w:tcMar>
              <w:top w:w="80" w:type="dxa"/>
              <w:start w:w="120" w:type="dxa"/>
              <w:bottom w:w="80" w:type="dxa"/>
              <w:end w:w="120" w:type="dxa"/>
            </w:tcMar>
          </w:tcPr>
          <w:p>
            <w:pPr>
              <w:jc w:val="center"/>
            </w:pPr>
            <w:r/>
            <w:r>
              <w:rPr>
                <w:rFonts w:ascii="Calibri" w:hAnsi="Calibri"/>
                <w:b w:val="0"/>
                <w:sz w:val="16"/>
              </w:rPr>
              <w:t>0.395s</w:t>
            </w:r>
          </w:p>
        </w:tc>
        <w:tc>
          <w:tcPr>
            <w:tcW w:type="dxa" w:w="1440"/>
            <w:tcMar>
              <w:top w:w="80" w:type="dxa"/>
              <w:start w:w="120" w:type="dxa"/>
              <w:bottom w:w="80" w:type="dxa"/>
              <w:end w:w="120" w:type="dxa"/>
            </w:tcMar>
          </w:tcPr>
          <w:p>
            <w:pPr>
              <w:jc w:val="center"/>
            </w:pPr>
            <w:r/>
            <w:r>
              <w:rPr>
                <w:rFonts w:ascii="Calibri" w:hAnsi="Calibri"/>
                <w:b w:val="0"/>
                <w:sz w:val="16"/>
              </w:rPr>
              <w:t>∞</w:t>
            </w:r>
          </w:p>
        </w:tc>
      </w:tr>
      <w:tr>
        <w:tc>
          <w:tcPr>
            <w:tcW w:type="dxa" w:w="2736"/>
            <w:tcMar>
              <w:top w:w="80" w:type="dxa"/>
              <w:start w:w="120" w:type="dxa"/>
              <w:bottom w:w="80" w:type="dxa"/>
              <w:end w:w="120" w:type="dxa"/>
            </w:tcMar>
          </w:tcPr>
          <w:p>
            <w:pPr>
              <w:jc w:val="left"/>
            </w:pPr>
            <w:r/>
            <w:r>
              <w:rPr>
                <w:rFonts w:ascii="Calibri" w:hAnsi="Calibri"/>
                <w:b w:val="0"/>
                <w:sz w:val="16"/>
              </w:rPr>
              <w:t>DP-style, noise 0.5</w:t>
            </w:r>
          </w:p>
        </w:tc>
        <w:tc>
          <w:tcPr>
            <w:tcW w:type="dxa" w:w="1008"/>
            <w:tcMar>
              <w:top w:w="80" w:type="dxa"/>
              <w:start w:w="120" w:type="dxa"/>
              <w:bottom w:w="80" w:type="dxa"/>
              <w:end w:w="120" w:type="dxa"/>
            </w:tcMar>
          </w:tcPr>
          <w:p>
            <w:pPr>
              <w:jc w:val="center"/>
            </w:pPr>
            <w:r/>
            <w:r>
              <w:rPr>
                <w:rFonts w:ascii="Calibri" w:hAnsi="Calibri"/>
                <w:b w:val="0"/>
                <w:sz w:val="16"/>
              </w:rPr>
              <w:t>97.22%</w:t>
            </w:r>
          </w:p>
        </w:tc>
        <w:tc>
          <w:tcPr>
            <w:tcW w:type="dxa" w:w="1008"/>
            <w:tcMar>
              <w:top w:w="80" w:type="dxa"/>
              <w:start w:w="120" w:type="dxa"/>
              <w:bottom w:w="80" w:type="dxa"/>
              <w:end w:w="120" w:type="dxa"/>
            </w:tcMar>
          </w:tcPr>
          <w:p>
            <w:pPr>
              <w:jc w:val="center"/>
            </w:pPr>
            <w:r/>
            <w:r>
              <w:rPr>
                <w:rFonts w:ascii="Calibri" w:hAnsi="Calibri"/>
                <w:b w:val="0"/>
                <w:sz w:val="16"/>
              </w:rPr>
              <w:t>0.9718</w:t>
            </w:r>
          </w:p>
        </w:tc>
        <w:tc>
          <w:tcPr>
            <w:tcW w:type="dxa" w:w="792"/>
            <w:tcMar>
              <w:top w:w="80" w:type="dxa"/>
              <w:start w:w="120" w:type="dxa"/>
              <w:bottom w:w="80" w:type="dxa"/>
              <w:end w:w="120" w:type="dxa"/>
            </w:tcMar>
          </w:tcPr>
          <w:p>
            <w:pPr>
              <w:jc w:val="center"/>
            </w:pPr>
            <w:r/>
            <w:r>
              <w:rPr>
                <w:rFonts w:ascii="Calibri" w:hAnsi="Calibri"/>
                <w:b w:val="0"/>
                <w:sz w:val="16"/>
              </w:rPr>
              <w:t>0.0034</w:t>
            </w:r>
          </w:p>
        </w:tc>
        <w:tc>
          <w:tcPr>
            <w:tcW w:type="dxa" w:w="936"/>
            <w:tcMar>
              <w:top w:w="80" w:type="dxa"/>
              <w:start w:w="120" w:type="dxa"/>
              <w:bottom w:w="80" w:type="dxa"/>
              <w:end w:w="120" w:type="dxa"/>
            </w:tcMar>
          </w:tcPr>
          <w:p>
            <w:pPr>
              <w:jc w:val="center"/>
            </w:pPr>
            <w:r/>
            <w:r>
              <w:rPr>
                <w:rFonts w:ascii="Calibri" w:hAnsi="Calibri"/>
                <w:b w:val="0"/>
                <w:sz w:val="16"/>
              </w:rPr>
              <w:t>0.900s</w:t>
            </w:r>
          </w:p>
        </w:tc>
        <w:tc>
          <w:tcPr>
            <w:tcW w:type="dxa" w:w="1440"/>
            <w:tcMar>
              <w:top w:w="80" w:type="dxa"/>
              <w:start w:w="120" w:type="dxa"/>
              <w:bottom w:w="80" w:type="dxa"/>
              <w:end w:w="120" w:type="dxa"/>
            </w:tcMar>
          </w:tcPr>
          <w:p>
            <w:pPr>
              <w:jc w:val="center"/>
            </w:pPr>
            <w:r/>
            <w:r>
              <w:rPr>
                <w:rFonts w:ascii="Calibri" w:hAnsi="Calibri"/>
                <w:b w:val="0"/>
                <w:sz w:val="16"/>
              </w:rPr>
              <w:t>23.70</w:t>
            </w:r>
          </w:p>
        </w:tc>
      </w:tr>
      <w:tr>
        <w:tc>
          <w:tcPr>
            <w:tcW w:type="dxa" w:w="2736"/>
            <w:tcMar>
              <w:top w:w="80" w:type="dxa"/>
              <w:start w:w="120" w:type="dxa"/>
              <w:bottom w:w="80" w:type="dxa"/>
              <w:end w:w="120" w:type="dxa"/>
            </w:tcMar>
          </w:tcPr>
          <w:p>
            <w:pPr>
              <w:jc w:val="left"/>
            </w:pPr>
            <w:r/>
            <w:r>
              <w:rPr>
                <w:rFonts w:ascii="Calibri" w:hAnsi="Calibri"/>
                <w:b w:val="0"/>
                <w:sz w:val="16"/>
              </w:rPr>
              <w:t>DP-style, noise 1.0</w:t>
            </w:r>
          </w:p>
        </w:tc>
        <w:tc>
          <w:tcPr>
            <w:tcW w:type="dxa" w:w="1008"/>
            <w:tcMar>
              <w:top w:w="80" w:type="dxa"/>
              <w:start w:w="120" w:type="dxa"/>
              <w:bottom w:w="80" w:type="dxa"/>
              <w:end w:w="120" w:type="dxa"/>
            </w:tcMar>
          </w:tcPr>
          <w:p>
            <w:pPr>
              <w:jc w:val="center"/>
            </w:pPr>
            <w:r/>
            <w:r>
              <w:rPr>
                <w:rFonts w:ascii="Calibri" w:hAnsi="Calibri"/>
                <w:b w:val="0"/>
                <w:sz w:val="16"/>
              </w:rPr>
              <w:t>96.67%</w:t>
            </w:r>
          </w:p>
        </w:tc>
        <w:tc>
          <w:tcPr>
            <w:tcW w:type="dxa" w:w="1008"/>
            <w:tcMar>
              <w:top w:w="80" w:type="dxa"/>
              <w:start w:w="120" w:type="dxa"/>
              <w:bottom w:w="80" w:type="dxa"/>
              <w:end w:w="120" w:type="dxa"/>
            </w:tcMar>
          </w:tcPr>
          <w:p>
            <w:pPr>
              <w:jc w:val="center"/>
            </w:pPr>
            <w:r/>
            <w:r>
              <w:rPr>
                <w:rFonts w:ascii="Calibri" w:hAnsi="Calibri"/>
                <w:b w:val="0"/>
                <w:sz w:val="16"/>
              </w:rPr>
              <w:t>0.9667</w:t>
            </w:r>
          </w:p>
        </w:tc>
        <w:tc>
          <w:tcPr>
            <w:tcW w:type="dxa" w:w="792"/>
            <w:tcMar>
              <w:top w:w="80" w:type="dxa"/>
              <w:start w:w="120" w:type="dxa"/>
              <w:bottom w:w="80" w:type="dxa"/>
              <w:end w:w="120" w:type="dxa"/>
            </w:tcMar>
          </w:tcPr>
          <w:p>
            <w:pPr>
              <w:jc w:val="center"/>
            </w:pPr>
            <w:r/>
            <w:r>
              <w:rPr>
                <w:rFonts w:ascii="Calibri" w:hAnsi="Calibri"/>
                <w:b w:val="0"/>
                <w:sz w:val="16"/>
              </w:rPr>
              <w:t>0.0020</w:t>
            </w:r>
          </w:p>
        </w:tc>
        <w:tc>
          <w:tcPr>
            <w:tcW w:type="dxa" w:w="936"/>
            <w:tcMar>
              <w:top w:w="80" w:type="dxa"/>
              <w:start w:w="120" w:type="dxa"/>
              <w:bottom w:w="80" w:type="dxa"/>
              <w:end w:w="120" w:type="dxa"/>
            </w:tcMar>
          </w:tcPr>
          <w:p>
            <w:pPr>
              <w:jc w:val="center"/>
            </w:pPr>
            <w:r/>
            <w:r>
              <w:rPr>
                <w:rFonts w:ascii="Calibri" w:hAnsi="Calibri"/>
                <w:b w:val="0"/>
                <w:sz w:val="16"/>
              </w:rPr>
              <w:t>0.850s</w:t>
            </w:r>
          </w:p>
        </w:tc>
        <w:tc>
          <w:tcPr>
            <w:tcW w:type="dxa" w:w="1440"/>
            <w:tcMar>
              <w:top w:w="80" w:type="dxa"/>
              <w:start w:w="120" w:type="dxa"/>
              <w:bottom w:w="80" w:type="dxa"/>
              <w:end w:w="120" w:type="dxa"/>
            </w:tcMar>
          </w:tcPr>
          <w:p>
            <w:pPr>
              <w:jc w:val="center"/>
            </w:pPr>
            <w:r/>
            <w:r>
              <w:rPr>
                <w:rFonts w:ascii="Calibri" w:hAnsi="Calibri"/>
                <w:b w:val="0"/>
                <w:sz w:val="16"/>
              </w:rPr>
              <w:t>10.02</w:t>
            </w:r>
          </w:p>
        </w:tc>
      </w:tr>
      <w:tr>
        <w:tc>
          <w:tcPr>
            <w:tcW w:type="dxa" w:w="2736"/>
            <w:tcMar>
              <w:top w:w="80" w:type="dxa"/>
              <w:start w:w="120" w:type="dxa"/>
              <w:bottom w:w="80" w:type="dxa"/>
              <w:end w:w="120" w:type="dxa"/>
            </w:tcMar>
          </w:tcPr>
          <w:p>
            <w:pPr>
              <w:jc w:val="left"/>
            </w:pPr>
            <w:r/>
            <w:r>
              <w:rPr>
                <w:rFonts w:ascii="Calibri" w:hAnsi="Calibri"/>
                <w:b w:val="0"/>
                <w:sz w:val="16"/>
              </w:rPr>
              <w:t>DP-style, noise 2.0</w:t>
            </w:r>
          </w:p>
        </w:tc>
        <w:tc>
          <w:tcPr>
            <w:tcW w:type="dxa" w:w="1008"/>
            <w:tcMar>
              <w:top w:w="80" w:type="dxa"/>
              <w:start w:w="120" w:type="dxa"/>
              <w:bottom w:w="80" w:type="dxa"/>
              <w:end w:w="120" w:type="dxa"/>
            </w:tcMar>
          </w:tcPr>
          <w:p>
            <w:pPr>
              <w:jc w:val="center"/>
            </w:pPr>
            <w:r/>
            <w:r>
              <w:rPr>
                <w:rFonts w:ascii="Calibri" w:hAnsi="Calibri"/>
                <w:b w:val="0"/>
                <w:sz w:val="16"/>
              </w:rPr>
              <w:t>95.00%</w:t>
            </w:r>
          </w:p>
        </w:tc>
        <w:tc>
          <w:tcPr>
            <w:tcW w:type="dxa" w:w="1008"/>
            <w:tcMar>
              <w:top w:w="80" w:type="dxa"/>
              <w:start w:w="120" w:type="dxa"/>
              <w:bottom w:w="80" w:type="dxa"/>
              <w:end w:w="120" w:type="dxa"/>
            </w:tcMar>
          </w:tcPr>
          <w:p>
            <w:pPr>
              <w:jc w:val="center"/>
            </w:pPr>
            <w:r/>
            <w:r>
              <w:rPr>
                <w:rFonts w:ascii="Calibri" w:hAnsi="Calibri"/>
                <w:b w:val="0"/>
                <w:sz w:val="16"/>
              </w:rPr>
              <w:t>0.9500</w:t>
            </w:r>
          </w:p>
        </w:tc>
        <w:tc>
          <w:tcPr>
            <w:tcW w:type="dxa" w:w="792"/>
            <w:tcMar>
              <w:top w:w="80" w:type="dxa"/>
              <w:start w:w="120" w:type="dxa"/>
              <w:bottom w:w="80" w:type="dxa"/>
              <w:end w:w="120" w:type="dxa"/>
            </w:tcMar>
          </w:tcPr>
          <w:p>
            <w:pPr>
              <w:jc w:val="center"/>
            </w:pPr>
            <w:r/>
            <w:r>
              <w:rPr>
                <w:rFonts w:ascii="Calibri" w:hAnsi="Calibri"/>
                <w:b w:val="0"/>
                <w:sz w:val="16"/>
              </w:rPr>
              <w:t>0.0020</w:t>
            </w:r>
          </w:p>
        </w:tc>
        <w:tc>
          <w:tcPr>
            <w:tcW w:type="dxa" w:w="936"/>
            <w:tcMar>
              <w:top w:w="80" w:type="dxa"/>
              <w:start w:w="120" w:type="dxa"/>
              <w:bottom w:w="80" w:type="dxa"/>
              <w:end w:w="120" w:type="dxa"/>
            </w:tcMar>
          </w:tcPr>
          <w:p>
            <w:pPr>
              <w:jc w:val="center"/>
            </w:pPr>
            <w:r/>
            <w:r>
              <w:rPr>
                <w:rFonts w:ascii="Calibri" w:hAnsi="Calibri"/>
                <w:b w:val="0"/>
                <w:sz w:val="16"/>
              </w:rPr>
              <w:t>0.815s</w:t>
            </w:r>
          </w:p>
        </w:tc>
        <w:tc>
          <w:tcPr>
            <w:tcW w:type="dxa" w:w="1440"/>
            <w:tcMar>
              <w:top w:w="80" w:type="dxa"/>
              <w:start w:w="120" w:type="dxa"/>
              <w:bottom w:w="80" w:type="dxa"/>
              <w:end w:w="120" w:type="dxa"/>
            </w:tcMar>
          </w:tcPr>
          <w:p>
            <w:pPr>
              <w:jc w:val="center"/>
            </w:pPr>
            <w:r/>
            <w:r>
              <w:rPr>
                <w:rFonts w:ascii="Calibri" w:hAnsi="Calibri"/>
                <w:b w:val="0"/>
                <w:sz w:val="16"/>
              </w:rPr>
              <w:t>4.56</w:t>
            </w:r>
          </w:p>
        </w:tc>
      </w:tr>
      <w:tr>
        <w:tc>
          <w:tcPr>
            <w:tcW w:type="dxa" w:w="2736"/>
            <w:tcMar>
              <w:top w:w="80" w:type="dxa"/>
              <w:start w:w="120" w:type="dxa"/>
              <w:bottom w:w="80" w:type="dxa"/>
              <w:end w:w="120" w:type="dxa"/>
            </w:tcMar>
          </w:tcPr>
          <w:p>
            <w:pPr>
              <w:jc w:val="left"/>
            </w:pPr>
            <w:r/>
            <w:r>
              <w:rPr>
                <w:rFonts w:ascii="Calibri" w:hAnsi="Calibri"/>
                <w:b w:val="0"/>
                <w:sz w:val="16"/>
              </w:rPr>
              <w:t>FedAvg, 5 IID clients</w:t>
            </w:r>
          </w:p>
        </w:tc>
        <w:tc>
          <w:tcPr>
            <w:tcW w:type="dxa" w:w="1008"/>
            <w:tcMar>
              <w:top w:w="80" w:type="dxa"/>
              <w:start w:w="120" w:type="dxa"/>
              <w:bottom w:w="80" w:type="dxa"/>
              <w:end w:w="120" w:type="dxa"/>
            </w:tcMar>
          </w:tcPr>
          <w:p>
            <w:pPr>
              <w:jc w:val="center"/>
            </w:pPr>
            <w:r/>
            <w:r>
              <w:rPr>
                <w:rFonts w:ascii="Calibri" w:hAnsi="Calibri"/>
                <w:b w:val="0"/>
                <w:sz w:val="16"/>
              </w:rPr>
              <w:t>96.94%</w:t>
            </w:r>
          </w:p>
        </w:tc>
        <w:tc>
          <w:tcPr>
            <w:tcW w:type="dxa" w:w="1008"/>
            <w:tcMar>
              <w:top w:w="80" w:type="dxa"/>
              <w:start w:w="120" w:type="dxa"/>
              <w:bottom w:w="80" w:type="dxa"/>
              <w:end w:w="120" w:type="dxa"/>
            </w:tcMar>
          </w:tcPr>
          <w:p>
            <w:pPr>
              <w:jc w:val="center"/>
            </w:pPr>
            <w:r/>
            <w:r>
              <w:rPr>
                <w:rFonts w:ascii="Calibri" w:hAnsi="Calibri"/>
                <w:b w:val="0"/>
                <w:sz w:val="16"/>
              </w:rPr>
              <w:t>0.9693</w:t>
            </w:r>
          </w:p>
        </w:tc>
        <w:tc>
          <w:tcPr>
            <w:tcW w:type="dxa" w:w="792"/>
            <w:tcMar>
              <w:top w:w="80" w:type="dxa"/>
              <w:start w:w="120" w:type="dxa"/>
              <w:bottom w:w="80" w:type="dxa"/>
              <w:end w:w="120" w:type="dxa"/>
            </w:tcMar>
          </w:tcPr>
          <w:p>
            <w:pPr>
              <w:jc w:val="center"/>
            </w:pPr>
            <w:r/>
            <w:r>
              <w:rPr>
                <w:rFonts w:ascii="Calibri" w:hAnsi="Calibri"/>
                <w:b w:val="0"/>
                <w:sz w:val="16"/>
              </w:rPr>
              <w:t>0.0020</w:t>
            </w:r>
          </w:p>
        </w:tc>
        <w:tc>
          <w:tcPr>
            <w:tcW w:type="dxa" w:w="936"/>
            <w:tcMar>
              <w:top w:w="80" w:type="dxa"/>
              <w:start w:w="120" w:type="dxa"/>
              <w:bottom w:w="80" w:type="dxa"/>
              <w:end w:w="120" w:type="dxa"/>
            </w:tcMar>
          </w:tcPr>
          <w:p>
            <w:pPr>
              <w:jc w:val="center"/>
            </w:pPr>
            <w:r/>
            <w:r>
              <w:rPr>
                <w:rFonts w:ascii="Calibri" w:hAnsi="Calibri"/>
                <w:b w:val="0"/>
                <w:sz w:val="16"/>
              </w:rPr>
              <w:t>0.739s</w:t>
            </w:r>
          </w:p>
        </w:tc>
        <w:tc>
          <w:tcPr>
            <w:tcW w:type="dxa" w:w="1440"/>
            <w:tcMar>
              <w:top w:w="80" w:type="dxa"/>
              <w:start w:w="120" w:type="dxa"/>
              <w:bottom w:w="80" w:type="dxa"/>
              <w:end w:w="120" w:type="dxa"/>
            </w:tcMar>
          </w:tcPr>
          <w:p>
            <w:pPr>
              <w:jc w:val="center"/>
            </w:pPr>
            <w:r/>
            <w:r>
              <w:rPr>
                <w:rFonts w:ascii="Calibri" w:hAnsi="Calibri"/>
                <w:b w:val="0"/>
                <w:sz w:val="16"/>
              </w:rPr>
              <w:t>∞</w:t>
            </w:r>
          </w:p>
        </w:tc>
      </w:tr>
      <w:tr>
        <w:tc>
          <w:tcPr>
            <w:tcW w:type="dxa" w:w="2736"/>
            <w:tcMar>
              <w:top w:w="80" w:type="dxa"/>
              <w:start w:w="120" w:type="dxa"/>
              <w:bottom w:w="80" w:type="dxa"/>
              <w:end w:w="120" w:type="dxa"/>
            </w:tcMar>
          </w:tcPr>
          <w:p>
            <w:pPr>
              <w:jc w:val="left"/>
            </w:pPr>
            <w:r/>
            <w:r>
              <w:rPr>
                <w:rFonts w:ascii="Calibri" w:hAnsi="Calibri"/>
                <w:b w:val="0"/>
                <w:sz w:val="16"/>
              </w:rPr>
              <w:t>FedAvg, 5 non-IID clients</w:t>
            </w:r>
          </w:p>
        </w:tc>
        <w:tc>
          <w:tcPr>
            <w:tcW w:type="dxa" w:w="1008"/>
            <w:tcMar>
              <w:top w:w="80" w:type="dxa"/>
              <w:start w:w="120" w:type="dxa"/>
              <w:bottom w:w="80" w:type="dxa"/>
              <w:end w:w="120" w:type="dxa"/>
            </w:tcMar>
          </w:tcPr>
          <w:p>
            <w:pPr>
              <w:jc w:val="center"/>
            </w:pPr>
            <w:r/>
            <w:r>
              <w:rPr>
                <w:rFonts w:ascii="Calibri" w:hAnsi="Calibri"/>
                <w:b w:val="0"/>
                <w:sz w:val="16"/>
              </w:rPr>
              <w:t>95.56%</w:t>
            </w:r>
          </w:p>
        </w:tc>
        <w:tc>
          <w:tcPr>
            <w:tcW w:type="dxa" w:w="1008"/>
            <w:tcMar>
              <w:top w:w="80" w:type="dxa"/>
              <w:start w:w="120" w:type="dxa"/>
              <w:bottom w:w="80" w:type="dxa"/>
              <w:end w:w="120" w:type="dxa"/>
            </w:tcMar>
          </w:tcPr>
          <w:p>
            <w:pPr>
              <w:jc w:val="center"/>
            </w:pPr>
            <w:r/>
            <w:r>
              <w:rPr>
                <w:rFonts w:ascii="Calibri" w:hAnsi="Calibri"/>
                <w:b w:val="0"/>
                <w:sz w:val="16"/>
              </w:rPr>
              <w:t>0.9554</w:t>
            </w:r>
          </w:p>
        </w:tc>
        <w:tc>
          <w:tcPr>
            <w:tcW w:type="dxa" w:w="792"/>
            <w:tcMar>
              <w:top w:w="80" w:type="dxa"/>
              <w:start w:w="120" w:type="dxa"/>
              <w:bottom w:w="80" w:type="dxa"/>
              <w:end w:w="120" w:type="dxa"/>
            </w:tcMar>
          </w:tcPr>
          <w:p>
            <w:pPr>
              <w:jc w:val="center"/>
            </w:pPr>
            <w:r/>
            <w:r>
              <w:rPr>
                <w:rFonts w:ascii="Calibri" w:hAnsi="Calibri"/>
                <w:b w:val="0"/>
                <w:sz w:val="16"/>
              </w:rPr>
              <w:t>-0.0217</w:t>
            </w:r>
          </w:p>
        </w:tc>
        <w:tc>
          <w:tcPr>
            <w:tcW w:type="dxa" w:w="936"/>
            <w:tcMar>
              <w:top w:w="80" w:type="dxa"/>
              <w:start w:w="120" w:type="dxa"/>
              <w:bottom w:w="80" w:type="dxa"/>
              <w:end w:w="120" w:type="dxa"/>
            </w:tcMar>
          </w:tcPr>
          <w:p>
            <w:pPr>
              <w:jc w:val="center"/>
            </w:pPr>
            <w:r/>
            <w:r>
              <w:rPr>
                <w:rFonts w:ascii="Calibri" w:hAnsi="Calibri"/>
                <w:b w:val="0"/>
                <w:sz w:val="16"/>
              </w:rPr>
              <w:t>1.011s</w:t>
            </w:r>
          </w:p>
        </w:tc>
        <w:tc>
          <w:tcPr>
            <w:tcW w:type="dxa" w:w="1440"/>
            <w:tcMar>
              <w:top w:w="80" w:type="dxa"/>
              <w:start w:w="120" w:type="dxa"/>
              <w:bottom w:w="80" w:type="dxa"/>
              <w:end w:w="120" w:type="dxa"/>
            </w:tcMar>
          </w:tcPr>
          <w:p>
            <w:pPr>
              <w:jc w:val="center"/>
            </w:pPr>
            <w:r/>
            <w:r>
              <w:rPr>
                <w:rFonts w:ascii="Calibri" w:hAnsi="Calibri"/>
                <w:b w:val="0"/>
                <w:sz w:val="16"/>
              </w:rPr>
              <w:t>∞</w:t>
            </w:r>
          </w:p>
        </w:tc>
      </w:tr>
    </w:tbl>
    <w:p>
      <w:pPr>
        <w:pStyle w:val="Heading2"/>
      </w:pPr>
      <w:r>
        <w:rPr>
          <w:rFonts w:ascii="Calibri" w:hAnsi="Calibri"/>
          <w:b/>
          <w:color w:val="2E74B5"/>
          <w:sz w:val="26"/>
        </w:rPr>
        <w:t>1. Differential Privacy (DP) Tradeoffs</w:t>
      </w:r>
    </w:p>
    <w:p>
      <w:pPr>
        <w:spacing w:after="120" w:line="264" w:lineRule="auto"/>
      </w:pPr>
      <w:r>
        <w:rPr>
          <w:rFonts w:ascii="Calibri" w:hAnsi="Calibri"/>
          <w:b w:val="0"/>
          <w:sz w:val="22"/>
        </w:rPr>
        <w:t>Our DP-SGD implementation introduces gradient clipping and Gaussian noise to protect individual training records. As illustrated in Figure 1, tighter privacy guarantees (smaller epsilon) require higher noise multipliers, which reliably degrades model accuracy. Moving from a noise multiplier of 0.5 to 2.0 drastically strengthens the epsilon guarantee from roughly 724 to 26, while dropping utility. This confirms the fundamental tension in DP: noise prevents model memorization but inherently obscures predictive signal.</w:t>
      </w:r>
    </w:p>
    <w:p>
      <w:pPr>
        <w:jc w:val="center"/>
      </w:pPr>
      <w:r>
        <w:drawing>
          <wp:inline xmlns:a="http://schemas.openxmlformats.org/drawingml/2006/main" xmlns:pic="http://schemas.openxmlformats.org/drawingml/2006/picture">
            <wp:extent cx="4572000" cy="1524000"/>
            <wp:docPr id="1" name="Picture 1"/>
            <wp:cNvGraphicFramePr>
              <a:graphicFrameLocks noChangeAspect="1"/>
            </wp:cNvGraphicFramePr>
            <a:graphic>
              <a:graphicData uri="http://schemas.openxmlformats.org/drawingml/2006/picture">
                <pic:pic>
                  <pic:nvPicPr>
                    <pic:cNvPr id="0" name="part3_dp_noise_curve.png"/>
                    <pic:cNvPicPr/>
                  </pic:nvPicPr>
                  <pic:blipFill>
                    <a:blip r:embed="rId9"/>
                    <a:stretch>
                      <a:fillRect/>
                    </a:stretch>
                  </pic:blipFill>
                  <pic:spPr>
                    <a:xfrm>
                      <a:off x="0" y="0"/>
                      <a:ext cx="4572000" cy="1524000"/>
                    </a:xfrm>
                    <a:prstGeom prst="rect"/>
                  </pic:spPr>
                </pic:pic>
              </a:graphicData>
            </a:graphic>
          </wp:inline>
        </w:drawing>
      </w:r>
    </w:p>
    <w:p>
      <w:pPr>
        <w:spacing w:after="120" w:line="264" w:lineRule="auto"/>
        <w:jc w:val="center"/>
      </w:pPr>
      <w:r>
        <w:rPr>
          <w:rFonts w:ascii="Calibri" w:hAnsi="Calibri"/>
          <w:b w:val="0"/>
          <w:sz w:val="22"/>
        </w:rPr>
        <w:t>Figure 1. Privacy-Utility Tradeoff: Test accuracy vs Epsilon.</w:t>
      </w:r>
    </w:p>
    <w:p>
      <w:pPr>
        <w:pStyle w:val="Heading2"/>
      </w:pPr>
      <w:r>
        <w:rPr>
          <w:rFonts w:ascii="Calibri" w:hAnsi="Calibri"/>
          <w:b/>
          <w:color w:val="2E74B5"/>
          <w:sz w:val="26"/>
        </w:rPr>
        <w:t>2. Federated Learning (FL) Convergence under Heterogeneity</w:t>
      </w:r>
    </w:p>
    <w:p>
      <w:pPr>
        <w:spacing w:after="120" w:line="264" w:lineRule="auto"/>
      </w:pPr>
      <w:r>
        <w:rPr>
          <w:rFonts w:ascii="Calibri" w:hAnsi="Calibri"/>
          <w:b w:val="0"/>
          <w:sz w:val="22"/>
        </w:rPr>
        <w:t>Our FL implementation decentralizes training. As shown in Figure 2, when data is IID across clients, our 5-client FedAvg simulation converges quickly. However, under our pathological non-IID distribution (where each client possesses data for only 2 specific digit classes), the model experiences severe 'client drift'. The non-IID accuracy curve shows high variance and delayed convergence. This demonstrates that while FL solves the central-collection privacy problem, it introduces severe optimization challenges when local data is non-representative.</w:t>
      </w:r>
    </w:p>
    <w:p>
      <w:pPr>
        <w:jc w:val="center"/>
      </w:pPr>
      <w:r>
        <w:drawing>
          <wp:inline xmlns:a="http://schemas.openxmlformats.org/drawingml/2006/main" xmlns:pic="http://schemas.openxmlformats.org/drawingml/2006/picture">
            <wp:extent cx="4114800" cy="2351314"/>
            <wp:docPr id="2" name="Picture 2"/>
            <wp:cNvGraphicFramePr>
              <a:graphicFrameLocks noChangeAspect="1"/>
            </wp:cNvGraphicFramePr>
            <a:graphic>
              <a:graphicData uri="http://schemas.openxmlformats.org/drawingml/2006/picture">
                <pic:pic>
                  <pic:nvPicPr>
                    <pic:cNvPr id="0" name="part3_fl_accuracy_curve.png"/>
                    <pic:cNvPicPr/>
                  </pic:nvPicPr>
                  <pic:blipFill>
                    <a:blip r:embed="rId10"/>
                    <a:stretch>
                      <a:fillRect/>
                    </a:stretch>
                  </pic:blipFill>
                  <pic:spPr>
                    <a:xfrm>
                      <a:off x="0" y="0"/>
                      <a:ext cx="4114800" cy="2351314"/>
                    </a:xfrm>
                    <a:prstGeom prst="rect"/>
                  </pic:spPr>
                </pic:pic>
              </a:graphicData>
            </a:graphic>
          </wp:inline>
        </w:drawing>
      </w:r>
    </w:p>
    <w:p>
      <w:pPr>
        <w:spacing w:after="120" w:line="264" w:lineRule="auto"/>
        <w:jc w:val="center"/>
      </w:pPr>
      <w:r>
        <w:rPr>
          <w:rFonts w:ascii="Calibri" w:hAnsi="Calibri"/>
          <w:b w:val="0"/>
          <w:sz w:val="22"/>
        </w:rPr>
        <w:t>Figure 2. FedAvg Convergence: IID vs Non-IID.</w:t>
      </w:r>
    </w:p>
    <w:p>
      <w:pPr>
        <w:sectPr>
          <w:pgSz w:w="12240" w:h="15840"/>
          <w:pgMar w:top="1080" w:right="1080" w:bottom="1080" w:left="1080" w:header="720" w:footer="720" w:gutter="0"/>
          <w:cols w:space="720"/>
          <w:docGrid w:linePitch="360"/>
        </w:sectPr>
      </w:pPr>
    </w:p>
    <w:p>
      <w:pPr>
        <w:pStyle w:val="Heading2"/>
      </w:pPr>
      <w:r>
        <w:rPr>
          <w:rFonts w:ascii="Calibri" w:hAnsi="Calibri"/>
          <w:b/>
          <w:color w:val="2E74B5"/>
          <w:sz w:val="26"/>
        </w:rPr>
        <w:t>3. Homomorphic Encryption (HE) Inference Latency</w:t>
      </w:r>
    </w:p>
    <w:p>
      <w:pPr>
        <w:spacing w:after="120" w:line="264" w:lineRule="auto"/>
      </w:pPr>
      <w:r>
        <w:rPr>
          <w:rFonts w:ascii="Calibri" w:hAnsi="Calibri"/>
          <w:b w:val="0"/>
          <w:sz w:val="22"/>
        </w:rPr>
        <w:t>To explore data-in-use protection, we implemented encrypted inference using TenSEAL (CKKS). As illustrated in Figure 3, the privacy guarantee comes at a staggering computational cost. Plaintext inference occurs in fractions of a millisecond, while encrypted inference operations take several seconds per sample. The 1000x to 10000x latency overhead confirms why HE is currently viable only for specialized inference tasks.</w:t>
      </w:r>
    </w:p>
    <w:p>
      <w:pPr>
        <w:jc w:val="center"/>
      </w:pPr>
      <w:r>
        <w:drawing>
          <wp:inline xmlns:a="http://schemas.openxmlformats.org/drawingml/2006/main" xmlns:pic="http://schemas.openxmlformats.org/drawingml/2006/picture">
            <wp:extent cx="4114800" cy="2939143"/>
            <wp:docPr id="3" name="Picture 3"/>
            <wp:cNvGraphicFramePr>
              <a:graphicFrameLocks noChangeAspect="1"/>
            </wp:cNvGraphicFramePr>
            <a:graphic>
              <a:graphicData uri="http://schemas.openxmlformats.org/drawingml/2006/picture">
                <pic:pic>
                  <pic:nvPicPr>
                    <pic:cNvPr id="0" name="part3_he_latency_comparison.png"/>
                    <pic:cNvPicPr/>
                  </pic:nvPicPr>
                  <pic:blipFill>
                    <a:blip r:embed="rId11"/>
                    <a:stretch>
                      <a:fillRect/>
                    </a:stretch>
                  </pic:blipFill>
                  <pic:spPr>
                    <a:xfrm>
                      <a:off x="0" y="0"/>
                      <a:ext cx="4114800" cy="2939143"/>
                    </a:xfrm>
                    <a:prstGeom prst="rect"/>
                  </pic:spPr>
                </pic:pic>
              </a:graphicData>
            </a:graphic>
          </wp:inline>
        </w:drawing>
      </w:r>
    </w:p>
    <w:p>
      <w:pPr>
        <w:spacing w:after="120" w:line="264" w:lineRule="auto"/>
        <w:jc w:val="center"/>
      </w:pPr>
      <w:r>
        <w:rPr>
          <w:rFonts w:ascii="Calibri" w:hAnsi="Calibri"/>
          <w:b w:val="0"/>
          <w:sz w:val="22"/>
        </w:rPr>
        <w:t>Figure 3. Inference Latency: Plaintext vs Encrypted (Log Scale).</w:t>
      </w:r>
    </w:p>
    <w:p>
      <w:pPr>
        <w:pStyle w:val="Heading1"/>
      </w:pPr>
      <w:r>
        <w:rPr>
          <w:rFonts w:ascii="Calibri" w:hAnsi="Calibri"/>
          <w:b/>
          <w:color w:val="2E74B5"/>
          <w:sz w:val="32"/>
        </w:rPr>
        <w:t>Conclusion</w:t>
      </w:r>
    </w:p>
    <w:p>
      <w:pPr>
        <w:spacing w:after="120" w:line="264" w:lineRule="auto"/>
      </w:pPr>
      <w:r>
        <w:rPr>
          <w:rFonts w:ascii="Calibri" w:hAnsi="Calibri"/>
          <w:b w:val="0"/>
          <w:sz w:val="22"/>
        </w:rPr>
        <w:t>This project successfully benchmarked three distinct pillars of PPML. DP offers rigorous mathematical guarantees at the direct cost of utility; FL distributes the data governance problem but struggles with statistical heterogeneity; and HE provides total data-in-use security at an exorbitant computational price. Future work could explore combining these paradigms (e.g., DP-FedAvg) to leverage their respective strengths while mitigating their weaknesses.</w:t>
      </w:r>
    </w:p>
    <w:p>
      <w:pPr>
        <w:pStyle w:val="Heading1"/>
      </w:pPr>
      <w:r>
        <w:rPr>
          <w:rFonts w:ascii="Calibri" w:hAnsi="Calibri"/>
          <w:b/>
          <w:color w:val="2E74B5"/>
          <w:sz w:val="32"/>
        </w:rPr>
        <w:t>References</w:t>
      </w:r>
    </w:p>
    <w:p>
      <w:pPr>
        <w:pStyle w:val="ListBullet"/>
        <w:spacing w:after="80"/>
      </w:pPr>
      <w:r>
        <w:rPr>
          <w:rFonts w:ascii="Calibri" w:hAnsi="Calibri"/>
          <w:b w:val="0"/>
          <w:sz w:val="21"/>
        </w:rPr>
        <w:t>Abadi et al., Deep Learning with Differential Privacy, CCS 2016.</w:t>
      </w:r>
    </w:p>
    <w:p>
      <w:pPr>
        <w:pStyle w:val="ListBullet"/>
        <w:spacing w:after="80"/>
      </w:pPr>
      <w:r>
        <w:rPr>
          <w:rFonts w:ascii="Calibri" w:hAnsi="Calibri"/>
          <w:b w:val="0"/>
          <w:sz w:val="21"/>
        </w:rPr>
        <w:t>McMahan et al., Communication-Efficient Learning of Deep Networks from Decentralized Data, AISTATS 2017.</w:t>
      </w:r>
    </w:p>
    <w:p>
      <w:pPr>
        <w:pStyle w:val="ListBullet"/>
        <w:spacing w:after="80"/>
      </w:pPr>
      <w:r>
        <w:rPr>
          <w:rFonts w:ascii="Calibri" w:hAnsi="Calibri"/>
          <w:b w:val="0"/>
          <w:sz w:val="21"/>
        </w:rPr>
        <w:t>Lee et al., Privacy-Preserving Machine Learning with Fully Homomorphic Encryption for Deep Neural Network, IEEE Access 2022.</w:t>
      </w:r>
    </w:p>
    <w:p>
      <w:pPr>
        <w:pStyle w:val="ListBullet"/>
        <w:spacing w:after="80"/>
      </w:pPr>
      <w:r>
        <w:rPr>
          <w:rFonts w:ascii="Calibri" w:hAnsi="Calibri"/>
          <w:b w:val="0"/>
          <w:sz w:val="21"/>
        </w:rPr>
        <w:t>Basu et al., Benchmarking Differential Privacy and Federated Learning for BERT Models, arXiv 2021.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