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自动化查询报告</w:t>
      </w:r>
    </w:p>
    <w:p>
      <w:r>
        <w:t>报告生成日期：2026-04-22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查询关键词</w:t>
            </w:r>
          </w:p>
        </w:tc>
        <w:tc>
          <w:tcPr>
            <w:tcW w:type="dxa" w:w="2880"/>
          </w:tcPr>
          <w:p>
            <w:r>
              <w:t>查询结果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Python编程</w:t>
            </w:r>
          </w:p>
        </w:tc>
        <w:tc>
          <w:tcPr>
            <w:tcW w:type="dxa" w:w="2880"/>
          </w:tcPr>
          <w:p>
            <w:r>
              <w:t>[编程语言] 广泛应用于AI、数据科学、Web开发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Rust语言入门</w:t>
            </w:r>
          </w:p>
        </w:tc>
        <w:tc>
          <w:tcPr>
            <w:tcW w:type="dxa" w:w="2880"/>
          </w:tcPr>
          <w:p>
            <w:r>
              <w:t>[系统编程] 内存安全、零成本抽象、并发安全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Vue.js框架</w:t>
            </w:r>
          </w:p>
        </w:tc>
        <w:tc>
          <w:tcPr>
            <w:tcW w:type="dxa" w:w="2880"/>
          </w:tcPr>
          <w:p>
            <w:r>
              <w:t>[前端框架] 渐进式JavaScript框架、响应式数据绑定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Tauri桌面应用</w:t>
            </w:r>
          </w:p>
        </w:tc>
        <w:tc>
          <w:tcPr>
            <w:tcW w:type="dxa" w:w="2880"/>
          </w:tcPr>
          <w:p>
            <w:r>
              <w:t>[桌面应用] Rust后端+WebView前端、轻量级跨平台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工作流自动化</w:t>
            </w:r>
          </w:p>
        </w:tc>
        <w:tc>
          <w:tcPr>
            <w:tcW w:type="dxa" w:w="2880"/>
          </w:tcPr>
          <w:p>
            <w:r>
              <w:t>[自动化工具] 流程自动化、RPA、工作流引擎</w:t>
            </w:r>
          </w:p>
        </w:tc>
      </w:tr>
    </w:tbl>
    <w:p/>
    <w:p>
      <w:r>
        <w:t>总结：共查询 5 条数据。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