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 and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</w:t>
      </w:r>
      <w:bookmarkStart w:id="0" w:name="_GoBack"/>
      <w:bookmarkEnd w:id="0"/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)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4D76684"/>
    <w:rsid w:val="4D5522F4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2">
    <w:name w:val="Strong"/>
    <w:basedOn w:val="11"/>
    <w:qFormat/>
    <w:uiPriority w:val="0"/>
    <w:rPr>
      <w:b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403</Words>
  <Characters>1976</Characters>
  <TotalTime>144</TotalTime>
  <ScaleCrop>false</ScaleCrop>
  <LinksUpToDate>false</LinksUpToDate>
  <CharactersWithSpaces>2330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2022-05-18T07:31:52Z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