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Provable-Recall Screening with Structural Confirmation: A Two-Layer Copy Detection System for Symbolic Music</w:t>
      </w:r>
    </w:p>
    <w:p>
      <w:pPr>
        <w:rPr>
          <w:sz w:val="18"/>
        </w:rPr>
      </w:pPr>
    </w:p>
    <w:p>
      <w:pPr>
        <w:pStyle w:val="Authors"/>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0" w:after="40"/>
        <w:rPr>
          <w:sz w:val="2"/>
          <w:szCs w:val="2"/>
        </w:rPr>
        <w:sectPr w:rsidR="007E713A" w:rsidSect="00002FAF">
          <w:headerReference w:type="default" r:id="rId9"/>
          <w:type w:val="continuous"/>
          <w:pgSz w:w="12240" w:h="15840"/>
          <w:pgMar w:top="1008" w:right="936" w:bottom="1008" w:left="936" w:header="432" w:footer="432" w:gutter="0"/>
          <w:cols w:space="288"/>
        </w:sectPr>
      </w:pPr>
    </w:p>
    <w:p>
      <w:pPr>
        <w:spacing w:before="20"/>
        <w:jc w:val="both"/>
      </w:pPr>
      <w:r>
        <w:rPr>
          <w:sz w:val="2"/>
          <w:szCs w:val="2"/>
        </w:rPr>
        <w:footnoteReference w:customMarkFollows="1" w:id="3"/>
        <w:sym w:font="Symbol" w:char="F020"/>
      </w:r>
      <w:r>
        <w:rPr>
          <w:b/>
          <w:i/>
          <w:sz w:val="18"/>
        </w:rPr>
        <w:t>Abstract</w:t>
      </w:r>
      <w:r>
        <w:rPr>
          <w:b/>
          <w:sz w:val="18"/>
        </w:rPr>
        <w:t>—</w:t>
      </w:r>
      <w:r>
        <w:rPr>
          <w:b/>
          <w:sz w:val="18"/>
        </w:rPr>
        <w:t>Detecting copied material in symbolic music corpora at publisher scale is hard because candidate systems must simultaneously guarantee recall over noisy transformations, stay interactive on hundreds of thousands of pieces, and produce evidence precise enough to support human adjudication. We show that no single item-level technique meets all three requirements, and we present a two-layer system that does: a tolerant item-set screening layer whose recall is provable (an evidence lower bound verified on every one of 337 adversarial cells with zero violations) and whose rare-first anytime schedule processes the corpus in query time that grows only with evidence, not with corpus size; and a strict structural confirmation layer that aligns ordered note chains and reduces the fragment-level false-positive rate on style-similar hard negatives to 2.1% while retaining 83.9% recall under transcription noise. On a 174,300-piece corpus the index builds in 24.747 s and answers queries in 41.94 ms (p50) at 100% planted recall. In controlled memorization experiments, detection rises monotonically from 26-34% at zero copying to 100% at full verbatim regurgitation, with 96-100% correct attribution to the source piece. Case studies on 1,658,993 in-the-wild duplicate pairs show the system localizing spliced segments and transposed covers with publisher-readable alignment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[3], [5] and chroma-based matching [4], [12] target audio and tolerate noise well, but their features are lossy with respect to the symbolic content publishers must adjudicate, and they provide no recall guarantee. Frequent itemset mining (FIM) and its geometric cousins (SIATEC and successors) [2], [9], [10] discover repeated patterns with algorithmic elegance, but exact enumeration explodes combinatorially at the support levels copying detection requires (we quantify this in Section V-A), and pattern sets are not ranked candidates. Cover-song identification has moved to learned audio embeddings [15]–[17], while plagiarism detection specifically has been addressed with chroma-based forensics [18], bipartite graph matching [19], and melodic-similarity analysis of real copyright cases [20]; these audio- and embedding-centric methods, like query-by-humming lineage [13], [14], do not provide a symbolic, per-query recall guarantee of the kind a publisher can contract against.</w:t>
      </w: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[8]: under a partial budget it must return the best partial answer together with a sound bound on what remains open.</w:t>
      </w:r>
    </w:p>
    <w:p>
      <w:pPr>
        <w:spacing w:after="0"/>
        <w:ind w:firstLine="204"/>
        <w:jc w:val="both"/>
      </w:pPr>
      <w:r>
        <w:t>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The contributions are: (1) an architectural decomposition of copy detection into a provable-recall screening problem and a structural confirmation problem, with formal contracts for each layer, validated by a controlled negative result: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spacing w:after="0"/>
        <w:ind w:firstLine="204"/>
        <w:jc w:val="both"/>
      </w:pPr>
      <w:r>
        <w:t>Fig. 1 previews the whole system as an evidence funnel: candidate sets narrow through the L1 screen and the L2 top-C gate while the recall floor (Thm 1) stays unbroken; L3 inspects survivors under a structural lens, and confirmed matches ship as adjudicable reports.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9"/>
        </w:rPr>
        <w:t>Fig. 1. The evidence funnel of the proposed pipeline, with one query traced end to end (amber markers). Left: the Lakh MIDI corpus is encoded once into a rare-first item-set index (1.05 GB, 41.9 ms p50). Center: the L1 tolerant screen enumerates 1.66 M candidates under an anytime budget with a per-prefix recall floor (Thm 1). Right: L3 structural confirmation aligns ordered note chains—invariant to pitch, tempo, and splicing—and certifies the copied span (ρ = 0.62 ≥ θ) as a publisher-readable verdict.</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II. RELATED WORK</w:t>
      </w:r>
    </w:p>
    <w:p>
      <w:pPr>
        <w:pStyle w:val="Heading2"/>
      </w:pPr>
      <w:r>
        <w:t>A. Symbolic music retrieval and pattern discovery</w:t>
      </w:r>
    </w:p>
    <w:p>
      <w:pPr>
        <w:spacing w:after="0"/>
        <w:ind w:firstLine="204"/>
        <w:jc w:val="both"/>
      </w:pPr>
      <w:r>
        <w:t>Sequence-based matching of notated music under edit distance and transportation distance was established by Typke et al. [1], and geometric repeated-pattern discovery by Meredith et al. [2]. Surveying the field, Casey et al. [3] and Typke et al. [5] separate audio-descriptor approaches from symbolic approaches; Müller [4], [6] systematize chroma and alignment techniques. Our screen layer inherits the item-set view of FIM [9], [10] but replaces corpus-side enumeration with query-side containment verification, trading pattern completeness for a provable per-query recall contract.</w:t>
      </w:r>
    </w:p>
    <w:p>
      <w:pPr>
        <w:spacing w:after="0"/>
        <w:ind w:firstLine="204"/>
        <w:jc w:val="both"/>
      </w:pPr>
      <w:r>
        <w:t>Symbolic version identification has a complementary lineage. Alignment-based matching of MIDI to audio [6] and sequence-comparison methods benchmarked on the Lakh corpus [7] establish that symbolic sequences support robust matching, but their cost is per-candidate: applied as corpus-wide filters they do not scale, and applied after a cheap filter they inherit the filter's recall, which none of these systems bounds. Our screen layer can be read as a recall-guaranteed candidate generator for exactly such aligners: it hands confirmation a top-C set small enough that exact structural alignment becomes affordable, while the bound certifies that nothing outside the set needs alignment at all.</w:t>
      </w:r>
    </w:p>
    <w:p>
      <w:pPr>
        <w:pStyle w:val="Heading2"/>
      </w:pPr>
      <w:r>
        <w:t>B. Memorization in generative models</w:t>
      </w:r>
    </w:p>
    <w:p>
      <w:pPr>
        <w:spacing w:after="0"/>
        <w:ind w:firstLine="204"/>
        <w:jc w:val="both"/>
      </w:pPr>
      <w:r>
        <w:t>Carlini et al. [11] demonstrated that large language models regurgitate training sequences and that extraction is detectable with membership tests [23]; the same extraction was then shown for diffusion models [24]. Deduplication reduces both verbatim regurgitation and privacy leakage [25], [26], and memorization is measurable even in probabilistic deep generative models [27]. For music specifically, symbolic generators such as Music Transformer [22] are trained on scraped MIDI, membership-inference auditing of generative music models has only recently been demonstrated [28], influence-level attribution has been explored with audio embeddings [29], and the legal status of such training data remains contested [30]. 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pPr>
      <w:r>
        <w:t>C. Anytime algorithms</w:t>
      </w:r>
    </w:p>
    <w:p>
      <w:pPr>
        <w:spacing w:after="0"/>
        <w:ind w:firstLine="204"/>
        <w:jc w:val="both"/>
      </w:pPr>
      <w:r>
        <w:t>Zilberstein [8]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9"/>
        </w:rPr>
        <w:t>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ρ ≥ θ. (d) Confirmed matches ship as adjudicable reports; memorization and in-the-wild audits close the loop. Black arrows mark data flow; amber markers trace one query end to end.</w:t>
      </w: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A. Problem statement and notation</w:t>
      </w:r>
    </w:p>
    <w:p>
      <w:pPr>
        <w:spacing w:after="0"/>
        <w:ind w:firstLine="204"/>
        <w:jc w:val="both"/>
      </w:pPr>
      <w:r>
        <w:t>A piece P = (e₁, …, e_n) is a sequence of note events e_i = (t_i, p_i, d_i, v_i): onset time, MIDI pitch, duration, and velocity. An encoding φ maps each event to an item, a tuple of quantized features (Section III-B); the item set S(P) = ∪_i {φ(e_i)} discards order and repetition. For tolerance vector k = (k_pitch, k_bin, k_vel), the neighborhood N_k(x) of an item x is the set of items whose pitch differs by at most k_pitch semitones and whose duration, inter-onset interval (IOI), and velocity bins differ by at most k_bin and k_vel bins respectively. A planted copy of a span X is produced by transforming every event of X with one of the six families of Section IV; the declared screen tolerance k = (2, 1, 1) covers all families except transposition beyond ±2 semitones and transcription jitter beyond ±1 bin, which the interval-sketch index of Section III-B handles separately.</w:t>
      </w:r>
    </w:p>
    <w:p>
      <w:pPr>
        <w:spacing w:after="0"/>
        <w:ind w:firstLine="204"/>
        <w:jc w:val="both"/>
      </w:pPr>
      <w:r>
        <w:t>Problem. Given a corpus D = {P₁, …, P_N} and a query fragment q, return a ranked candidate list with per-candidate evidence such that (completeness) every piece that shares with q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pStyle w:val="Heading2"/>
      </w:pPr>
      <w:r>
        <w:t>B. Event encoding and index construction</w:t>
      </w:r>
    </w:p>
    <w:p>
      <w:pPr>
        <w:spacing w:after="0"/>
        <w:ind w:firstLine="204"/>
        <w:jc w:val="both"/>
      </w:pPr>
      <w:r>
        <w:t>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 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spacing w:after="0"/>
        <w:ind w:firstLine="204"/>
        <w:jc w:val="both"/>
      </w:pPr>
      <w:r>
        <w:t>The corpus index is an inverted index from item to sorted piece-ID lists, built once in a linear pass (each piece contributes |S(P)| postings). Build time and memory grow linearly with corpus size (Fig. 3, Table II); incremental updates append postings for new pieces without rebuilding.</w:t>
      </w:r>
    </w:p>
    <w:p>
      <w:pPr>
        <w:pStyle w:val="Heading2"/>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Theorem 1 (evidence lower bound). Let q have q positions, processed in any order, and let score_u(P) be piece P's tolerant score after u positions. For every piece P whose copied span deviates within tolerance at every position, score_u(P) + (q − u) ≥ score_q(P), and the open set O_u = {P : score_u(P) + (q − u) ≥ τ} is exactly the set of pieces that can still contain such a copy at threshold τ. Proof sketch: a tolerated deviation maps position i's item into N_k, so each position of a true copy contributes at least as much as a verbatim position; unprocessed positions can contribute at most one each. Hence a piece outside O_u cannot be a copy, and no piece inside O_u can be excluded yet. ∎</w:t>
      </w:r>
    </w:p>
    <w:p>
      <w:pPr>
        <w:spacing w:after="0"/>
        <w:ind w:firstLine="204"/>
        <w:jc w:val="both"/>
      </w:pPr>
      <w:r>
        <w:t>Two consequences matter operationally. First, the recall contract is auditable per query: measuring donor score ≥ bound on adversarial cells verifies it cell by cell (Section V-B). Second, the anytime contract is sound: after any budget prefix, the best partial answer plus O_u is a complete description of the search state, so interruption never loses a certified answer. Rare-first ordering greedily minimizes the growth of |O_u|,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Complexity. Index construction is O(Σ_P |S(P)|). A query touches, per position, the posting lists of all items in N_k, so query cost grows with evidence and vocabulary rarity, not with corpus size beyond postings; the open set is maintained in a Fenwick structure over piece IDs, giving O(log N) updates and an exact |O_u| readout after every position. Measured end to end, the index builds in 24.747 s and queries run at p50 = 41.94 ms on the full 174,300-piece corpus (Table II).</w:t>
      </w:r>
    </w:p>
    <w:p>
      <w:pPr>
        <w:pStyle w:val="Heading2"/>
      </w:pPr>
      <w:r>
        <w:t>D. L2/L3: re-ranking and structural confirmation</w:t>
      </w:r>
    </w:p>
    <w:p>
      <w:pPr>
        <w:spacing w:after="0"/>
        <w:ind w:firstLine="204"/>
        <w:jc w:val="both"/>
      </w:pPr>
      <w:r>
        <w:t>The screen is deliberately permissive; verbatim counts re-rank its survivors, and the top-C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Anchors are strict-tolerance matches; their j − i offsets are voted, and when the strict vote is inconclusive the interval-sketch offsets estimate the transposition, which is then removed by re-expressing the query in interval form and re-running confirmation once. The dynamic program runs inside the anchor-constrained window, so its cost is O(W·m) for window W and m anchors, with a traceback that recovers the chain itself. A candidate is confirmed when the best chain reaches ρ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c>
          <w:tcPr>
            <w:tcW w:type="dxa" w:w="10368"/>
          </w:tcPr>
          <w:p>
            <w:pPr>
              <w:spacing w:after="0" w:before="0"/>
            </w:pPr>
            <w:r/>
            <w:r>
              <w:rPr>
                <w:rFonts w:ascii="Consolas" w:hAnsi="Consolas" w:eastAsia="Consolas"/>
                <w:sz w:val="14"/>
              </w:rPr>
              <w:t>Algorithm 1  Two-layer copy detection (query q, index</w:t>
            </w:r>
            <w:r>
              <w:br/>
            </w:r>
            <w:r>
              <w:rPr>
                <w:rFonts w:ascii="Consolas" w:hAnsi="Consolas" w:eastAsia="Consolas"/>
                <w:sz w:val="14"/>
              </w:rPr>
              <w:t xml:space="preserve">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 contiguity</w:t>
            </w:r>
            <w:r>
              <w:br/>
            </w:r>
            <w:r>
              <w:rPr>
                <w:rFonts w:ascii="Consolas" w:hAnsi="Consolas" w:eastAsia="Consolas"/>
                <w:sz w:val="14"/>
              </w:rPr>
              <w:t xml:space="preserve">    rho;</w:t>
            </w:r>
            <w:r>
              <w:br/>
            </w:r>
            <w:r>
              <w:rPr>
                <w:rFonts w:ascii="Consolas" w:hAnsi="Consolas" w:eastAsia="Consolas"/>
                <w:sz w:val="14"/>
              </w:rPr>
              <w:t xml:space="preserve">        top-C; budget B</w:t>
            </w:r>
            <w:r>
              <w:br/>
            </w:r>
            <w:r>
              <w:rPr>
                <w:rFonts w:ascii="Consolas" w:hAnsi="Consolas" w:eastAsia="Consolas"/>
                <w:sz w:val="14"/>
              </w:rPr>
              <w:t xml:space="preserve"> 1: order &lt;- positions of q sorted by |N_k(item_i)|</w:t>
            </w:r>
            <w:r>
              <w:br/>
            </w:r>
            <w:r>
              <w:rPr>
                <w:rFonts w:ascii="Consolas" w:hAnsi="Consolas" w:eastAsia="Consolas"/>
                <w:sz w:val="14"/>
              </w:rPr>
              <w:t xml:space="preserve">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 rankings</w:t>
            </w:r>
            <w:r>
              <w:br/>
            </w:r>
            <w:r>
              <w:rPr>
                <w:rFonts w:ascii="Consolas" w:hAnsi="Consolas" w:eastAsia="Consolas"/>
                <w:sz w:val="14"/>
              </w:rPr>
              <w:t xml:space="preserve">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Corpus. The Lakh MIDI dataset [7] (mirrored parquet export), up to 174,300 pieces encoded as item sets; the adversarial suite uses the first 3,000 pieces of shard 0. The GigaMIDI corpus [21] indicates that symbolic collections at the million-piece scale are now routine, which is the operating regime the screen layer is built for. 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Baselines. Set-Jaccard corpus scan, SIATEC-family pattern discovery [2], and n-gram Jaccard (Section V-A); FIM engines from our prior work [31], [32] serve as enumeration baselines.</w:t>
      </w:r>
    </w:p>
    <w:p>
      <w:pPr>
        <w:spacing w:after="0"/>
        <w:ind w:firstLine="204"/>
        <w:jc w:val="both"/>
      </w:pPr>
      <w:r>
        <w:t>Environment. All experiments run on a single commodity workstation (12th-generation Intel Core i9, 128 GB RAM) in pure Python 3.12 with NumPy; no GPU accelerates any stage, so all latencies are conservative CPU-only figures. Every experiment is scripted end to end: the released pipeline re-downloads the corpus shards, rebuilds the index, regenerates every table and figure, and reproduces the manuscript numbers from scratch.</w:t>
      </w:r>
    </w:p>
    <w:p>
      <w:pPr>
        <w:spacing w:after="0"/>
        <w:ind w:firstLine="204"/>
        <w:jc w:val="both"/>
      </w:pPr>
      <w:r>
        <w:t>Operating parameters. Table I summarizes the production configuration used unless a section states otherwise; the ablations of Section V-F justify each choice.</w:t>
      </w:r>
    </w:p>
    <w:p>
      <w:pPr>
        <w:pStyle w:val="TableTitle"/>
        <w:keepNext/>
      </w:pPr>
      <w:r>
        <w:t>TABLE 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b w:val="0"/>
                <w:sz w:val="16"/>
              </w:rPr>
              <w:t>Quantization grid</w:t>
            </w:r>
          </w:p>
        </w:tc>
        <w:tc>
          <w:tcPr>
            <w:tcW w:type="dxa" w:w="3456"/>
          </w:tcPr>
          <w:p>
            <w:pPr>
              <w:keepNext/>
              <w:jc w:val="center"/>
            </w:pPr>
            <w:r/>
            <w:r>
              <w:rPr>
                <w:rFonts w:ascii="Times New Roman" w:hAnsi="Times New Roman"/>
                <w:b w:val="0"/>
                <w:sz w:val="16"/>
              </w:rPr>
              <w:t>125 ms (tpb = 8)</w:t>
            </w:r>
          </w:p>
        </w:tc>
        <w:tc>
          <w:tcPr>
            <w:tcW w:type="dxa" w:w="3456"/>
          </w:tcPr>
          <w:p>
            <w:pPr>
              <w:keepNext/>
              <w:jc w:val="center"/>
            </w:pPr>
            <w:r/>
            <w:r>
              <w:rPr>
                <w:rFonts w:ascii="Times New Roman" w:hAnsi="Times New Roman"/>
                <w:b w:val="0"/>
                <w:sz w:val="16"/>
              </w:rPr>
              <w:t>event-encoding bin for all four features</w:t>
            </w:r>
          </w:p>
        </w:tc>
      </w:tr>
      <w:tr>
        <w:trPr>
          <w:cantSplit/>
        </w:trPr>
        <w:tc>
          <w:tcPr>
            <w:tcW w:type="dxa" w:w="3456"/>
          </w:tcPr>
          <w:p>
            <w:pPr>
              <w:keepNext/>
              <w:jc w:val="left"/>
            </w:pPr>
            <w:r/>
            <w:r>
              <w:rPr>
                <w:rFonts w:ascii="Times New Roman" w:hAnsi="Times New Roman"/>
                <w:b w:val="0"/>
                <w:sz w:val="16"/>
              </w:rPr>
              <w:t>Screen tolerance k</w:t>
            </w:r>
          </w:p>
        </w:tc>
        <w:tc>
          <w:tcPr>
            <w:tcW w:type="dxa" w:w="3456"/>
          </w:tcPr>
          <w:p>
            <w:pPr>
              <w:keepNext/>
              <w:jc w:val="center"/>
            </w:pPr>
            <w:r/>
            <w:r>
              <w:rPr>
                <w:rFonts w:ascii="Times New Roman" w:hAnsi="Times New Roman"/>
                <w:b w:val="0"/>
                <w:sz w:val="16"/>
              </w:rPr>
              <w:t>(2, 1, 1)</w:t>
            </w:r>
          </w:p>
        </w:tc>
        <w:tc>
          <w:tcPr>
            <w:tcW w:type="dxa" w:w="3456"/>
          </w:tcPr>
          <w:p>
            <w:pPr>
              <w:keepNext/>
              <w:jc w:val="center"/>
            </w:pPr>
            <w:r/>
            <w:r>
              <w:rPr>
                <w:rFonts w:ascii="Times New Roman" w:hAnsi="Times New Roman"/>
                <w:b w:val="0"/>
                <w:sz w:val="16"/>
              </w:rPr>
              <w:t>pitch ±2 st; duration/IOI ±1 bin; velocity ±1 bin</w:t>
            </w:r>
          </w:p>
        </w:tc>
      </w:tr>
      <w:tr>
        <w:trPr>
          <w:cantSplit/>
        </w:trPr>
        <w:tc>
          <w:tcPr>
            <w:tcW w:type="dxa" w:w="3456"/>
          </w:tcPr>
          <w:p>
            <w:pPr>
              <w:keepNext/>
              <w:jc w:val="left"/>
            </w:pPr>
            <w:r/>
            <w:r>
              <w:rPr>
                <w:rFonts w:ascii="Times New Roman" w:hAnsi="Times New Roman"/>
                <w:b w:val="0"/>
                <w:sz w:val="16"/>
              </w:rPr>
              <w:t>Evidence threshold τ</w:t>
            </w:r>
          </w:p>
        </w:tc>
        <w:tc>
          <w:tcPr>
            <w:tcW w:type="dxa" w:w="3456"/>
          </w:tcPr>
          <w:p>
            <w:pPr>
              <w:keepNext/>
              <w:jc w:val="center"/>
            </w:pPr>
            <w:r/>
            <w:r>
              <w:rPr>
                <w:rFonts w:ascii="Times New Roman" w:hAnsi="Times New Roman"/>
                <w:b w:val="0"/>
                <w:sz w:val="16"/>
              </w:rPr>
              <w:t>⌊0.5·|S(q)|⌋</w:t>
            </w:r>
          </w:p>
        </w:tc>
        <w:tc>
          <w:tcPr>
            <w:tcW w:type="dxa" w:w="3456"/>
          </w:tcPr>
          <w:p>
            <w:pPr>
              <w:keepNext/>
              <w:jc w:val="center"/>
            </w:pPr>
            <w:r/>
            <w:r>
              <w:rPr>
                <w:rFonts w:ascii="Times New Roman" w:hAnsi="Times New Roman"/>
                <w:b w:val="0"/>
                <w:sz w:val="16"/>
              </w:rPr>
              <w:t>screen acceptance per query</w:t>
            </w:r>
          </w:p>
        </w:tc>
      </w:tr>
      <w:tr>
        <w:trPr>
          <w:cantSplit/>
        </w:trPr>
        <w:tc>
          <w:tcPr>
            <w:tcW w:type="dxa" w:w="3456"/>
          </w:tcPr>
          <w:p>
            <w:pPr>
              <w:keepNext/>
              <w:jc w:val="left"/>
            </w:pPr>
            <w:r/>
            <w:r>
              <w:rPr>
                <w:rFonts w:ascii="Times New Roman" w:hAnsi="Times New Roman"/>
                <w:b w:val="0"/>
                <w:sz w:val="16"/>
              </w:rPr>
              <w:t>Confirm tolerance</w:t>
            </w:r>
          </w:p>
        </w:tc>
        <w:tc>
          <w:tcPr>
            <w:tcW w:type="dxa" w:w="3456"/>
          </w:tcPr>
          <w:p>
            <w:pPr>
              <w:keepNext/>
              <w:jc w:val="center"/>
            </w:pPr>
            <w:r/>
            <w:r>
              <w:rPr>
                <w:rFonts w:ascii="Times New Roman" w:hAnsi="Times New Roman"/>
                <w:b w:val="0"/>
                <w:sz w:val="16"/>
              </w:rPr>
              <w:t>(1, 0, 0)</w:t>
            </w:r>
          </w:p>
        </w:tc>
        <w:tc>
          <w:tcPr>
            <w:tcW w:type="dxa" w:w="3456"/>
          </w:tcPr>
          <w:p>
            <w:pPr>
              <w:keepNext/>
              <w:jc w:val="center"/>
            </w:pPr>
            <w:r/>
            <w:r>
              <w:rPr>
                <w:rFonts w:ascii="Times New Roman" w:hAnsi="Times New Roman"/>
                <w:b w:val="0"/>
                <w:sz w:val="16"/>
              </w:rPr>
              <w:t>pitch ±1 st; duration/IOI/velocity exact bins</w:t>
            </w:r>
          </w:p>
        </w:tc>
      </w:tr>
      <w:tr>
        <w:trPr>
          <w:cantSplit/>
        </w:trPr>
        <w:tc>
          <w:tcPr>
            <w:tcW w:type="dxa" w:w="3456"/>
          </w:tcPr>
          <w:p>
            <w:pPr>
              <w:keepNext/>
              <w:jc w:val="left"/>
            </w:pPr>
            <w:r/>
            <w:r>
              <w:rPr>
                <w:rFonts w:ascii="Times New Roman" w:hAnsi="Times New Roman"/>
                <w:b w:val="0"/>
                <w:sz w:val="16"/>
              </w:rPr>
              <w:t>Contiguity ρ</w:t>
            </w:r>
          </w:p>
        </w:tc>
        <w:tc>
          <w:tcPr>
            <w:tcW w:type="dxa" w:w="3456"/>
          </w:tcPr>
          <w:p>
            <w:pPr>
              <w:keepNext/>
              <w:jc w:val="center"/>
            </w:pPr>
            <w:r/>
            <w:r>
              <w:rPr>
                <w:rFonts w:ascii="Times New Roman" w:hAnsi="Times New Roman"/>
                <w:b w:val="0"/>
                <w:sz w:val="16"/>
              </w:rPr>
              <w:t>0.5 (0.4 high-recall)</w:t>
            </w:r>
          </w:p>
        </w:tc>
        <w:tc>
          <w:tcPr>
            <w:tcW w:type="dxa" w:w="3456"/>
          </w:tcPr>
          <w:p>
            <w:pPr>
              <w:keepNext/>
              <w:jc w:val="center"/>
            </w:pPr>
            <w:r/>
            <w:r>
              <w:rPr>
                <w:rFonts w:ascii="Times New Roman" w:hAnsi="Times New Roman"/>
                <w:b w:val="0"/>
                <w:sz w:val="16"/>
              </w:rPr>
              <w:t>confirmation acceptance, |chain| ≥ ρ·q</w:t>
            </w:r>
          </w:p>
        </w:tc>
      </w:tr>
      <w:tr>
        <w:trPr>
          <w:cantSplit/>
        </w:trPr>
        <w:tc>
          <w:tcPr>
            <w:tcW w:type="dxa" w:w="3456"/>
          </w:tcPr>
          <w:p>
            <w:pPr>
              <w:keepNext/>
              <w:jc w:val="left"/>
            </w:pPr>
            <w:r/>
            <w:r>
              <w:rPr>
                <w:rFonts w:ascii="Times New Roman" w:hAnsi="Times New Roman"/>
                <w:b w:val="0"/>
                <w:sz w:val="16"/>
              </w:rPr>
              <w:t>Top-C</w:t>
            </w:r>
          </w:p>
        </w:tc>
        <w:tc>
          <w:tcPr>
            <w:tcW w:type="dxa" w:w="3456"/>
          </w:tcPr>
          <w:p>
            <w:pPr>
              <w:keepNext/>
              <w:jc w:val="center"/>
            </w:pPr>
            <w:r/>
            <w:r>
              <w:rPr>
                <w:rFonts w:ascii="Times New Roman" w:hAnsi="Times New Roman"/>
                <w:b w:val="0"/>
                <w:sz w:val="16"/>
              </w:rPr>
              <w:t>50 (20 ablated)</w:t>
            </w:r>
          </w:p>
        </w:tc>
        <w:tc>
          <w:tcPr>
            <w:tcW w:type="dxa" w:w="3456"/>
          </w:tcPr>
          <w:p>
            <w:pPr>
              <w:keepNext/>
              <w:jc w:val="center"/>
            </w:pPr>
            <w:r/>
            <w:r>
              <w:rPr>
                <w:rFonts w:ascii="Times New Roman" w:hAnsi="Times New Roman"/>
                <w:b w:val="0"/>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b w:val="0"/>
                <w:sz w:val="16"/>
              </w:rPr>
              <w:t>Anytime budget B</w:t>
            </w:r>
          </w:p>
        </w:tc>
        <w:tc>
          <w:tcPr>
            <w:tcW w:type="dxa" w:w="3456"/>
            <w:tcBorders>
              <w:bottom w:val="single" w:sz="12" w:color="000000"/>
            </w:tcBorders>
          </w:tcPr>
          <w:p>
            <w:pPr>
              <w:jc w:val="center"/>
            </w:pPr>
            <w:r/>
            <w:r>
              <w:rPr>
                <w:rFonts w:ascii="Times New Roman" w:hAnsi="Times New Roman"/>
                <w:b w:val="0"/>
                <w:sz w:val="16"/>
              </w:rPr>
              <w:t>full (half ablated)</w:t>
            </w:r>
          </w:p>
        </w:tc>
        <w:tc>
          <w:tcPr>
            <w:tcW w:type="dxa" w:w="3456"/>
            <w:tcBorders>
              <w:bottom w:val="single" w:sz="12" w:color="000000"/>
            </w:tcBorders>
          </w:tcPr>
          <w:p>
            <w:pPr>
              <w:jc w:val="center"/>
            </w:pPr>
            <w:r/>
            <w:r>
              <w:rPr>
                <w:rFonts w:ascii="Times New Roman" w:hAnsi="Times New Roman"/>
                <w:b w:val="0"/>
                <w:sz w:val="16"/>
              </w:rPr>
              <w:t>rare-first schedule length</w:t>
            </w:r>
          </w:p>
        </w:tc>
      </w:tr>
    </w:tbl>
    <w:p>
      <w:pPr>
        <w:spacing w:after="40"/>
      </w:pPr>
    </w:p>
    <w:p>
      <w:pPr>
        <w:pStyle w:val="Heading1"/>
      </w:pPr>
      <w:r>
        <w:t>V. RESULTS</w:t>
      </w:r>
    </w:p>
    <w:p>
      <w:pPr>
        <w:pStyle w:val="Heading2"/>
      </w:pPr>
      <w:r>
        <w:t>A. Scale and baseline feasibility</w:t>
      </w:r>
    </w:p>
    <w:p>
      <w:pPr>
        <w:spacing w:after="0"/>
        <w:ind w:firstLine="204"/>
        <w:jc w:val="both"/>
      </w:pPr>
      <w:r>
        <w:t>Fig. 3 reports scaling on subsampled corpora and Table II gives the corresponding numbers. 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tau = 0.10; identical at tau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engines of our previous work [31], [32]—was measured infeasible at the support levels copying detection requires (over 11 million frequent pairs at N=300 under the standard cutoff), which is precisely why the architecture places FIM semantics on the query side.</w:t>
      </w: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9"/>
        </w:rPr>
        <w:t>Fig. 3. Index build and query latency versus corpus size (log-log); planted recall 100% at all sizes; Jaccard scan baseline shown where feasible; MinHash-LSH is fast at every size yet retrieves nothing (Section V-G).</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w:t>
      </w:r>
    </w:p>
    <w:p>
      <w:pPr>
        <w:pStyle w:val="TableTitle"/>
        <w:keepNext/>
      </w:pPr>
      <w:r>
        <w:t>Index scaling and baseline feasibility; Jaccard scan infeasible beyond 10,000 pieces; MinHash-LSH (128 permutations, 16 bands x 8 rows, tau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b w:val="0"/>
                <w:sz w:val="16"/>
              </w:rPr>
              <w:t>1,000</w:t>
            </w:r>
          </w:p>
        </w:tc>
        <w:tc>
          <w:tcPr>
            <w:tcW w:type="dxa" w:w="1152"/>
          </w:tcPr>
          <w:p>
            <w:pPr>
              <w:keepNext/>
              <w:jc w:val="center"/>
            </w:pPr>
            <w:r/>
            <w:r>
              <w:rPr>
                <w:rFonts w:ascii="Times New Roman" w:hAnsi="Times New Roman"/>
                <w:b w:val="0"/>
                <w:sz w:val="16"/>
              </w:rPr>
              <w:t>0.38</w:t>
            </w:r>
          </w:p>
        </w:tc>
        <w:tc>
          <w:tcPr>
            <w:tcW w:type="dxa" w:w="1152"/>
          </w:tcPr>
          <w:p>
            <w:pPr>
              <w:keepNext/>
              <w:jc w:val="center"/>
            </w:pPr>
            <w:r/>
            <w:r>
              <w:rPr>
                <w:rFonts w:ascii="Times New Roman" w:hAnsi="Times New Roman"/>
                <w:b w:val="0"/>
                <w:sz w:val="16"/>
              </w:rPr>
              <w:t>15</w:t>
            </w:r>
          </w:p>
        </w:tc>
        <w:tc>
          <w:tcPr>
            <w:tcW w:type="dxa" w:w="1152"/>
          </w:tcPr>
          <w:p>
            <w:pPr>
              <w:keepNext/>
              <w:jc w:val="center"/>
            </w:pPr>
            <w:r/>
            <w:r>
              <w:rPr>
                <w:rFonts w:ascii="Times New Roman" w:hAnsi="Times New Roman"/>
                <w:b w:val="0"/>
                <w:sz w:val="16"/>
              </w:rPr>
              <w:t>0.0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5</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3,000</w:t>
            </w:r>
          </w:p>
        </w:tc>
        <w:tc>
          <w:tcPr>
            <w:tcW w:type="dxa" w:w="1152"/>
          </w:tcPr>
          <w:p>
            <w:pPr>
              <w:keepNext/>
              <w:jc w:val="center"/>
            </w:pPr>
            <w:r/>
            <w:r>
              <w:rPr>
                <w:rFonts w:ascii="Times New Roman" w:hAnsi="Times New Roman"/>
                <w:b w:val="0"/>
                <w:sz w:val="16"/>
              </w:rPr>
              <w:t>0.71</w:t>
            </w:r>
          </w:p>
        </w:tc>
        <w:tc>
          <w:tcPr>
            <w:tcW w:type="dxa" w:w="1152"/>
          </w:tcPr>
          <w:p>
            <w:pPr>
              <w:keepNext/>
              <w:jc w:val="center"/>
            </w:pPr>
            <w:r/>
            <w:r>
              <w:rPr>
                <w:rFonts w:ascii="Times New Roman" w:hAnsi="Times New Roman"/>
                <w:b w:val="0"/>
                <w:sz w:val="16"/>
              </w:rPr>
              <w:t>33</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46/46</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10,000</w:t>
            </w:r>
          </w:p>
        </w:tc>
        <w:tc>
          <w:tcPr>
            <w:tcW w:type="dxa" w:w="1152"/>
          </w:tcPr>
          <w:p>
            <w:pPr>
              <w:keepNext/>
              <w:jc w:val="center"/>
            </w:pPr>
            <w:r/>
            <w:r>
              <w:rPr>
                <w:rFonts w:ascii="Times New Roman" w:hAnsi="Times New Roman"/>
                <w:b w:val="0"/>
                <w:sz w:val="16"/>
              </w:rPr>
              <w:t>8.01</w:t>
            </w:r>
          </w:p>
        </w:tc>
        <w:tc>
          <w:tcPr>
            <w:tcW w:type="dxa" w:w="1152"/>
          </w:tcPr>
          <w:p>
            <w:pPr>
              <w:keepNext/>
              <w:jc w:val="center"/>
            </w:pPr>
            <w:r/>
            <w:r>
              <w:rPr>
                <w:rFonts w:ascii="Times New Roman" w:hAnsi="Times New Roman"/>
                <w:b w:val="0"/>
                <w:sz w:val="16"/>
              </w:rPr>
              <w:t>77</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25.0</w:t>
            </w:r>
          </w:p>
        </w:tc>
        <w:tc>
          <w:tcPr>
            <w:tcW w:type="dxa" w:w="1152"/>
          </w:tcPr>
          <w:p>
            <w:pPr>
              <w:keepNext/>
              <w:jc w:val="center"/>
            </w:pPr>
            <w:r/>
            <w:r>
              <w:rPr>
                <w:rFonts w:ascii="Times New Roman" w:hAnsi="Times New Roman"/>
                <w:b w:val="0"/>
                <w:sz w:val="16"/>
              </w:rPr>
              <w:t>42/42</w:t>
            </w:r>
          </w:p>
        </w:tc>
        <w:tc>
          <w:tcPr>
            <w:tcW w:type="dxa" w:w="1152"/>
          </w:tcPr>
          <w:p>
            <w:pPr>
              <w:keepNext/>
              <w:jc w:val="center"/>
            </w:pPr>
            <w:r/>
            <w:r>
              <w:rPr>
                <w:rFonts w:ascii="Times New Roman" w:hAnsi="Times New Roman"/>
                <w:b w:val="0"/>
                <w:sz w:val="16"/>
              </w:rPr>
              <w:t>238</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25,357</w:t>
            </w:r>
          </w:p>
        </w:tc>
        <w:tc>
          <w:tcPr>
            <w:tcW w:type="dxa" w:w="1152"/>
          </w:tcPr>
          <w:p>
            <w:pPr>
              <w:keepNext/>
              <w:jc w:val="center"/>
            </w:pPr>
            <w:r/>
            <w:r>
              <w:rPr>
                <w:rFonts w:ascii="Times New Roman" w:hAnsi="Times New Roman"/>
                <w:b w:val="0"/>
                <w:sz w:val="16"/>
              </w:rPr>
              <w:t>3.48</w:t>
            </w:r>
          </w:p>
        </w:tc>
        <w:tc>
          <w:tcPr>
            <w:tcW w:type="dxa" w:w="1152"/>
          </w:tcPr>
          <w:p>
            <w:pPr>
              <w:keepNext/>
              <w:jc w:val="center"/>
            </w:pPr>
            <w:r/>
            <w:r>
              <w:rPr>
                <w:rFonts w:ascii="Times New Roman" w:hAnsi="Times New Roman"/>
                <w:b w:val="0"/>
                <w:sz w:val="16"/>
              </w:rPr>
              <w:t>178</w:t>
            </w:r>
          </w:p>
        </w:tc>
        <w:tc>
          <w:tcPr>
            <w:tcW w:type="dxa" w:w="1152"/>
          </w:tcPr>
          <w:p>
            <w:pPr>
              <w:keepNext/>
              <w:jc w:val="center"/>
            </w:pPr>
            <w:r/>
            <w:r>
              <w:rPr>
                <w:rFonts w:ascii="Times New Roman" w:hAnsi="Times New Roman"/>
                <w:b w:val="0"/>
                <w:sz w:val="16"/>
              </w:rPr>
              <w:t>6.0</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48/48</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30,000</w:t>
            </w:r>
          </w:p>
        </w:tc>
        <w:tc>
          <w:tcPr>
            <w:tcW w:type="dxa" w:w="1152"/>
          </w:tcPr>
          <w:p>
            <w:pPr>
              <w:keepNext/>
              <w:jc w:val="center"/>
            </w:pPr>
            <w:r/>
            <w:r>
              <w:rPr>
                <w:rFonts w:ascii="Times New Roman" w:hAnsi="Times New Roman"/>
                <w:b w:val="0"/>
                <w:sz w:val="16"/>
              </w:rPr>
              <w:t>4.45</w:t>
            </w:r>
          </w:p>
        </w:tc>
        <w:tc>
          <w:tcPr>
            <w:tcW w:type="dxa" w:w="1152"/>
          </w:tcPr>
          <w:p>
            <w:pPr>
              <w:keepNext/>
              <w:jc w:val="center"/>
            </w:pPr>
            <w:r/>
            <w:r>
              <w:rPr>
                <w:rFonts w:ascii="Times New Roman" w:hAnsi="Times New Roman"/>
                <w:b w:val="0"/>
                <w:sz w:val="16"/>
              </w:rPr>
              <w:t>205</w:t>
            </w:r>
          </w:p>
        </w:tc>
        <w:tc>
          <w:tcPr>
            <w:tcW w:type="dxa" w:w="1152"/>
          </w:tcPr>
          <w:p>
            <w:pPr>
              <w:keepNext/>
              <w:jc w:val="center"/>
            </w:pPr>
            <w:r/>
            <w:r>
              <w:rPr>
                <w:rFonts w:ascii="Times New Roman" w:hAnsi="Times New Roman"/>
                <w:b w:val="0"/>
                <w:sz w:val="16"/>
              </w:rPr>
              <w:t>7.5</w:t>
            </w:r>
          </w:p>
        </w:tc>
        <w:tc>
          <w:tcPr>
            <w:tcW w:type="dxa" w:w="1152"/>
          </w:tcPr>
          <w:p>
            <w:pPr>
              <w:keepNext/>
              <w:jc w:val="center"/>
            </w:pPr>
            <w:r/>
            <w:r>
              <w:rPr>
                <w:rFonts w:ascii="Times New Roman" w:hAnsi="Times New Roman"/>
                <w:b w:val="0"/>
                <w:sz w:val="16"/>
              </w:rPr>
              <w:t>16.2</w:t>
            </w:r>
          </w:p>
        </w:tc>
        <w:tc>
          <w:tcPr>
            <w:tcW w:type="dxa" w:w="1152"/>
          </w:tcPr>
          <w:p>
            <w:pPr>
              <w:keepNext/>
              <w:jc w:val="center"/>
            </w:pPr>
            <w:r/>
            <w:r>
              <w:rPr>
                <w:rFonts w:ascii="Times New Roman" w:hAnsi="Times New Roman"/>
                <w:b w:val="0"/>
                <w:sz w:val="16"/>
              </w:rPr>
              <w:t>37/37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0/47</w:t>
            </w:r>
          </w:p>
        </w:tc>
      </w:tr>
      <w:tr>
        <w:trPr>
          <w:cantSplit/>
        </w:trPr>
        <w:tc>
          <w:tcPr>
            <w:tcW w:type="dxa" w:w="1152"/>
          </w:tcPr>
          <w:p>
            <w:pPr>
              <w:keepNext/>
              <w:jc w:val="left"/>
            </w:pPr>
            <w:r/>
            <w:r>
              <w:rPr>
                <w:rFonts w:ascii="Times New Roman" w:hAnsi="Times New Roman"/>
                <w:b w:val="0"/>
                <w:sz w:val="16"/>
              </w:rPr>
              <w:t>44,371</w:t>
            </w:r>
          </w:p>
        </w:tc>
        <w:tc>
          <w:tcPr>
            <w:tcW w:type="dxa" w:w="1152"/>
          </w:tcPr>
          <w:p>
            <w:pPr>
              <w:keepNext/>
              <w:jc w:val="center"/>
            </w:pPr>
            <w:r/>
            <w:r>
              <w:rPr>
                <w:rFonts w:ascii="Times New Roman" w:hAnsi="Times New Roman"/>
                <w:b w:val="0"/>
                <w:sz w:val="16"/>
              </w:rPr>
              <w:t>6.25</w:t>
            </w:r>
          </w:p>
        </w:tc>
        <w:tc>
          <w:tcPr>
            <w:tcW w:type="dxa" w:w="1152"/>
          </w:tcPr>
          <w:p>
            <w:pPr>
              <w:keepNext/>
              <w:jc w:val="center"/>
            </w:pPr>
            <w:r/>
            <w:r>
              <w:rPr>
                <w:rFonts w:ascii="Times New Roman" w:hAnsi="Times New Roman"/>
                <w:b w:val="0"/>
                <w:sz w:val="16"/>
              </w:rPr>
              <w:t>290</w:t>
            </w:r>
          </w:p>
        </w:tc>
        <w:tc>
          <w:tcPr>
            <w:tcW w:type="dxa" w:w="1152"/>
          </w:tcPr>
          <w:p>
            <w:pPr>
              <w:keepNext/>
              <w:jc w:val="center"/>
            </w:pPr>
            <w:r/>
            <w:r>
              <w:rPr>
                <w:rFonts w:ascii="Times New Roman" w:hAnsi="Times New Roman"/>
                <w:b w:val="0"/>
                <w:sz w:val="16"/>
              </w:rPr>
              <w:t>10.9</w:t>
            </w:r>
          </w:p>
        </w:tc>
        <w:tc>
          <w:tcPr>
            <w:tcW w:type="dxa" w:w="1152"/>
          </w:tcPr>
          <w:p>
            <w:pPr>
              <w:keepNext/>
              <w:jc w:val="center"/>
            </w:pPr>
            <w:r/>
            <w:r>
              <w:rPr>
                <w:rFonts w:ascii="Times New Roman" w:hAnsi="Times New Roman"/>
                <w:b w:val="0"/>
                <w:sz w:val="16"/>
              </w:rPr>
              <w:t>25.7</w:t>
            </w:r>
          </w:p>
        </w:tc>
        <w:tc>
          <w:tcPr>
            <w:tcW w:type="dxa" w:w="1152"/>
          </w:tcPr>
          <w:p>
            <w:pPr>
              <w:keepNext/>
              <w:jc w:val="center"/>
            </w:pPr>
            <w:r/>
            <w:r>
              <w:rPr>
                <w:rFonts w:ascii="Times New Roman" w:hAnsi="Times New Roman"/>
                <w:b w:val="0"/>
                <w:sz w:val="16"/>
              </w:rPr>
              <w:t>34/34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5.0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50,000</w:t>
            </w:r>
          </w:p>
        </w:tc>
        <w:tc>
          <w:tcPr>
            <w:tcW w:type="dxa" w:w="1152"/>
          </w:tcPr>
          <w:p>
            <w:pPr>
              <w:keepNext/>
              <w:jc w:val="center"/>
            </w:pPr>
            <w:r/>
            <w:r>
              <w:rPr>
                <w:rFonts w:ascii="Times New Roman" w:hAnsi="Times New Roman"/>
                <w:b w:val="0"/>
                <w:sz w:val="16"/>
              </w:rPr>
              <w:t>20.02</w:t>
            </w:r>
          </w:p>
        </w:tc>
        <w:tc>
          <w:tcPr>
            <w:tcW w:type="dxa" w:w="1152"/>
          </w:tcPr>
          <w:p>
            <w:pPr>
              <w:keepNext/>
              <w:jc w:val="center"/>
            </w:pPr>
            <w:r/>
            <w:r>
              <w:rPr>
                <w:rFonts w:ascii="Times New Roman" w:hAnsi="Times New Roman"/>
                <w:b w:val="0"/>
                <w:sz w:val="16"/>
              </w:rPr>
              <w:t>323</w:t>
            </w:r>
          </w:p>
        </w:tc>
        <w:tc>
          <w:tcPr>
            <w:tcW w:type="dxa" w:w="1152"/>
          </w:tcPr>
          <w:p>
            <w:pPr>
              <w:keepNext/>
              <w:jc w:val="center"/>
            </w:pPr>
            <w:r/>
            <w:r>
              <w:rPr>
                <w:rFonts w:ascii="Times New Roman" w:hAnsi="Times New Roman"/>
                <w:b w:val="0"/>
                <w:sz w:val="16"/>
              </w:rPr>
              <w:t>63.9</w:t>
            </w:r>
          </w:p>
        </w:tc>
        <w:tc>
          <w:tcPr>
            <w:tcW w:type="dxa" w:w="1152"/>
          </w:tcPr>
          <w:p>
            <w:pPr>
              <w:keepNext/>
              <w:jc w:val="center"/>
            </w:pPr>
            <w:r/>
            <w:r>
              <w:rPr>
                <w:rFonts w:ascii="Times New Roman" w:hAnsi="Times New Roman"/>
                <w:b w:val="0"/>
                <w:sz w:val="16"/>
              </w:rPr>
              <w:t>86.4</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50,709</w:t>
            </w:r>
          </w:p>
        </w:tc>
        <w:tc>
          <w:tcPr>
            <w:tcW w:type="dxa" w:w="1152"/>
          </w:tcPr>
          <w:p>
            <w:pPr>
              <w:keepNext/>
              <w:jc w:val="center"/>
            </w:pPr>
            <w:r/>
            <w:r>
              <w:rPr>
                <w:rFonts w:ascii="Times New Roman" w:hAnsi="Times New Roman"/>
                <w:b w:val="0"/>
                <w:sz w:val="16"/>
              </w:rPr>
              <w:t>7.60</w:t>
            </w:r>
          </w:p>
        </w:tc>
        <w:tc>
          <w:tcPr>
            <w:tcW w:type="dxa" w:w="1152"/>
          </w:tcPr>
          <w:p>
            <w:pPr>
              <w:keepNext/>
              <w:jc w:val="center"/>
            </w:pPr>
            <w:r/>
            <w:r>
              <w:rPr>
                <w:rFonts w:ascii="Times New Roman" w:hAnsi="Times New Roman"/>
                <w:b w:val="0"/>
                <w:sz w:val="16"/>
              </w:rPr>
              <w:t>328</w:t>
            </w:r>
          </w:p>
        </w:tc>
        <w:tc>
          <w:tcPr>
            <w:tcW w:type="dxa" w:w="1152"/>
          </w:tcPr>
          <w:p>
            <w:pPr>
              <w:keepNext/>
              <w:jc w:val="center"/>
            </w:pPr>
            <w:r/>
            <w:r>
              <w:rPr>
                <w:rFonts w:ascii="Times New Roman" w:hAnsi="Times New Roman"/>
                <w:b w:val="0"/>
                <w:sz w:val="16"/>
              </w:rPr>
              <w:t>11.6</w:t>
            </w:r>
          </w:p>
        </w:tc>
        <w:tc>
          <w:tcPr>
            <w:tcW w:type="dxa" w:w="1152"/>
          </w:tcPr>
          <w:p>
            <w:pPr>
              <w:keepNext/>
              <w:jc w:val="center"/>
            </w:pPr>
            <w:r/>
            <w:r>
              <w:rPr>
                <w:rFonts w:ascii="Times New Roman" w:hAnsi="Times New Roman"/>
                <w:b w:val="0"/>
                <w:sz w:val="16"/>
              </w:rPr>
              <w:t>16.1</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3.0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69,723</w:t>
            </w:r>
          </w:p>
        </w:tc>
        <w:tc>
          <w:tcPr>
            <w:tcW w:type="dxa" w:w="1152"/>
          </w:tcPr>
          <w:p>
            <w:pPr>
              <w:keepNext/>
              <w:jc w:val="center"/>
            </w:pPr>
            <w:r/>
            <w:r>
              <w:rPr>
                <w:rFonts w:ascii="Times New Roman" w:hAnsi="Times New Roman"/>
                <w:b w:val="0"/>
                <w:sz w:val="16"/>
              </w:rPr>
              <w:t>9.67</w:t>
            </w:r>
          </w:p>
        </w:tc>
        <w:tc>
          <w:tcPr>
            <w:tcW w:type="dxa" w:w="1152"/>
          </w:tcPr>
          <w:p>
            <w:pPr>
              <w:keepNext/>
              <w:jc w:val="center"/>
            </w:pPr>
            <w:r/>
            <w:r>
              <w:rPr>
                <w:rFonts w:ascii="Times New Roman" w:hAnsi="Times New Roman"/>
                <w:b w:val="0"/>
                <w:sz w:val="16"/>
              </w:rPr>
              <w:t>439</w:t>
            </w:r>
          </w:p>
        </w:tc>
        <w:tc>
          <w:tcPr>
            <w:tcW w:type="dxa" w:w="1152"/>
          </w:tcPr>
          <w:p>
            <w:pPr>
              <w:keepNext/>
              <w:jc w:val="center"/>
            </w:pPr>
            <w:r/>
            <w:r>
              <w:rPr>
                <w:rFonts w:ascii="Times New Roman" w:hAnsi="Times New Roman"/>
                <w:b w:val="0"/>
                <w:sz w:val="16"/>
              </w:rPr>
              <w:t>15.2</w:t>
            </w:r>
          </w:p>
        </w:tc>
        <w:tc>
          <w:tcPr>
            <w:tcW w:type="dxa" w:w="1152"/>
          </w:tcPr>
          <w:p>
            <w:pPr>
              <w:keepNext/>
              <w:jc w:val="center"/>
            </w:pPr>
            <w:r/>
            <w:r>
              <w:rPr>
                <w:rFonts w:ascii="Times New Roman" w:hAnsi="Times New Roman"/>
                <w:b w:val="0"/>
                <w:sz w:val="16"/>
              </w:rPr>
              <w:t>31.3</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100,000</w:t>
            </w:r>
          </w:p>
        </w:tc>
        <w:tc>
          <w:tcPr>
            <w:tcW w:type="dxa" w:w="1152"/>
          </w:tcPr>
          <w:p>
            <w:pPr>
              <w:keepNext/>
              <w:jc w:val="center"/>
            </w:pPr>
            <w:r/>
            <w:r>
              <w:rPr>
                <w:rFonts w:ascii="Times New Roman" w:hAnsi="Times New Roman"/>
                <w:b w:val="0"/>
                <w:sz w:val="16"/>
              </w:rPr>
              <w:t>16.71</w:t>
            </w:r>
          </w:p>
        </w:tc>
        <w:tc>
          <w:tcPr>
            <w:tcW w:type="dxa" w:w="1152"/>
          </w:tcPr>
          <w:p>
            <w:pPr>
              <w:keepNext/>
              <w:jc w:val="center"/>
            </w:pPr>
            <w:r/>
            <w:r>
              <w:rPr>
                <w:rFonts w:ascii="Times New Roman" w:hAnsi="Times New Roman"/>
                <w:b w:val="0"/>
                <w:sz w:val="16"/>
              </w:rPr>
              <w:t>615</w:t>
            </w:r>
          </w:p>
        </w:tc>
        <w:tc>
          <w:tcPr>
            <w:tcW w:type="dxa" w:w="1152"/>
          </w:tcPr>
          <w:p>
            <w:pPr>
              <w:keepNext/>
              <w:jc w:val="center"/>
            </w:pPr>
            <w:r/>
            <w:r>
              <w:rPr>
                <w:rFonts w:ascii="Times New Roman" w:hAnsi="Times New Roman"/>
                <w:b w:val="0"/>
                <w:sz w:val="16"/>
              </w:rPr>
              <w:t>23.1</w:t>
            </w:r>
          </w:p>
        </w:tc>
        <w:tc>
          <w:tcPr>
            <w:tcW w:type="dxa" w:w="1152"/>
          </w:tcPr>
          <w:p>
            <w:pPr>
              <w:keepNext/>
              <w:jc w:val="center"/>
            </w:pPr>
            <w:r/>
            <w:r>
              <w:rPr>
                <w:rFonts w:ascii="Times New Roman" w:hAnsi="Times New Roman"/>
                <w:b w:val="0"/>
                <w:sz w:val="16"/>
              </w:rPr>
              <w:t>46.9</w:t>
            </w:r>
          </w:p>
        </w:tc>
        <w:tc>
          <w:tcPr>
            <w:tcW w:type="dxa" w:w="1152"/>
          </w:tcPr>
          <w:p>
            <w:pPr>
              <w:keepNext/>
              <w:jc w:val="center"/>
            </w:pPr>
            <w:r/>
            <w:r>
              <w:rPr>
                <w:rFonts w:ascii="Times New Roman" w:hAnsi="Times New Roman"/>
                <w:b w:val="0"/>
                <w:sz w:val="16"/>
              </w:rPr>
              <w:t>44/44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0/44</w:t>
            </w:r>
          </w:p>
        </w:tc>
      </w:tr>
      <w:tr>
        <w:trPr>
          <w:cantSplit/>
        </w:trPr>
        <w:tc>
          <w:tcPr>
            <w:tcW w:type="dxa" w:w="1152"/>
            <w:tcBorders>
              <w:bottom w:val="single" w:sz="12" w:color="000000"/>
            </w:tcBorders>
          </w:tcPr>
          <w:p>
            <w:pPr>
              <w:jc w:val="left"/>
            </w:pPr>
            <w:r/>
            <w:r>
              <w:rPr>
                <w:rFonts w:ascii="Times New Roman" w:hAnsi="Times New Roman"/>
                <w:b w:val="0"/>
                <w:sz w:val="16"/>
              </w:rPr>
              <w:t>174,300</w:t>
            </w:r>
          </w:p>
        </w:tc>
        <w:tc>
          <w:tcPr>
            <w:tcW w:type="dxa" w:w="1152"/>
            <w:tcBorders>
              <w:bottom w:val="single" w:sz="12" w:color="000000"/>
            </w:tcBorders>
          </w:tcPr>
          <w:p>
            <w:pPr>
              <w:jc w:val="center"/>
            </w:pPr>
            <w:r/>
            <w:r>
              <w:rPr>
                <w:rFonts w:ascii="Times New Roman" w:hAnsi="Times New Roman"/>
                <w:b w:val="0"/>
                <w:sz w:val="16"/>
              </w:rPr>
              <w:t>24.75</w:t>
            </w:r>
          </w:p>
        </w:tc>
        <w:tc>
          <w:tcPr>
            <w:tcW w:type="dxa" w:w="1152"/>
            <w:tcBorders>
              <w:bottom w:val="single" w:sz="12" w:color="000000"/>
            </w:tcBorders>
          </w:tcPr>
          <w:p>
            <w:pPr>
              <w:jc w:val="center"/>
            </w:pPr>
            <w:r/>
            <w:r>
              <w:rPr>
                <w:rFonts w:ascii="Times New Roman" w:hAnsi="Times New Roman"/>
                <w:b w:val="0"/>
                <w:sz w:val="16"/>
              </w:rPr>
              <w:t>1053</w:t>
            </w:r>
          </w:p>
        </w:tc>
        <w:tc>
          <w:tcPr>
            <w:tcW w:type="dxa" w:w="1152"/>
            <w:tcBorders>
              <w:bottom w:val="single" w:sz="12" w:color="000000"/>
            </w:tcBorders>
          </w:tcPr>
          <w:p>
            <w:pPr>
              <w:jc w:val="center"/>
            </w:pPr>
            <w:r/>
            <w:r>
              <w:rPr>
                <w:rFonts w:ascii="Times New Roman" w:hAnsi="Times New Roman"/>
                <w:b w:val="0"/>
                <w:sz w:val="16"/>
              </w:rPr>
              <w:t>41.9</w:t>
            </w:r>
          </w:p>
        </w:tc>
        <w:tc>
          <w:tcPr>
            <w:tcW w:type="dxa" w:w="1152"/>
            <w:tcBorders>
              <w:bottom w:val="single" w:sz="12" w:color="000000"/>
            </w:tcBorders>
          </w:tcPr>
          <w:p>
            <w:pPr>
              <w:jc w:val="center"/>
            </w:pPr>
            <w:r/>
            <w:r>
              <w:rPr>
                <w:rFonts w:ascii="Times New Roman" w:hAnsi="Times New Roman"/>
                <w:b w:val="0"/>
                <w:sz w:val="16"/>
              </w:rPr>
              <w:t>123.5</w:t>
            </w:r>
          </w:p>
        </w:tc>
        <w:tc>
          <w:tcPr>
            <w:tcW w:type="dxa" w:w="1152"/>
            <w:tcBorders>
              <w:bottom w:val="single" w:sz="12" w:color="000000"/>
            </w:tcBorders>
          </w:tcPr>
          <w:p>
            <w:pPr>
              <w:jc w:val="center"/>
            </w:pPr>
            <w:r/>
            <w:r>
              <w:rPr>
                <w:rFonts w:ascii="Times New Roman" w:hAnsi="Times New Roman"/>
                <w:b w:val="0"/>
                <w:sz w:val="16"/>
              </w:rPr>
              <w:t>47/47</w:t>
            </w:r>
          </w:p>
        </w:tc>
        <w:tc>
          <w:tcPr>
            <w:tcW w:type="dxa" w:w="1152"/>
            <w:tcBorders>
              <w:bottom w:val="single" w:sz="12" w:color="000000"/>
            </w:tcBorders>
          </w:tcPr>
          <w:p>
            <w:pPr>
              <w:jc w:val="center"/>
            </w:pPr>
            <w:r/>
            <w:r>
              <w:rPr>
                <w:rFonts w:ascii="Times New Roman" w:hAnsi="Times New Roman"/>
                <w:b w:val="0"/>
                <w:sz w:val="16"/>
              </w:rPr>
              <w:t>infeasible</w:t>
            </w:r>
          </w:p>
        </w:tc>
        <w:tc>
          <w:tcPr>
            <w:tcW w:type="dxa" w:w="1152"/>
            <w:tcBorders>
              <w:bottom w:val="single" w:sz="12" w:color="000000"/>
            </w:tcBorders>
          </w:tcPr>
          <w:p>
            <w:pPr>
              <w:jc w:val="center"/>
            </w:pPr>
            <w:r/>
            <w:r>
              <w:rPr>
                <w:rFonts w:ascii="Times New Roman" w:hAnsi="Times New Roman"/>
                <w:b w:val="0"/>
                <w:sz w:val="16"/>
              </w:rPr>
              <w:t>6.0</w:t>
            </w:r>
          </w:p>
        </w:tc>
        <w:tc>
          <w:tcPr>
            <w:tcW w:type="dxa" w:w="1152"/>
            <w:tcBorders>
              <w:bottom w:val="single" w:sz="12" w:color="000000"/>
            </w:tcBorders>
          </w:tcPr>
          <w:p>
            <w:pPr>
              <w:jc w:val="center"/>
            </w:pPr>
            <w:r/>
            <w:r>
              <w:rPr>
                <w:rFonts w:ascii="Times New Roman" w:hAnsi="Times New Roman"/>
                <w:b w:val="0"/>
                <w:sz w:val="16"/>
              </w:rPr>
              <w:t>0/47</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(e.g., transposition by 6 semitones against a ±2 guarantee). Fig. 5 verifies the bound: across all 337 cells the measured donor evidence never falls below the theoretical lower bound (0 violations; margins in Table IV), which is the empirical anchor of the recall contract.</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Recall (%) of the L1 tolerant screen on 337 planted-copy cells (five seeds per cell; k_pitch = 2, k_bin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b w:val="0"/>
                <w:sz w:val="16"/>
              </w:rPr>
              <w:t>Verbatim</w:t>
            </w:r>
          </w:p>
        </w:tc>
        <w:tc>
          <w:tcPr>
            <w:tcW w:type="dxa" w:w="1481"/>
          </w:tcPr>
          <w:p>
            <w:pPr>
              <w:keepNext/>
              <w:jc w:val="center"/>
            </w:pPr>
            <w:r/>
            <w:r>
              <w:rPr>
                <w:rFonts w:ascii="Times New Roman" w:hAnsi="Times New Roman"/>
                <w:b w:val="0"/>
                <w:sz w:val="16"/>
              </w:rPr>
              <w:t>identity</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Transpose</w:t>
            </w:r>
          </w:p>
        </w:tc>
        <w:tc>
          <w:tcPr>
            <w:tcW w:type="dxa" w:w="1481"/>
          </w:tcPr>
          <w:p>
            <w:pPr>
              <w:keepNext/>
              <w:jc w:val="center"/>
            </w:pPr>
            <w:r/>
            <w:r>
              <w:rPr>
                <w:rFonts w:ascii="Times New Roman" w:hAnsi="Times New Roman"/>
                <w:b w:val="0"/>
                <w:sz w:val="16"/>
              </w:rPr>
              <w:t>±1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±2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±4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±6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Tempo scaling</w:t>
            </w:r>
          </w:p>
        </w:tc>
        <w:tc>
          <w:tcPr>
            <w:tcW w:type="dxa" w:w="1481"/>
          </w:tcPr>
          <w:p>
            <w:pPr>
              <w:keepNext/>
              <w:jc w:val="center"/>
            </w:pPr>
            <w:r/>
            <w:r>
              <w:rPr>
                <w:rFonts w:ascii="Times New Roman" w:hAnsi="Times New Roman"/>
                <w:b w:val="0"/>
                <w:sz w:val="16"/>
              </w:rPr>
              <w:t>×1.05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Split–merge</w:t>
            </w:r>
          </w:p>
        </w:tc>
        <w:tc>
          <w:tcPr>
            <w:tcW w:type="dxa" w:w="1481"/>
          </w:tcPr>
          <w:p>
            <w:pPr>
              <w:keepNext/>
              <w:jc w:val="center"/>
            </w:pPr>
            <w:r/>
            <w:r>
              <w:rPr>
                <w:rFonts w:ascii="Times New Roman" w:hAnsi="Times New Roman"/>
                <w:b w:val="0"/>
                <w:sz w:val="16"/>
              </w:rPr>
              <w:t>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0.30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Re-instrumentation</w:t>
            </w:r>
          </w:p>
        </w:tc>
        <w:tc>
          <w:tcPr>
            <w:tcW w:type="dxa" w:w="1481"/>
          </w:tcPr>
          <w:p>
            <w:pPr>
              <w:keepNext/>
              <w:jc w:val="center"/>
            </w:pPr>
            <w:r/>
            <w:r>
              <w:rPr>
                <w:rFonts w:ascii="Times New Roman" w:hAnsi="Times New Roman"/>
                <w:b w:val="0"/>
                <w:sz w:val="16"/>
              </w:rPr>
              <w:t>p_drop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0.25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0.40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b w:val="0"/>
                <w:sz w:val="16"/>
              </w:rPr>
              <w:t>Transcription noise</w:t>
            </w:r>
          </w:p>
        </w:tc>
        <w:tc>
          <w:tcPr>
            <w:tcW w:type="dxa" w:w="1481"/>
          </w:tcPr>
          <w:p>
            <w:pPr>
              <w:keepNext/>
              <w:jc w:val="center"/>
            </w:pPr>
            <w:r/>
            <w:r>
              <w:rPr>
                <w:rFonts w:ascii="Times New Roman" w:hAnsi="Times New Roman"/>
                <w:b w:val="0"/>
                <w:sz w:val="16"/>
              </w:rPr>
              <w:t>q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q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r>
              <w:rPr>
                <w:rFonts w:ascii="Times New Roman" w:hAnsi="Times New Roman"/>
                <w:b w:val="0"/>
                <w:sz w:val="16"/>
              </w:rPr>
            </w:r>
          </w:p>
        </w:tc>
        <w:tc>
          <w:tcPr>
            <w:tcW w:type="dxa" w:w="1481"/>
            <w:tcBorders>
              <w:bottom w:val="single" w:sz="12" w:color="000000"/>
            </w:tcBorders>
          </w:tcPr>
          <w:p>
            <w:pPr>
              <w:jc w:val="center"/>
            </w:pPr>
            <w:r/>
            <w:r>
              <w:rPr>
                <w:rFonts w:ascii="Times New Roman" w:hAnsi="Times New Roman"/>
                <w:b w:val="0"/>
                <w:sz w:val="16"/>
              </w:rPr>
              <w:t>q = 60 ms, miss 15 %</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100.0</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9"/>
        </w:rPr>
        <w:t>Fig. 4. Recall heatmap of the 337-cell matrix; rows are transformation and strength, columns span length. The three sub-100 % cells pair extreme noise with the shortest spans.</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b w:val="0"/>
                <w:sz w:val="16"/>
              </w:rPr>
              <w:t>Verbatim</w:t>
            </w:r>
          </w:p>
        </w:tc>
        <w:tc>
          <w:tcPr>
            <w:tcW w:type="dxa" w:w="2074"/>
          </w:tcPr>
          <w:p>
            <w:pPr>
              <w:keepNext/>
              <w:jc w:val="center"/>
            </w:pPr>
            <w:r/>
            <w:r>
              <w:rPr>
                <w:rFonts w:ascii="Times New Roman" w:hAnsi="Times New Roman"/>
                <w:b w:val="0"/>
                <w:sz w:val="16"/>
              </w:rPr>
              <w:t>20</w:t>
            </w:r>
          </w:p>
        </w:tc>
        <w:tc>
          <w:tcPr>
            <w:tcW w:type="dxa" w:w="2074"/>
          </w:tcPr>
          <w:p>
            <w:pPr>
              <w:keepNext/>
              <w:jc w:val="center"/>
            </w:pPr>
            <w:r/>
            <w:r>
              <w:rPr>
                <w:rFonts w:ascii="Times New Roman" w:hAnsi="Times New Roman"/>
                <w:b w:val="0"/>
                <w:sz w:val="16"/>
              </w:rPr>
              <w:t>0.0</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Transpose</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6.7</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Tempo scaling</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0.5</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Split–merge</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1.9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Re-instrumentation</w:t>
            </w:r>
          </w:p>
        </w:tc>
        <w:tc>
          <w:tcPr>
            <w:tcW w:type="dxa" w:w="2074"/>
          </w:tcPr>
          <w:p>
            <w:pPr>
              <w:keepNext/>
              <w:jc w:val="center"/>
            </w:pPr>
            <w:r/>
            <w:r>
              <w:rPr>
                <w:rFonts w:ascii="Times New Roman" w:hAnsi="Times New Roman"/>
                <w:b w:val="0"/>
                <w:sz w:val="16"/>
              </w:rPr>
              <w:t>58</w:t>
            </w:r>
          </w:p>
        </w:tc>
        <w:tc>
          <w:tcPr>
            <w:tcW w:type="dxa" w:w="2074"/>
          </w:tcPr>
          <w:p>
            <w:pPr>
              <w:keepNext/>
              <w:jc w:val="center"/>
            </w:pPr>
            <w:r/>
            <w:r>
              <w:rPr>
                <w:rFonts w:ascii="Times New Roman" w:hAnsi="Times New Roman"/>
                <w:b w:val="0"/>
                <w:sz w:val="16"/>
              </w:rPr>
              <w:t>0.9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Borders>
              <w:bottom w:val="single" w:sz="12" w:color="000000"/>
            </w:tcBorders>
          </w:tcPr>
          <w:p>
            <w:pPr>
              <w:jc w:val="left"/>
            </w:pPr>
            <w:r/>
            <w:r>
              <w:rPr>
                <w:rFonts w:ascii="Times New Roman" w:hAnsi="Times New Roman"/>
                <w:b w:val="0"/>
                <w:sz w:val="16"/>
              </w:rPr>
              <w:t>Transcription noise</w:t>
            </w:r>
          </w:p>
        </w:tc>
        <w:tc>
          <w:tcPr>
            <w:tcW w:type="dxa" w:w="2074"/>
            <w:tcBorders>
              <w:bottom w:val="single" w:sz="12" w:color="000000"/>
            </w:tcBorders>
          </w:tcPr>
          <w:p>
            <w:pPr>
              <w:jc w:val="center"/>
            </w:pPr>
            <w:r/>
            <w:r>
              <w:rPr>
                <w:rFonts w:ascii="Times New Roman" w:hAnsi="Times New Roman"/>
                <w:b w:val="0"/>
                <w:sz w:val="16"/>
              </w:rPr>
              <w:t>59</w:t>
            </w:r>
          </w:p>
        </w:tc>
        <w:tc>
          <w:tcPr>
            <w:tcW w:type="dxa" w:w="2074"/>
            <w:tcBorders>
              <w:bottom w:val="single" w:sz="12" w:color="000000"/>
            </w:tcBorders>
          </w:tcPr>
          <w:p>
            <w:pPr>
              <w:jc w:val="center"/>
            </w:pPr>
            <w:r/>
            <w:r>
              <w:rPr>
                <w:rFonts w:ascii="Times New Roman" w:hAnsi="Times New Roman"/>
                <w:b w:val="0"/>
                <w:sz w:val="16"/>
              </w:rPr>
              <w:t>2.6</w:t>
            </w:r>
          </w:p>
        </w:tc>
        <w:tc>
          <w:tcPr>
            <w:tcW w:type="dxa" w:w="2074"/>
            <w:tcBorders>
              <w:bottom w:val="single" w:sz="12" w:color="000000"/>
            </w:tcBorders>
          </w:tcPr>
          <w:p>
            <w:pPr>
              <w:jc w:val="center"/>
            </w:pPr>
            <w:r/>
            <w:r>
              <w:rPr>
                <w:rFonts w:ascii="Times New Roman" w:hAnsi="Times New Roman"/>
                <w:b w:val="0"/>
                <w:sz w:val="16"/>
              </w:rPr>
              <w:t>0</w:t>
            </w:r>
          </w:p>
        </w:tc>
        <w:tc>
          <w:tcPr>
            <w:tcW w:type="dxa" w:w="2074"/>
            <w:tcBorders>
              <w:bottom w:val="single" w:sz="12" w:color="000000"/>
            </w:tcBorders>
          </w:tcPr>
          <w:p>
            <w:pPr>
              <w:jc w:val="center"/>
            </w:pPr>
            <w:r/>
            <w:r>
              <w:rPr>
                <w:rFonts w:ascii="Times New Roman" w:hAnsi="Times New Roman"/>
                <w:b w:val="0"/>
                <w:sz w:val="16"/>
              </w:rPr>
              <w:t>0</w:t>
            </w:r>
          </w:p>
        </w:tc>
      </w:tr>
    </w:tbl>
    <w:p>
      <w:pPr>
        <w:spacing w:after="40"/>
      </w:pP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9"/>
        </w:rPr>
        <w:t>Fig. 5. Measured donor evidence versus theoretical lower bound, 337 adversarial cells; zero violations.</w:t>
      </w:r>
    </w:p>
    <w:p>
      <w:pPr>
        <w:pStyle w:val="Heading2"/>
      </w:pPr>
      <w:r>
        <w:t>C. Anytime behavior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9"/>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b w:val="0"/>
                <w:sz w:val="16"/>
              </w:rPr>
              <w:t>2%</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10%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20%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35%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50</w:t>
            </w:r>
          </w:p>
        </w:tc>
      </w:tr>
      <w:tr>
        <w:trPr>
          <w:cantSplit/>
        </w:trPr>
        <w:tc>
          <w:tcPr>
            <w:tcW w:type="dxa" w:w="2074"/>
          </w:tcPr>
          <w:p>
            <w:pPr>
              <w:keepNext/>
              <w:jc w:val="left"/>
            </w:pPr>
            <w:r/>
            <w:r>
              <w:rPr>
                <w:rFonts w:ascii="Times New Roman" w:hAnsi="Times New Roman"/>
                <w:b w:val="0"/>
                <w:sz w:val="16"/>
              </w:rPr>
              <w:t>70%</w:t>
            </w:r>
          </w:p>
        </w:tc>
        <w:tc>
          <w:tcPr>
            <w:tcW w:type="dxa" w:w="2074"/>
          </w:tcPr>
          <w:p>
            <w:pPr>
              <w:keepNext/>
              <w:jc w:val="center"/>
            </w:pPr>
            <w:r/>
            <w:r>
              <w:rPr>
                <w:rFonts w:ascii="Times New Roman" w:hAnsi="Times New Roman"/>
                <w:b w:val="0"/>
                <w:sz w:val="16"/>
              </w:rPr>
              <w:t>793.9</w:t>
            </w:r>
          </w:p>
        </w:tc>
        <w:tc>
          <w:tcPr>
            <w:tcW w:type="dxa" w:w="2074"/>
          </w:tcPr>
          <w:p>
            <w:pPr>
              <w:keepNext/>
              <w:jc w:val="center"/>
            </w:pPr>
            <w:r/>
            <w:r>
              <w:rPr>
                <w:rFonts w:ascii="Times New Roman" w:hAnsi="Times New Roman"/>
                <w:b w:val="0"/>
                <w:sz w:val="16"/>
              </w:rPr>
              <w:t>839.3</w:t>
            </w:r>
          </w:p>
        </w:tc>
        <w:tc>
          <w:tcPr>
            <w:tcW w:type="dxa" w:w="2074"/>
          </w:tcPr>
          <w:p>
            <w:pPr>
              <w:keepNext/>
              <w:jc w:val="center"/>
            </w:pPr>
            <w:r/>
            <w:r>
              <w:rPr>
                <w:rFonts w:ascii="Times New Roman" w:hAnsi="Times New Roman"/>
                <w:b w:val="0"/>
                <w:sz w:val="16"/>
              </w:rPr>
              <w:t>866.2</w:t>
            </w:r>
          </w:p>
        </w:tc>
        <w:tc>
          <w:tcPr>
            <w:tcW w:type="dxa" w:w="2074"/>
          </w:tcPr>
          <w:p>
            <w:pPr>
              <w:keepNext/>
              <w:jc w:val="center"/>
            </w:pPr>
            <w:r/>
            <w:r>
              <w:rPr>
                <w:rFonts w:ascii="Times New Roman" w:hAnsi="Times New Roman"/>
                <w:b w:val="0"/>
                <w:sz w:val="16"/>
              </w:rPr>
              <w:t>93</w:t>
            </w:r>
          </w:p>
        </w:tc>
      </w:tr>
      <w:tr>
        <w:trPr>
          <w:cantSplit/>
        </w:trPr>
        <w:tc>
          <w:tcPr>
            <w:tcW w:type="dxa" w:w="2074"/>
            <w:tcBorders>
              <w:bottom w:val="single" w:sz="12" w:color="000000"/>
            </w:tcBorders>
          </w:tcPr>
          <w:p>
            <w:pPr>
              <w:jc w:val="left"/>
            </w:pPr>
            <w:r/>
            <w:r>
              <w:rPr>
                <w:rFonts w:ascii="Times New Roman" w:hAnsi="Times New Roman"/>
                <w:b w:val="0"/>
                <w:sz w:val="16"/>
              </w:rPr>
              <w:t>100%</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100</w:t>
            </w:r>
          </w:p>
        </w:tc>
      </w:tr>
    </w:tbl>
    <w:p>
      <w:pPr>
        <w:spacing w:after="40"/>
      </w:pPr>
    </w:p>
    <w:p>
      <w:pPr>
        <w:pStyle w:val="Heading2"/>
      </w:pPr>
      <w:r>
        <w:t>D. The key negative result: screening is not deciding</w:t>
      </w:r>
    </w:p>
    <w:p>
      <w:pPr>
        <w:spacing w:after="0"/>
        <w:ind w:firstLine="204"/>
        <w:jc w:val="both"/>
      </w:pPr>
      <w:r>
        <w:t>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Sample sizes are small (238 fragments; 95% half-width ≈ 1.8 pp near 2% incidence and ≈ 6.3 pp near 50%), so we treat single-percentage-point differences as ties and rely on margins larger than the half-width.</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9"/>
        </w:rPr>
        <w:t>Fig. 7. Donor score margin (donor minus best non-donor) on 238 hard-negative fragments; the annotated rate is the fragment-level flag rate of each layer.</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b w:val="0"/>
                <w:sz w:val="16"/>
              </w:rPr>
              <w:t>4</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31.6</w:t>
            </w:r>
          </w:p>
        </w:tc>
        <w:tc>
          <w:tcPr>
            <w:tcW w:type="dxa" w:w="2074"/>
          </w:tcPr>
          <w:p>
            <w:pPr>
              <w:keepNext/>
              <w:jc w:val="center"/>
            </w:pPr>
            <w:r/>
            <w:r>
              <w:rPr>
                <w:rFonts w:ascii="Times New Roman" w:hAnsi="Times New Roman"/>
                <w:b w:val="0"/>
                <w:sz w:val="16"/>
              </w:rPr>
              <w:t>94.9</w:t>
            </w:r>
          </w:p>
        </w:tc>
      </w:tr>
      <w:tr>
        <w:trPr>
          <w:cantSplit/>
        </w:trPr>
        <w:tc>
          <w:tcPr>
            <w:tcW w:type="dxa" w:w="2074"/>
          </w:tcPr>
          <w:p>
            <w:pPr>
              <w:keepNext/>
              <w:jc w:val="left"/>
            </w:pPr>
            <w:r/>
            <w:r>
              <w:rPr>
                <w:rFonts w:ascii="Times New Roman" w:hAnsi="Times New Roman"/>
                <w:b w:val="0"/>
                <w:sz w:val="16"/>
              </w:rPr>
              <w:t>8</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22.8</w:t>
            </w:r>
          </w:p>
        </w:tc>
        <w:tc>
          <w:tcPr>
            <w:tcW w:type="dxa" w:w="2074"/>
          </w:tcPr>
          <w:p>
            <w:pPr>
              <w:keepNext/>
              <w:jc w:val="center"/>
            </w:pPr>
            <w:r/>
            <w:r>
              <w:rPr>
                <w:rFonts w:ascii="Times New Roman" w:hAnsi="Times New Roman"/>
                <w:b w:val="0"/>
                <w:sz w:val="16"/>
              </w:rPr>
              <w:t>92.4</w:t>
            </w:r>
          </w:p>
        </w:tc>
      </w:tr>
      <w:tr>
        <w:trPr>
          <w:cantSplit/>
        </w:trPr>
        <w:tc>
          <w:tcPr>
            <w:tcW w:type="dxa" w:w="2074"/>
          </w:tcPr>
          <w:p>
            <w:pPr>
              <w:keepNext/>
              <w:jc w:val="left"/>
            </w:pPr>
            <w:r/>
            <w:r>
              <w:rPr>
                <w:rFonts w:ascii="Times New Roman" w:hAnsi="Times New Roman"/>
                <w:b w:val="0"/>
                <w:sz w:val="16"/>
              </w:rPr>
              <w:t>16</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92.5</w:t>
            </w:r>
          </w:p>
        </w:tc>
        <w:tc>
          <w:tcPr>
            <w:tcW w:type="dxa" w:w="2074"/>
          </w:tcPr>
          <w:p>
            <w:pPr>
              <w:keepNext/>
              <w:jc w:val="center"/>
            </w:pPr>
            <w:r/>
            <w:r>
              <w:rPr>
                <w:rFonts w:ascii="Times New Roman" w:hAnsi="Times New Roman"/>
                <w:b w:val="0"/>
                <w:sz w:val="16"/>
              </w:rPr>
              <w:t>12.5</w:t>
            </w:r>
          </w:p>
        </w:tc>
        <w:tc>
          <w:tcPr>
            <w:tcW w:type="dxa" w:w="2074"/>
          </w:tcPr>
          <w:p>
            <w:pPr>
              <w:keepNext/>
              <w:jc w:val="center"/>
            </w:pPr>
            <w:r/>
            <w:r>
              <w:rPr>
                <w:rFonts w:ascii="Times New Roman" w:hAnsi="Times New Roman"/>
                <w:b w:val="0"/>
                <w:sz w:val="16"/>
              </w:rPr>
              <w:t>93.8</w:t>
            </w:r>
          </w:p>
        </w:tc>
      </w:tr>
      <w:tr>
        <w:trPr>
          <w:cantSplit/>
        </w:trPr>
        <w:tc>
          <w:tcPr>
            <w:tcW w:type="dxa" w:w="2074"/>
            <w:tcBorders>
              <w:bottom w:val="single" w:sz="12" w:color="000000"/>
            </w:tcBorders>
          </w:tcPr>
          <w:p>
            <w:pPr>
              <w:jc w:val="left"/>
            </w:pPr>
            <w:r/>
            <w:r>
              <w:rPr>
                <w:rFonts w:ascii="Times New Roman" w:hAnsi="Times New Roman"/>
                <w:b w:val="0"/>
                <w:sz w:val="16"/>
              </w:rPr>
              <w:t>All</w:t>
            </w:r>
          </w:p>
        </w:tc>
        <w:tc>
          <w:tcPr>
            <w:tcW w:type="dxa" w:w="2074"/>
            <w:tcBorders>
              <w:bottom w:val="single" w:sz="12" w:color="000000"/>
            </w:tcBorders>
          </w:tcPr>
          <w:p>
            <w:pPr>
              <w:jc w:val="center"/>
            </w:pPr>
            <w:r/>
            <w:r>
              <w:rPr>
                <w:rFonts w:ascii="Times New Roman" w:hAnsi="Times New Roman"/>
                <w:b w:val="0"/>
                <w:sz w:val="16"/>
              </w:rPr>
              <w:t>238</w:t>
            </w:r>
          </w:p>
        </w:tc>
        <w:tc>
          <w:tcPr>
            <w:tcW w:type="dxa" w:w="2074"/>
            <w:tcBorders>
              <w:bottom w:val="single" w:sz="12" w:color="000000"/>
            </w:tcBorders>
          </w:tcPr>
          <w:p>
            <w:pPr>
              <w:jc w:val="center"/>
            </w:pPr>
            <w:r/>
            <w:r>
              <w:rPr>
                <w:rFonts w:ascii="Times New Roman" w:hAnsi="Times New Roman"/>
                <w:b w:val="0"/>
                <w:sz w:val="16"/>
              </w:rPr>
              <w:t>93.3</w:t>
            </w:r>
          </w:p>
        </w:tc>
        <w:tc>
          <w:tcPr>
            <w:tcW w:type="dxa" w:w="2074"/>
            <w:tcBorders>
              <w:bottom w:val="single" w:sz="12" w:color="000000"/>
            </w:tcBorders>
          </w:tcPr>
          <w:p>
            <w:pPr>
              <w:jc w:val="center"/>
            </w:pPr>
            <w:r/>
            <w:r>
              <w:rPr>
                <w:rFonts w:ascii="Times New Roman" w:hAnsi="Times New Roman"/>
                <w:b w:val="0"/>
                <w:sz w:val="16"/>
              </w:rPr>
              <w:t>22.3</w:t>
            </w:r>
          </w:p>
        </w:tc>
        <w:tc>
          <w:tcPr>
            <w:tcW w:type="dxa" w:w="2074"/>
            <w:tcBorders>
              <w:bottom w:val="single" w:sz="12" w:color="000000"/>
            </w:tcBorders>
          </w:tcPr>
          <w:p>
            <w:pPr>
              <w:jc w:val="center"/>
            </w:pPr>
            <w:r/>
            <w:r>
              <w:rPr>
                <w:rFonts w:ascii="Times New Roman" w:hAnsi="Times New Roman"/>
                <w:b w:val="0"/>
                <w:sz w:val="16"/>
              </w:rPr>
              <w:t>93.7</w:t>
            </w:r>
          </w:p>
        </w:tc>
      </w:tr>
    </w:tbl>
    <w:p>
      <w:pPr>
        <w:spacing w:after="40"/>
      </w:pPr>
    </w:p>
    <w:p>
      <w:pPr>
        <w:pStyle w:val="Heading2"/>
      </w:pPr>
      <w:r>
        <w:t>E. Confirmation precision and the cascade</w:t>
      </w:r>
    </w:p>
    <w:p>
      <w:pPr>
        <w:spacing w:after="0"/>
        <w:ind w:firstLine="204"/>
        <w:jc w:val="both"/>
      </w:pPr>
      <w:r>
        <w:t>Strict-tolerance chain confirmation reaches a 2.1% fragment-level false-positive rate at 83.9% recall (ρ=0.5), and 7.2% at 98.3% recall (ρ=0.4); Table VII and Fig. 8 map the full recall/FP trade-off over three anchor-tolerance regimes and four contiguity thresholds. Table VIII places the full cascade against its single-layer ablations. The cascade's remaining bottleneck is candidate retention: verbatim top-C keeps 93.1% (C=20) and 96.6% (C=50) of donors; the union of tolerant and verbatim top-C feeds—adopted in the final system—lifts retention above 99%.</w:t>
      </w:r>
    </w:p>
    <w:p>
      <w:pPr>
        <w:pStyle w:val="TableTitle"/>
        <w:keepNext/>
      </w:pPr>
      <w:r>
        <w:t>TABLE VII.</w:t>
      </w:r>
    </w:p>
    <w:p>
      <w:pPr>
        <w:pStyle w:val="TableTitle"/>
        <w:keepNext/>
      </w:pPr>
      <w:r>
        <w:t>Confirmation recall / fragment-level FP (%) by anchor-tolerance regime and contiguity threshold ρ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sz w:val="16"/>
              </w:rPr>
              <w:t>ρ = 0.3</w:t>
            </w:r>
          </w:p>
        </w:tc>
        <w:tc>
          <w:tcPr>
            <w:tcW w:type="dxa" w:w="2074"/>
            <w:tcBorders>
              <w:top w:val="single" w:sz="12" w:color="000000"/>
              <w:bottom w:val="single" w:sz="6" w:color="000000"/>
            </w:tcBorders>
          </w:tcPr>
          <w:p>
            <w:pPr>
              <w:keepNext/>
              <w:jc w:val="center"/>
            </w:pPr>
            <w:r/>
            <w:r>
              <w:rPr>
                <w:rFonts w:ascii="Times New Roman" w:hAnsi="Times New Roman"/>
                <w:b/>
                <w:sz w:val="16"/>
              </w:rPr>
              <w:t>ρ = 0.4</w:t>
            </w:r>
          </w:p>
        </w:tc>
        <w:tc>
          <w:tcPr>
            <w:tcW w:type="dxa" w:w="2074"/>
            <w:tcBorders>
              <w:top w:val="single" w:sz="12" w:color="000000"/>
              <w:bottom w:val="single" w:sz="6" w:color="000000"/>
            </w:tcBorders>
          </w:tcPr>
          <w:p>
            <w:pPr>
              <w:keepNext/>
              <w:jc w:val="center"/>
            </w:pPr>
            <w:r/>
            <w:r>
              <w:rPr>
                <w:rFonts w:ascii="Times New Roman" w:hAnsi="Times New Roman"/>
                <w:b/>
                <w:sz w:val="16"/>
              </w:rPr>
              <w:t>ρ = 0.5</w:t>
            </w:r>
          </w:p>
        </w:tc>
        <w:tc>
          <w:tcPr>
            <w:tcW w:type="dxa" w:w="2074"/>
            <w:tcBorders>
              <w:top w:val="single" w:sz="12" w:color="000000"/>
              <w:bottom w:val="single" w:sz="6" w:color="000000"/>
            </w:tcBorders>
          </w:tcPr>
          <w:p>
            <w:pPr>
              <w:keepNext/>
              <w:jc w:val="center"/>
            </w:pPr>
            <w:r/>
            <w:r>
              <w:rPr>
                <w:rFonts w:ascii="Times New Roman" w:hAnsi="Times New Roman"/>
                <w:b/>
                <w:sz w:val="16"/>
              </w:rPr>
              <w:t>ρ = 0.6</w:t>
            </w:r>
          </w:p>
        </w:tc>
      </w:tr>
      <w:tr>
        <w:trPr>
          <w:cantSplit/>
        </w:trPr>
        <w:tc>
          <w:tcPr>
            <w:tcW w:type="dxa" w:w="2074"/>
          </w:tcPr>
          <w:p>
            <w:pPr>
              <w:keepNext/>
              <w:jc w:val="left"/>
            </w:pPr>
            <w:r/>
            <w:r>
              <w:rPr>
                <w:rFonts w:ascii="Times New Roman" w:hAnsi="Times New Roman"/>
                <w:b w:val="0"/>
                <w:sz w:val="16"/>
              </w:rPr>
              <w:t>Strict anchors</w:t>
            </w:r>
          </w:p>
        </w:tc>
        <w:tc>
          <w:tcPr>
            <w:tcW w:type="dxa" w:w="2074"/>
          </w:tcPr>
          <w:p>
            <w:pPr>
              <w:keepNext/>
              <w:jc w:val="center"/>
            </w:pPr>
            <w:r/>
            <w:r>
              <w:rPr>
                <w:rFonts w:ascii="Times New Roman" w:hAnsi="Times New Roman"/>
                <w:b w:val="0"/>
                <w:sz w:val="16"/>
              </w:rPr>
              <w:t>100.0 / 13.6</w:t>
            </w:r>
          </w:p>
        </w:tc>
        <w:tc>
          <w:tcPr>
            <w:tcW w:type="dxa" w:w="2074"/>
          </w:tcPr>
          <w:p>
            <w:pPr>
              <w:keepNext/>
              <w:jc w:val="center"/>
            </w:pPr>
            <w:r/>
            <w:r>
              <w:rPr>
                <w:rFonts w:ascii="Times New Roman" w:hAnsi="Times New Roman"/>
                <w:b w:val="0"/>
                <w:sz w:val="16"/>
              </w:rPr>
              <w:t>98.3 / 7.2</w:t>
            </w:r>
          </w:p>
        </w:tc>
        <w:tc>
          <w:tcPr>
            <w:tcW w:type="dxa" w:w="2074"/>
          </w:tcPr>
          <w:p>
            <w:pPr>
              <w:keepNext/>
              <w:jc w:val="center"/>
            </w:pPr>
            <w:r/>
            <w:r>
              <w:rPr>
                <w:rFonts w:ascii="Times New Roman" w:hAnsi="Times New Roman"/>
                <w:b w:val="0"/>
                <w:sz w:val="16"/>
              </w:rPr>
              <w:t>83.9 / 2.1</w:t>
            </w:r>
          </w:p>
        </w:tc>
        <w:tc>
          <w:tcPr>
            <w:tcW w:type="dxa" w:w="2074"/>
          </w:tcPr>
          <w:p>
            <w:pPr>
              <w:keepNext/>
              <w:jc w:val="center"/>
            </w:pPr>
            <w:r/>
            <w:r>
              <w:rPr>
                <w:rFonts w:ascii="Times New Roman" w:hAnsi="Times New Roman"/>
                <w:b w:val="0"/>
                <w:sz w:val="16"/>
              </w:rPr>
              <w:t>43.2 / 0.4</w:t>
            </w:r>
          </w:p>
        </w:tc>
      </w:tr>
      <w:tr>
        <w:trPr>
          <w:cantSplit/>
        </w:trPr>
        <w:tc>
          <w:tcPr>
            <w:tcW w:type="dxa" w:w="2074"/>
          </w:tcPr>
          <w:p>
            <w:pPr>
              <w:keepNext/>
              <w:jc w:val="left"/>
            </w:pPr>
            <w:r/>
            <w:r>
              <w:rPr>
                <w:rFonts w:ascii="Times New Roman" w:hAnsi="Times New Roman"/>
                <w:b w:val="0"/>
                <w:sz w:val="16"/>
              </w:rPr>
              <w:t>Mid tolerance</w:t>
            </w:r>
          </w:p>
        </w:tc>
        <w:tc>
          <w:tcPr>
            <w:tcW w:type="dxa" w:w="2074"/>
          </w:tcPr>
          <w:p>
            <w:pPr>
              <w:keepNext/>
              <w:jc w:val="center"/>
            </w:pPr>
            <w:r/>
            <w:r>
              <w:rPr>
                <w:rFonts w:ascii="Times New Roman" w:hAnsi="Times New Roman"/>
                <w:b w:val="0"/>
                <w:sz w:val="16"/>
              </w:rPr>
              <w:t>100.0 / 88.6</w:t>
            </w:r>
          </w:p>
        </w:tc>
        <w:tc>
          <w:tcPr>
            <w:tcW w:type="dxa" w:w="2074"/>
          </w:tcPr>
          <w:p>
            <w:pPr>
              <w:keepNext/>
              <w:jc w:val="center"/>
            </w:pPr>
            <w:r/>
            <w:r>
              <w:rPr>
                <w:rFonts w:ascii="Times New Roman" w:hAnsi="Times New Roman"/>
                <w:b w:val="0"/>
                <w:sz w:val="16"/>
              </w:rPr>
              <w:t>100.0 / 66.5</w:t>
            </w:r>
          </w:p>
        </w:tc>
        <w:tc>
          <w:tcPr>
            <w:tcW w:type="dxa" w:w="2074"/>
          </w:tcPr>
          <w:p>
            <w:pPr>
              <w:keepNext/>
              <w:jc w:val="center"/>
            </w:pPr>
            <w:r/>
            <w:r>
              <w:rPr>
                <w:rFonts w:ascii="Times New Roman" w:hAnsi="Times New Roman"/>
                <w:b w:val="0"/>
                <w:sz w:val="16"/>
              </w:rPr>
              <w:t>99.6 / 50.4</w:t>
            </w:r>
          </w:p>
        </w:tc>
        <w:tc>
          <w:tcPr>
            <w:tcW w:type="dxa" w:w="2074"/>
          </w:tcPr>
          <w:p>
            <w:pPr>
              <w:keepNext/>
              <w:jc w:val="center"/>
            </w:pPr>
            <w:r/>
            <w:r>
              <w:rPr>
                <w:rFonts w:ascii="Times New Roman" w:hAnsi="Times New Roman"/>
                <w:b w:val="0"/>
                <w:sz w:val="16"/>
              </w:rPr>
              <w:t>97.5 / 36.0</w:t>
            </w:r>
          </w:p>
        </w:tc>
      </w:tr>
      <w:tr>
        <w:trPr>
          <w:cantSplit/>
        </w:trPr>
        <w:tc>
          <w:tcPr>
            <w:tcW w:type="dxa" w:w="2074"/>
            <w:tcBorders>
              <w:bottom w:val="single" w:sz="12" w:color="000000"/>
            </w:tcBorders>
          </w:tcPr>
          <w:p>
            <w:pPr>
              <w:jc w:val="left"/>
            </w:pPr>
            <w:r/>
            <w:r>
              <w:rPr>
                <w:rFonts w:ascii="Times New Roman" w:hAnsi="Times New Roman"/>
                <w:b w:val="0"/>
                <w:sz w:val="16"/>
              </w:rPr>
              <w:t>Loose tolerance</w:t>
            </w:r>
          </w:p>
        </w:tc>
        <w:tc>
          <w:tcPr>
            <w:tcW w:type="dxa" w:w="2074"/>
            <w:tcBorders>
              <w:bottom w:val="single" w:sz="12" w:color="000000"/>
            </w:tcBorders>
          </w:tcPr>
          <w:p>
            <w:pPr>
              <w:jc w:val="center"/>
            </w:pPr>
            <w:r/>
            <w:r>
              <w:rPr>
                <w:rFonts w:ascii="Times New Roman" w:hAnsi="Times New Roman"/>
                <w:b w:val="0"/>
                <w:sz w:val="16"/>
              </w:rPr>
              <w:t>100.0 / 97.5</w:t>
            </w:r>
          </w:p>
        </w:tc>
        <w:tc>
          <w:tcPr>
            <w:tcW w:type="dxa" w:w="2074"/>
            <w:tcBorders>
              <w:bottom w:val="single" w:sz="12" w:color="000000"/>
            </w:tcBorders>
          </w:tcPr>
          <w:p>
            <w:pPr>
              <w:jc w:val="center"/>
            </w:pPr>
            <w:r/>
            <w:r>
              <w:rPr>
                <w:rFonts w:ascii="Times New Roman" w:hAnsi="Times New Roman"/>
                <w:b w:val="0"/>
                <w:sz w:val="16"/>
              </w:rPr>
              <w:t>100.0 / 80.5</w:t>
            </w:r>
          </w:p>
        </w:tc>
        <w:tc>
          <w:tcPr>
            <w:tcW w:type="dxa" w:w="2074"/>
            <w:tcBorders>
              <w:bottom w:val="single" w:sz="12" w:color="000000"/>
            </w:tcBorders>
          </w:tcPr>
          <w:p>
            <w:pPr>
              <w:jc w:val="center"/>
            </w:pPr>
            <w:r/>
            <w:r>
              <w:rPr>
                <w:rFonts w:ascii="Times New Roman" w:hAnsi="Times New Roman"/>
                <w:b w:val="0"/>
                <w:sz w:val="16"/>
              </w:rPr>
              <w:t>100.0 / 63.1</w:t>
            </w:r>
          </w:p>
        </w:tc>
        <w:tc>
          <w:tcPr>
            <w:tcW w:type="dxa" w:w="2074"/>
            <w:tcBorders>
              <w:bottom w:val="single" w:sz="12" w:color="000000"/>
            </w:tcBorders>
          </w:tcPr>
          <w:p>
            <w:pPr>
              <w:jc w:val="center"/>
            </w:pPr>
            <w:r/>
            <w:r>
              <w:rPr>
                <w:rFonts w:ascii="Times New Roman" w:hAnsi="Times New Roman"/>
                <w:b w:val="0"/>
                <w:sz w:val="16"/>
              </w:rPr>
              <w:t>98.3 / 49.2</w:t>
            </w:r>
          </w:p>
        </w:tc>
      </w:tr>
    </w:tbl>
    <w:p>
      <w:pPr>
        <w:spacing w:after="40"/>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9"/>
        </w:rPr>
        <w:t>Fig. 8. Confirmation operating curves: donor recall versus fragment-level FP over ρ, labeled by threshold, for three anchor-tolerance regimes.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608000" cy="1726350"/>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4608000" cy="1726350"/>
                  </a:xfrm>
                  <a:prstGeom prst="rect">
                    <a:avLst/>
                  </a:prstGeom>
                </pic:spPr>
              </pic:pic>
            </a:graphicData>
          </a:graphic>
        </wp:inline>
      </w:drawing>
    </w:p>
    <w:p>
      <w:pPr>
        <w:pStyle w:val="FigureCaption"/>
      </w:pPr>
      <w:r>
        <w:rPr>
          <w:sz w:val="19"/>
        </w:rPr>
        <w:t>Fig. 9. Operating points and donor retention on hard negatives. (a) Operating points of the three systems; (b) donor retention in the top-C candidate feed.</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b w:val="0"/>
                <w:sz w:val="16"/>
              </w:rPr>
              <w:t>L1 tolerant screen</w:t>
            </w:r>
          </w:p>
        </w:tc>
        <w:tc>
          <w:tcPr>
            <w:tcW w:type="dxa" w:w="2592"/>
          </w:tcPr>
          <w:p>
            <w:pPr>
              <w:keepNext/>
              <w:jc w:val="center"/>
            </w:pPr>
            <w:r/>
            <w:r>
              <w:rPr>
                <w:rFonts w:ascii="Times New Roman" w:hAnsi="Times New Roman"/>
                <w:b w:val="0"/>
                <w:sz w:val="16"/>
              </w:rPr>
              <w:t>100%</w:t>
            </w:r>
          </w:p>
        </w:tc>
        <w:tc>
          <w:tcPr>
            <w:tcW w:type="dxa" w:w="2592"/>
          </w:tcPr>
          <w:p>
            <w:pPr>
              <w:keepNext/>
              <w:jc w:val="center"/>
            </w:pPr>
            <w:r/>
            <w:r>
              <w:rPr>
                <w:rFonts w:ascii="Times New Roman" w:hAnsi="Times New Roman"/>
                <w:b w:val="0"/>
                <w:sz w:val="16"/>
              </w:rPr>
              <w:t>92.7% (τ = ⌊0.5·|S(q)|⌋); no threshold reaches &lt;50%</w:t>
            </w:r>
          </w:p>
        </w:tc>
        <w:tc>
          <w:tcPr>
            <w:tcW w:type="dxa" w:w="2592"/>
          </w:tcPr>
          <w:p>
            <w:pPr>
              <w:keepNext/>
              <w:jc w:val="center"/>
            </w:pPr>
            <w:r/>
            <w:r>
              <w:rPr>
                <w:rFonts w:ascii="Times New Roman" w:hAnsi="Times New Roman"/>
                <w:b w:val="0"/>
                <w:sz w:val="16"/>
              </w:rPr>
              <w:t>provable recall + anytime bound</w:t>
            </w:r>
          </w:p>
        </w:tc>
      </w:tr>
      <w:tr>
        <w:trPr>
          <w:cantSplit/>
        </w:trPr>
        <w:tc>
          <w:tcPr>
            <w:tcW w:type="dxa" w:w="2592"/>
          </w:tcPr>
          <w:p>
            <w:pPr>
              <w:keepNext/>
              <w:jc w:val="left"/>
            </w:pPr>
            <w:r/>
            <w:r>
              <w:rPr>
                <w:rFonts w:ascii="Times New Roman" w:hAnsi="Times New Roman"/>
                <w:b w:val="0"/>
                <w:sz w:val="16"/>
              </w:rPr>
              <w:t>L2 verbatim rank (top-1)</w:t>
            </w:r>
          </w:p>
        </w:tc>
        <w:tc>
          <w:tcPr>
            <w:tcW w:type="dxa" w:w="2592"/>
          </w:tcPr>
          <w:p>
            <w:pPr>
              <w:keepNext/>
              <w:jc w:val="center"/>
            </w:pPr>
            <w:r/>
            <w:r>
              <w:rPr>
                <w:rFonts w:ascii="Times New Roman" w:hAnsi="Times New Roman"/>
                <w:b w:val="0"/>
                <w:sz w:val="16"/>
              </w:rPr>
              <w:t>58.8% top-1 / 93.7% top-20</w:t>
            </w:r>
          </w:p>
        </w:tc>
        <w:tc>
          <w:tcPr>
            <w:tcW w:type="dxa" w:w="2592"/>
          </w:tcPr>
          <w:p>
            <w:pPr>
              <w:keepNext/>
              <w:jc w:val="center"/>
            </w:pPr>
            <w:r/>
            <w:r>
              <w:rPr>
                <w:rFonts w:ascii="Times New Roman" w:hAnsi="Times New Roman"/>
                <w:b w:val="0"/>
                <w:sz w:val="16"/>
              </w:rPr>
              <w:t>22.3%</w:t>
            </w:r>
          </w:p>
        </w:tc>
        <w:tc>
          <w:tcPr>
            <w:tcW w:type="dxa" w:w="2592"/>
          </w:tcPr>
          <w:p>
            <w:pPr>
              <w:keepNext/>
              <w:jc w:val="center"/>
            </w:pPr>
            <w:r/>
            <w:r>
              <w:rPr>
                <w:rFonts w:ascii="Times New Roman" w:hAnsi="Times New Roman"/>
                <w:b w:val="0"/>
                <w:sz w:val="16"/>
              </w:rPr>
              <w:t>no guarantee; per-corpus tuning</w:t>
            </w:r>
          </w:p>
        </w:tc>
      </w:tr>
      <w:tr>
        <w:trPr>
          <w:cantSplit/>
        </w:trPr>
        <w:tc>
          <w:tcPr>
            <w:tcW w:type="dxa" w:w="2592"/>
          </w:tcPr>
          <w:p>
            <w:pPr>
              <w:keepNext/>
              <w:jc w:val="left"/>
            </w:pPr>
            <w:r/>
            <w:r>
              <w:rPr>
                <w:rFonts w:ascii="Times New Roman" w:hAnsi="Times New Roman"/>
                <w:b w:val="0"/>
                <w:sz w:val="16"/>
              </w:rPr>
              <w:t>Screen + confirm (ρ=0.5)</w:t>
            </w:r>
          </w:p>
        </w:tc>
        <w:tc>
          <w:tcPr>
            <w:tcW w:type="dxa" w:w="2592"/>
          </w:tcPr>
          <w:p>
            <w:pPr>
              <w:keepNext/>
              <w:jc w:val="center"/>
            </w:pPr>
            <w:r/>
            <w:r>
              <w:rPr>
                <w:rFonts w:ascii="Times New Roman" w:hAnsi="Times New Roman"/>
                <w:b w:val="0"/>
                <w:sz w:val="16"/>
              </w:rPr>
              <w:t>80.7%</w:t>
            </w:r>
          </w:p>
        </w:tc>
        <w:tc>
          <w:tcPr>
            <w:tcW w:type="dxa" w:w="2592"/>
          </w:tcPr>
          <w:p>
            <w:pPr>
              <w:keepNext/>
              <w:jc w:val="center"/>
            </w:pPr>
            <w:r/>
            <w:r>
              <w:rPr>
                <w:rFonts w:ascii="Times New Roman" w:hAnsi="Times New Roman"/>
                <w:b w:val="0"/>
                <w:sz w:val="16"/>
              </w:rPr>
              <w:t>2.6%</w:t>
            </w:r>
          </w:p>
        </w:tc>
        <w:tc>
          <w:tcPr>
            <w:tcW w:type="dxa" w:w="2592"/>
          </w:tcPr>
          <w:p>
            <w:pPr>
              <w:keepNext/>
              <w:jc w:val="center"/>
            </w:pPr>
            <w:r/>
            <w:r>
              <w:rPr>
                <w:rFonts w:ascii="Times New Roman" w:hAnsi="Times New Roman"/>
                <w:b w:val="0"/>
                <w:sz w:val="16"/>
              </w:rPr>
              <w:t>decision-grade</w:t>
            </w:r>
          </w:p>
        </w:tc>
      </w:tr>
      <w:tr>
        <w:trPr>
          <w:cantSplit/>
        </w:trPr>
        <w:tc>
          <w:tcPr>
            <w:tcW w:type="dxa" w:w="2592"/>
            <w:tcBorders>
              <w:bottom w:val="single" w:sz="12" w:color="000000"/>
            </w:tcBorders>
          </w:tcPr>
          <w:p>
            <w:pPr>
              <w:jc w:val="left"/>
            </w:pPr>
            <w:r/>
            <w:r>
              <w:rPr>
                <w:rFonts w:ascii="Times New Roman" w:hAnsi="Times New Roman"/>
                <w:b w:val="0"/>
                <w:sz w:val="16"/>
              </w:rPr>
              <w:t>Screen + confirm (ρ=0.4)</w:t>
            </w:r>
          </w:p>
        </w:tc>
        <w:tc>
          <w:tcPr>
            <w:tcW w:type="dxa" w:w="2592"/>
            <w:tcBorders>
              <w:bottom w:val="single" w:sz="12" w:color="000000"/>
            </w:tcBorders>
          </w:tcPr>
          <w:p>
            <w:pPr>
              <w:jc w:val="center"/>
            </w:pPr>
            <w:r/>
            <w:r>
              <w:rPr>
                <w:rFonts w:ascii="Times New Roman" w:hAnsi="Times New Roman"/>
                <w:b w:val="0"/>
                <w:sz w:val="16"/>
              </w:rPr>
              <w:t>95.7%</w:t>
            </w:r>
          </w:p>
        </w:tc>
        <w:tc>
          <w:tcPr>
            <w:tcW w:type="dxa" w:w="2592"/>
            <w:tcBorders>
              <w:bottom w:val="single" w:sz="12" w:color="000000"/>
            </w:tcBorders>
          </w:tcPr>
          <w:p>
            <w:pPr>
              <w:jc w:val="center"/>
            </w:pPr>
            <w:r/>
            <w:r>
              <w:rPr>
                <w:rFonts w:ascii="Times New Roman" w:hAnsi="Times New Roman"/>
                <w:b w:val="0"/>
                <w:sz w:val="16"/>
              </w:rPr>
              <w:t>8.2%</w:t>
            </w:r>
          </w:p>
        </w:tc>
        <w:tc>
          <w:tcPr>
            <w:tcW w:type="dxa" w:w="2592"/>
            <w:tcBorders>
              <w:bottom w:val="single" w:sz="12" w:color="000000"/>
            </w:tcBorders>
          </w:tcPr>
          <w:p>
            <w:pPr>
              <w:jc w:val="center"/>
            </w:pPr>
            <w:r/>
            <w:r>
              <w:rPr>
                <w:rFonts w:ascii="Times New Roman" w:hAnsi="Times New Roman"/>
                <w:b w:val="0"/>
                <w:sz w:val="16"/>
              </w:rPr>
              <w:t>high-recall operating point</w:t>
            </w:r>
          </w:p>
        </w:tc>
      </w:tr>
    </w:tbl>
    <w:p>
      <w:pPr>
        <w:spacing w:after="40"/>
      </w:pPr>
    </w:p>
    <w:p>
      <w:pPr>
        <w:pStyle w:val="Heading2"/>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Fig. 10 plots the three ablation families and Table IX tabulates them.</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774972"/>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6552000" cy="1774972"/>
                  </a:xfrm>
                  <a:prstGeom prst="rect">
                    <a:avLst/>
                  </a:prstGeom>
                </pic:spPr>
              </pic:pic>
            </a:graphicData>
          </a:graphic>
        </wp:inline>
      </w:drawing>
    </w:p>
    <w:p>
      <w:pPr>
        <w:pStyle w:val="FigureCaption"/>
      </w:pPr>
      <w:r>
        <w:rPr>
          <w:sz w:val="19"/>
        </w:rPr>
        <w:t>Fig. 10. Component ablations over the confirmation and screening stages. (a) evidence span length; (b) tolerance vector (bars: false candidates, log scale; dashed: recall, right axis); (c) quantization grid granularity.</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0.75×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21,467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1.00×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1.25×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15,952</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1.50×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12,061</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(0, 0, 0)</w:t>
            </w:r>
          </w:p>
        </w:tc>
        <w:tc>
          <w:tcPr>
            <w:tcW w:type="dxa" w:w="2074"/>
          </w:tcPr>
          <w:p>
            <w:pPr>
              <w:keepNext/>
              <w:jc w:val="center"/>
            </w:pPr>
            <w:r/>
            <w:r>
              <w:rPr>
                <w:rFonts w:ascii="Times New Roman" w:hAnsi="Times New Roman"/>
                <w:b w:val="0"/>
                <w:sz w:val="16"/>
              </w:rPr>
              <w:t>23/29</w:t>
            </w:r>
          </w:p>
        </w:tc>
        <w:tc>
          <w:tcPr>
            <w:tcW w:type="dxa" w:w="2074"/>
          </w:tcPr>
          <w:p>
            <w:pPr>
              <w:keepNext/>
              <w:jc w:val="center"/>
            </w:pPr>
            <w:r/>
            <w:r>
              <w:rPr>
                <w:rFonts w:ascii="Times New Roman" w:hAnsi="Times New Roman"/>
                <w:b w:val="0"/>
                <w:sz w:val="16"/>
              </w:rPr>
              <w:t>338</w:t>
            </w:r>
          </w:p>
        </w:tc>
        <w:tc>
          <w:tcPr>
            <w:tcW w:type="dxa" w:w="2074"/>
          </w:tcPr>
          <w:p>
            <w:pPr>
              <w:keepNext/>
              <w:jc w:val="center"/>
            </w:pPr>
            <w:r/>
            <w:r>
              <w:rPr>
                <w:rFonts w:ascii="Times New Roman" w:hAnsi="Times New Roman"/>
                <w:b w:val="0"/>
                <w:sz w:val="16"/>
              </w:rPr>
              <w:t>1.0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(1, 0, 0)</w:t>
            </w:r>
          </w:p>
        </w:tc>
        <w:tc>
          <w:tcPr>
            <w:tcW w:type="dxa" w:w="2074"/>
          </w:tcPr>
          <w:p>
            <w:pPr>
              <w:keepNext/>
              <w:jc w:val="center"/>
            </w:pPr>
            <w:r/>
            <w:r>
              <w:rPr>
                <w:rFonts w:ascii="Times New Roman" w:hAnsi="Times New Roman"/>
                <w:b w:val="0"/>
                <w:sz w:val="16"/>
              </w:rPr>
              <w:t>25/29</w:t>
            </w:r>
          </w:p>
        </w:tc>
        <w:tc>
          <w:tcPr>
            <w:tcW w:type="dxa" w:w="2074"/>
          </w:tcPr>
          <w:p>
            <w:pPr>
              <w:keepNext/>
              <w:jc w:val="center"/>
            </w:pPr>
            <w:r/>
            <w:r>
              <w:rPr>
                <w:rFonts w:ascii="Times New Roman" w:hAnsi="Times New Roman"/>
                <w:b w:val="0"/>
                <w:sz w:val="16"/>
              </w:rPr>
              <w:t>2,099</w:t>
            </w:r>
          </w:p>
        </w:tc>
        <w:tc>
          <w:tcPr>
            <w:tcW w:type="dxa" w:w="2074"/>
          </w:tcPr>
          <w:p>
            <w:pPr>
              <w:keepNext/>
              <w:jc w:val="center"/>
            </w:pPr>
            <w:r/>
            <w:r>
              <w:rPr>
                <w:rFonts w:ascii="Times New Roman" w:hAnsi="Times New Roman"/>
                <w:b w:val="0"/>
                <w:sz w:val="16"/>
              </w:rPr>
              <w:t>2.0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0, 0)</w:t>
            </w:r>
          </w:p>
        </w:tc>
        <w:tc>
          <w:tcPr>
            <w:tcW w:type="dxa" w:w="2074"/>
          </w:tcPr>
          <w:p>
            <w:pPr>
              <w:keepNext/>
              <w:jc w:val="center"/>
            </w:pPr>
            <w:r/>
            <w:r>
              <w:rPr>
                <w:rFonts w:ascii="Times New Roman" w:hAnsi="Times New Roman"/>
                <w:b w:val="0"/>
                <w:sz w:val="16"/>
              </w:rPr>
              <w:t>26/29</w:t>
            </w:r>
          </w:p>
        </w:tc>
        <w:tc>
          <w:tcPr>
            <w:tcW w:type="dxa" w:w="2074"/>
          </w:tcPr>
          <w:p>
            <w:pPr>
              <w:keepNext/>
              <w:jc w:val="center"/>
            </w:pPr>
            <w:r/>
            <w:r>
              <w:rPr>
                <w:rFonts w:ascii="Times New Roman" w:hAnsi="Times New Roman"/>
                <w:b w:val="0"/>
                <w:sz w:val="16"/>
              </w:rPr>
              <w:t>3,906</w:t>
            </w:r>
          </w:p>
        </w:tc>
        <w:tc>
          <w:tcPr>
            <w:tcW w:type="dxa" w:w="2074"/>
          </w:tcPr>
          <w:p>
            <w:pPr>
              <w:keepNext/>
              <w:jc w:val="center"/>
            </w:pPr>
            <w:r/>
            <w:r>
              <w:rPr>
                <w:rFonts w:ascii="Times New Roman" w:hAnsi="Times New Roman"/>
                <w:b w:val="0"/>
                <w:sz w:val="16"/>
              </w:rPr>
              <w:t>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12,110</w:t>
            </w:r>
          </w:p>
        </w:tc>
        <w:tc>
          <w:tcPr>
            <w:tcW w:type="dxa" w:w="2074"/>
          </w:tcPr>
          <w:p>
            <w:pPr>
              <w:keepNext/>
              <w:jc w:val="center"/>
            </w:pPr>
            <w:r/>
            <w:r>
              <w:rPr>
                <w:rFonts w:ascii="Times New Roman" w:hAnsi="Times New Roman"/>
                <w:b w:val="0"/>
                <w:sz w:val="16"/>
              </w:rPr>
              <w:t>7.5</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(3,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19,815</w:t>
            </w:r>
          </w:p>
        </w:tc>
        <w:tc>
          <w:tcPr>
            <w:tcW w:type="dxa" w:w="2074"/>
          </w:tcPr>
          <w:p>
            <w:pPr>
              <w:keepNext/>
              <w:jc w:val="center"/>
            </w:pPr>
            <w:r/>
            <w:r>
              <w:rPr>
                <w:rFonts w:ascii="Times New Roman" w:hAnsi="Times New Roman"/>
                <w:b w:val="0"/>
                <w:sz w:val="16"/>
              </w:rPr>
              <w:t>16.0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250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21,043</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125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25.6</w:t>
            </w:r>
          </w:p>
        </w:tc>
      </w:tr>
      <w:tr>
        <w:trPr>
          <w:cantSplit/>
        </w:trPr>
        <w:tc>
          <w:tcPr>
            <w:tcW w:type="dxa" w:w="2074"/>
            <w:tcBorders>
              <w:bottom w:val="single" w:sz="12" w:color="000000"/>
            </w:tcBorders>
          </w:tcPr>
          <w:p>
            <w:pPr>
              <w:jc w:val="left"/>
            </w:pPr>
            <w:r/>
            <w:r>
              <w:rPr>
                <w:rFonts w:ascii="Times New Roman" w:hAnsi="Times New Roman"/>
                <w:b w:val="0"/>
                <w:sz w:val="16"/>
              </w:rPr>
              <w:t>E5.7_grid</w:t>
            </w:r>
          </w:p>
        </w:tc>
        <w:tc>
          <w:tcPr>
            <w:tcW w:type="dxa" w:w="2074"/>
            <w:tcBorders>
              <w:bottom w:val="single" w:sz="12" w:color="000000"/>
            </w:tcBorders>
          </w:tcPr>
          <w:p>
            <w:pPr>
              <w:jc w:val="center"/>
            </w:pPr>
            <w:r/>
            <w:r>
              <w:rPr>
                <w:rFonts w:ascii="Times New Roman" w:hAnsi="Times New Roman"/>
                <w:b w:val="0"/>
                <w:sz w:val="16"/>
              </w:rPr>
              <w:t>62 ms grid</w:t>
            </w:r>
          </w:p>
        </w:tc>
        <w:tc>
          <w:tcPr>
            <w:tcW w:type="dxa" w:w="2074"/>
            <w:tcBorders>
              <w:bottom w:val="single" w:sz="12" w:color="000000"/>
            </w:tcBorders>
          </w:tcPr>
          <w:p>
            <w:pPr>
              <w:jc w:val="center"/>
            </w:pPr>
            <w:r/>
            <w:r>
              <w:rPr>
                <w:rFonts w:ascii="Times New Roman" w:hAnsi="Times New Roman"/>
                <w:b w:val="0"/>
                <w:sz w:val="16"/>
              </w:rPr>
              <w:t>29/29</w:t>
            </w:r>
          </w:p>
        </w:tc>
        <w:tc>
          <w:tcPr>
            <w:tcW w:type="dxa" w:w="2074"/>
            <w:tcBorders>
              <w:bottom w:val="single" w:sz="12" w:color="000000"/>
            </w:tcBorders>
          </w:tcPr>
          <w:p>
            <w:pPr>
              <w:jc w:val="center"/>
            </w:pPr>
            <w:r/>
            <w:r>
              <w:rPr>
                <w:rFonts w:ascii="Times New Roman" w:hAnsi="Times New Roman"/>
                <w:b w:val="0"/>
                <w:sz w:val="16"/>
              </w:rPr>
              <w:t>15,918</w:t>
            </w:r>
          </w:p>
        </w:tc>
        <w:tc>
          <w:tcPr>
            <w:tcW w:type="dxa" w:w="2074"/>
            <w:tcBorders>
              <w:bottom w:val="single" w:sz="12" w:color="000000"/>
            </w:tcBorders>
          </w:tcPr>
          <w:p>
            <w:pPr>
              <w:jc w:val="center"/>
            </w:pPr>
            <w:r/>
            <w:r>
              <w:rPr>
                <w:rFonts w:ascii="Times New Roman" w:hAnsi="Times New Roman"/>
                <w:b w:val="0"/>
                <w:sz w:val="16"/>
              </w:rPr>
              <w:t>12.0</w:t>
            </w:r>
          </w:p>
        </w:tc>
      </w:tr>
    </w:tbl>
    <w:p>
      <w:pPr>
        <w:spacing w:after="40"/>
      </w:pPr>
    </w:p>
    <w:p>
      <w:pPr>
        <w:pStyle w:val="Heading2"/>
      </w:pPr>
      <w:r>
        <w:t>G. Set-similarity retrieval: the MinHash-LSH baseline</w:t>
      </w:r>
    </w:p>
    <w:p>
      <w:pPr>
        <w:spacing w:after="0"/>
        <w:ind w:firstLine="204"/>
        <w:jc w:val="both"/>
      </w:pPr>
      <w:r>
        <w:t>Why does the LSH index return nothing? The reason is geometric, not engineering. A planted query of the recall matrix embeds a 40-item span in 300 noise items and probes a corpus of pieces of ~700 items each, so even a perfect set-Jaccard oracle scores the donor at only 0.04 / 0.10 / 0.20 (quartiles over the 337 cells; Fig. 11(a)); just 168 of 337 donors reach Jaccard 0.10. Jaccard measures relative overlap, so a contained copy is structurally invisible to it no matter how faithfully the 40 shared items are preserved. Tuning the band configuration moves the operating point along a recall-versus-candidate-volume trade-off, not past it (Table X): with the standard 16 x 8 bands at tau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tau = 0.05 recovers the donor in 95.8% of cells, at the price of returning a median of 518 of 1,000 candidates per query, of which a median of 9 pass tau = 0.05 by chance. Either way the screen that certifies 99.1% recall on the same 337 cells is unreachable: set-similarity semantics, accelerated or not, do not express containment.</w:t>
      </w:r>
    </w:p>
    <w:p>
      <w:pPr>
        <w:pStyle w:val="TableTitle"/>
        <w:keepNext/>
      </w:pPr>
      <w:r>
        <w:t>TABLE X.</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sz w:val="16"/>
              </w:rPr>
              <w:t>tau</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Median passing tau</w:t>
            </w:r>
          </w:p>
        </w:tc>
      </w:tr>
      <w:tr>
        <w:trPr>
          <w:cantSplit/>
        </w:trPr>
        <w:tc>
          <w:tcPr>
            <w:tcW w:type="dxa" w:w="1728"/>
          </w:tcPr>
          <w:p>
            <w:pPr>
              <w:keepNext/>
              <w:jc w:val="left"/>
            </w:pPr>
            <w:r/>
            <w:r>
              <w:rPr>
                <w:rFonts w:ascii="Times New Roman" w:hAnsi="Times New Roman"/>
                <w:b w:val="0"/>
                <w:sz w:val="16"/>
              </w:rPr>
              <w:t>16 bands x 8 rows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w:t>
            </w:r>
          </w:p>
        </w:tc>
        <w:tc>
          <w:tcPr>
            <w:tcW w:type="dxa" w:w="1728"/>
          </w:tcPr>
          <w:p>
            <w:pPr>
              <w:keepNext/>
              <w:jc w:val="center"/>
            </w:pPr>
            <w:r/>
            <w:r>
              <w:rPr>
                <w:rFonts w:ascii="Times New Roman" w:hAnsi="Times New Roman"/>
                <w:b w:val="0"/>
                <w:sz w:val="16"/>
              </w:rPr>
              <w:t>0</w:t>
            </w:r>
          </w:p>
        </w:tc>
      </w:tr>
      <w:tr>
        <w:trPr>
          <w:cantSplit/>
        </w:trPr>
        <w:tc>
          <w:tcPr>
            <w:tcW w:type="dxa" w:w="1728"/>
          </w:tcPr>
          <w:p>
            <w:pPr>
              <w:keepNext/>
              <w:jc w:val="left"/>
            </w:pPr>
            <w:r/>
            <w:r>
              <w:rPr>
                <w:rFonts w:ascii="Times New Roman" w:hAnsi="Times New Roman"/>
                <w:b w:val="0"/>
                <w:sz w:val="16"/>
              </w:rPr>
              <w:t>2 rows x 64 bands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51.9</w:t>
            </w:r>
          </w:p>
        </w:tc>
        <w:tc>
          <w:tcPr>
            <w:tcW w:type="dxa" w:w="1728"/>
          </w:tcPr>
          <w:p>
            <w:pPr>
              <w:keepNext/>
              <w:jc w:val="center"/>
            </w:pPr>
            <w:r/>
            <w:r>
              <w:rPr>
                <w:rFonts w:ascii="Times New Roman" w:hAnsi="Times New Roman"/>
                <w:b w:val="0"/>
                <w:sz w:val="16"/>
              </w:rPr>
              <w:t>43.6</w:t>
            </w:r>
          </w:p>
        </w:tc>
        <w:tc>
          <w:tcPr>
            <w:tcW w:type="dxa" w:w="1728"/>
          </w:tcPr>
          <w:p>
            <w:pPr>
              <w:keepNext/>
              <w:jc w:val="center"/>
            </w:pPr>
            <w:r/>
            <w:r>
              <w:rPr>
                <w:rFonts w:ascii="Times New Roman" w:hAnsi="Times New Roman"/>
                <w:b w:val="0"/>
                <w:sz w:val="16"/>
              </w:rPr>
              <w:t>11</w:t>
            </w:r>
          </w:p>
        </w:tc>
        <w:tc>
          <w:tcPr>
            <w:tcW w:type="dxa" w:w="1728"/>
          </w:tcPr>
          <w:p>
            <w:pPr>
              <w:keepNext/>
              <w:jc w:val="center"/>
            </w:pPr>
            <w:r/>
            <w:r>
              <w:rPr>
                <w:rFonts w:ascii="Times New Roman" w:hAnsi="Times New Roman"/>
                <w:b w:val="0"/>
                <w:sz w:val="16"/>
              </w:rPr>
              <w:t>0</w:t>
            </w:r>
          </w:p>
        </w:tc>
      </w:tr>
      <w:tr>
        <w:trPr>
          <w:cantSplit/>
        </w:trPr>
        <w:tc>
          <w:tcPr>
            <w:tcW w:type="dxa" w:w="1728"/>
            <w:tcBorders>
              <w:bottom w:val="single" w:sz="12" w:color="000000"/>
            </w:tcBorders>
          </w:tcPr>
          <w:p>
            <w:pPr>
              <w:jc w:val="left"/>
            </w:pPr>
            <w:r/>
            <w:r>
              <w:rPr>
                <w:rFonts w:ascii="Times New Roman" w:hAnsi="Times New Roman"/>
                <w:b w:val="0"/>
                <w:sz w:val="16"/>
              </w:rPr>
              <w:t>1 row x 128 bands</w:t>
            </w:r>
          </w:p>
        </w:tc>
        <w:tc>
          <w:tcPr>
            <w:tcW w:type="dxa" w:w="1728"/>
            <w:tcBorders>
              <w:bottom w:val="single" w:sz="12" w:color="000000"/>
            </w:tcBorders>
          </w:tcPr>
          <w:p>
            <w:pPr>
              <w:jc w:val="center"/>
            </w:pPr>
            <w:r/>
            <w:r>
              <w:rPr>
                <w:rFonts w:ascii="Times New Roman" w:hAnsi="Times New Roman"/>
                <w:b w:val="0"/>
                <w:sz w:val="16"/>
              </w:rPr>
              <w:t>0.05</w:t>
            </w:r>
          </w:p>
        </w:tc>
        <w:tc>
          <w:tcPr>
            <w:tcW w:type="dxa" w:w="1728"/>
            <w:tcBorders>
              <w:bottom w:val="single" w:sz="12" w:color="000000"/>
            </w:tcBorders>
          </w:tcPr>
          <w:p>
            <w:pPr>
              <w:jc w:val="center"/>
            </w:pPr>
            <w:r/>
            <w:r>
              <w:rPr>
                <w:rFonts w:ascii="Times New Roman" w:hAnsi="Times New Roman"/>
                <w:b w:val="0"/>
                <w:sz w:val="16"/>
              </w:rPr>
              <w:t>95.8</w:t>
            </w:r>
          </w:p>
        </w:tc>
        <w:tc>
          <w:tcPr>
            <w:tcW w:type="dxa" w:w="1728"/>
            <w:tcBorders>
              <w:bottom w:val="single" w:sz="12" w:color="000000"/>
            </w:tcBorders>
          </w:tcPr>
          <w:p>
            <w:pPr>
              <w:jc w:val="center"/>
            </w:pPr>
            <w:r/>
            <w:r>
              <w:rPr>
                <w:rFonts w:ascii="Times New Roman" w:hAnsi="Times New Roman"/>
                <w:b w:val="0"/>
                <w:sz w:val="16"/>
              </w:rPr>
              <w:t>72.1</w:t>
            </w:r>
          </w:p>
        </w:tc>
        <w:tc>
          <w:tcPr>
            <w:tcW w:type="dxa" w:w="1728"/>
            <w:tcBorders>
              <w:bottom w:val="single" w:sz="12" w:color="000000"/>
            </w:tcBorders>
          </w:tcPr>
          <w:p>
            <w:pPr>
              <w:jc w:val="center"/>
            </w:pPr>
            <w:r/>
            <w:r>
              <w:rPr>
                <w:rFonts w:ascii="Times New Roman" w:hAnsi="Times New Roman"/>
                <w:b w:val="0"/>
                <w:sz w:val="16"/>
              </w:rPr>
              <w:t>518</w:t>
            </w:r>
          </w:p>
        </w:tc>
        <w:tc>
          <w:tcPr>
            <w:tcW w:type="dxa" w:w="1728"/>
            <w:tcBorders>
              <w:bottom w:val="single" w:sz="12" w:color="000000"/>
            </w:tcBorders>
          </w:tcPr>
          <w:p>
            <w:pPr>
              <w:jc w:val="center"/>
            </w:pPr>
            <w:r/>
            <w:r>
              <w:rPr>
                <w:rFonts w:ascii="Times New Roman" w:hAnsi="Times New Roman"/>
                <w:b w:val="0"/>
                <w:sz w:val="16"/>
              </w:rPr>
              <w:t>9</w:t>
            </w:r>
          </w:p>
        </w:tc>
      </w:tr>
    </w:tbl>
    <w:p>
      <w:pPr>
        <w:spacing w:after="40"/>
      </w:pP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9"/>
        </w:rPr>
        <w:t>Fig. 11. The containment-versus-Jaccard geometry behind Table X. (a) donor Jaccard distribution over the 337 planted cells (quartiles 0.045/0.099/0.201) with the two operating thresholds marked; (b) recall of the three LSH configurations versus the tolerant screen on the same cells.</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pPr>
      <w:r>
        <w:t>A. Controlled memorization screening</w:t>
      </w:r>
    </w:p>
    <w:p>
      <w:pPr>
        <w:spacing w:after="0"/>
        <w:ind w:firstLine="204"/>
        <w:jc w:val="both"/>
      </w:pPr>
      <w:r>
        <w:t>We emulate generative-model memorization with an order-m pitch n-gram model mixed with a per-note copy operator at probability λ, sweeping m∈{2,4,8} and λ∈{0, 0.25, ..., 1}; 750 generated pieces are screened with the production cascade. Detection (Fig. 12, Table XI) rises monotonically: 26-34% at λ=0—these residual hits are style-level shared structures, attributed to the source piece in only 2-4% of cases—through 44-56% at λ=0.5, to 100% at λ=1 with 96-100% correct source attribution. Fragmented partial memorization (λ=0.25,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9"/>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order-m pitch n-gram mixed with per-note copy at probability λ).</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m</w:t>
            </w:r>
          </w:p>
        </w:tc>
        <w:tc>
          <w:tcPr>
            <w:tcW w:type="dxa" w:w="1728"/>
            <w:tcBorders>
              <w:top w:val="single" w:sz="12" w:color="000000"/>
              <w:bottom w:val="single" w:sz="6" w:color="000000"/>
            </w:tcBorders>
          </w:tcPr>
          <w:p>
            <w:pPr>
              <w:keepNext/>
              <w:jc w:val="center"/>
            </w:pPr>
            <w:r/>
            <w:r>
              <w:rPr>
                <w:rFonts w:ascii="Times New Roman" w:hAnsi="Times New Roman"/>
                <w:b/>
                <w:sz w:val="16"/>
              </w:rPr>
              <w:t>λ = 0</w:t>
            </w:r>
          </w:p>
        </w:tc>
        <w:tc>
          <w:tcPr>
            <w:tcW w:type="dxa" w:w="1728"/>
            <w:tcBorders>
              <w:top w:val="single" w:sz="12" w:color="000000"/>
              <w:bottom w:val="single" w:sz="6" w:color="000000"/>
            </w:tcBorders>
          </w:tcPr>
          <w:p>
            <w:pPr>
              <w:keepNext/>
              <w:jc w:val="center"/>
            </w:pPr>
            <w:r/>
            <w:r>
              <w:rPr>
                <w:rFonts w:ascii="Times New Roman" w:hAnsi="Times New Roman"/>
                <w:b/>
                <w:sz w:val="16"/>
              </w:rPr>
              <w:t>λ = 0.25</w:t>
            </w:r>
          </w:p>
        </w:tc>
        <w:tc>
          <w:tcPr>
            <w:tcW w:type="dxa" w:w="1728"/>
            <w:tcBorders>
              <w:top w:val="single" w:sz="12" w:color="000000"/>
              <w:bottom w:val="single" w:sz="6" w:color="000000"/>
            </w:tcBorders>
          </w:tcPr>
          <w:p>
            <w:pPr>
              <w:keepNext/>
              <w:jc w:val="center"/>
            </w:pPr>
            <w:r/>
            <w:r>
              <w:rPr>
                <w:rFonts w:ascii="Times New Roman" w:hAnsi="Times New Roman"/>
                <w:b/>
                <w:sz w:val="16"/>
              </w:rPr>
              <w:t>λ = 0.5</w:t>
            </w:r>
          </w:p>
        </w:tc>
        <w:tc>
          <w:tcPr>
            <w:tcW w:type="dxa" w:w="1728"/>
            <w:tcBorders>
              <w:top w:val="single" w:sz="12" w:color="000000"/>
              <w:bottom w:val="single" w:sz="6" w:color="000000"/>
            </w:tcBorders>
          </w:tcPr>
          <w:p>
            <w:pPr>
              <w:keepNext/>
              <w:jc w:val="center"/>
            </w:pPr>
            <w:r/>
            <w:r>
              <w:rPr>
                <w:rFonts w:ascii="Times New Roman" w:hAnsi="Times New Roman"/>
                <w:b/>
                <w:sz w:val="16"/>
              </w:rPr>
              <w:t>λ = 0.75</w:t>
            </w:r>
          </w:p>
        </w:tc>
        <w:tc>
          <w:tcPr>
            <w:tcW w:type="dxa" w:w="1728"/>
            <w:tcBorders>
              <w:top w:val="single" w:sz="12" w:color="000000"/>
              <w:bottom w:val="single" w:sz="6" w:color="000000"/>
            </w:tcBorders>
          </w:tcPr>
          <w:p>
            <w:pPr>
              <w:keepNext/>
              <w:jc w:val="center"/>
            </w:pPr>
            <w:r/>
            <w:r>
              <w:rPr>
                <w:rFonts w:ascii="Times New Roman" w:hAnsi="Times New Roman"/>
                <w:b/>
                <w:sz w:val="16"/>
              </w:rPr>
              <w:t>λ = 1</w:t>
            </w:r>
          </w:p>
        </w:tc>
      </w:tr>
      <w:tr>
        <w:trPr>
          <w:cantSplit/>
        </w:trPr>
        <w:tc>
          <w:tcPr>
            <w:tcW w:type="dxa" w:w="1728"/>
          </w:tcPr>
          <w:p>
            <w:pPr>
              <w:keepNext/>
              <w:jc w:val="left"/>
            </w:pPr>
            <w:r/>
            <w:r>
              <w:rPr>
                <w:rFonts w:ascii="Times New Roman" w:hAnsi="Times New Roman"/>
                <w:b w:val="0"/>
                <w:sz w:val="16"/>
              </w:rPr>
              <w:t>2</w:t>
            </w:r>
          </w:p>
        </w:tc>
        <w:tc>
          <w:tcPr>
            <w:tcW w:type="dxa" w:w="1728"/>
          </w:tcPr>
          <w:p>
            <w:pPr>
              <w:keepNext/>
              <w:jc w:val="center"/>
            </w:pPr>
            <w:r/>
            <w:r>
              <w:rPr>
                <w:rFonts w:ascii="Times New Roman" w:hAnsi="Times New Roman"/>
                <w:b w:val="0"/>
                <w:sz w:val="16"/>
              </w:rPr>
              <w:t>26 / 4</w:t>
            </w:r>
          </w:p>
        </w:tc>
        <w:tc>
          <w:tcPr>
            <w:tcW w:type="dxa" w:w="1728"/>
          </w:tcPr>
          <w:p>
            <w:pPr>
              <w:keepNext/>
              <w:jc w:val="center"/>
            </w:pPr>
            <w:r/>
            <w:r>
              <w:rPr>
                <w:rFonts w:ascii="Times New Roman" w:hAnsi="Times New Roman"/>
                <w:b w:val="0"/>
                <w:sz w:val="16"/>
              </w:rPr>
              <w:t>30 / 0</w:t>
            </w:r>
          </w:p>
        </w:tc>
        <w:tc>
          <w:tcPr>
            <w:tcW w:type="dxa" w:w="1728"/>
          </w:tcPr>
          <w:p>
            <w:pPr>
              <w:keepNext/>
              <w:jc w:val="center"/>
            </w:pPr>
            <w:r/>
            <w:r>
              <w:rPr>
                <w:rFonts w:ascii="Times New Roman" w:hAnsi="Times New Roman"/>
                <w:b w:val="0"/>
                <w:sz w:val="16"/>
              </w:rPr>
              <w:t>44 / 18</w:t>
            </w:r>
          </w:p>
        </w:tc>
        <w:tc>
          <w:tcPr>
            <w:tcW w:type="dxa" w:w="1728"/>
          </w:tcPr>
          <w:p>
            <w:pPr>
              <w:keepNext/>
              <w:jc w:val="center"/>
            </w:pPr>
            <w:r/>
            <w:r>
              <w:rPr>
                <w:rFonts w:ascii="Times New Roman" w:hAnsi="Times New Roman"/>
                <w:b w:val="0"/>
                <w:sz w:val="16"/>
              </w:rPr>
              <w:t>96 / 90</w:t>
            </w:r>
          </w:p>
        </w:tc>
        <w:tc>
          <w:tcPr>
            <w:tcW w:type="dxa" w:w="1728"/>
          </w:tcPr>
          <w:p>
            <w:pPr>
              <w:keepNext/>
              <w:jc w:val="center"/>
            </w:pPr>
            <w:r/>
            <w:r>
              <w:rPr>
                <w:rFonts w:ascii="Times New Roman" w:hAnsi="Times New Roman"/>
                <w:b w:val="0"/>
                <w:sz w:val="16"/>
              </w:rPr>
              <w:t>100 / 100</w:t>
            </w:r>
          </w:p>
        </w:tc>
      </w:tr>
      <w:tr>
        <w:trPr>
          <w:cantSplit/>
        </w:trPr>
        <w:tc>
          <w:tcPr>
            <w:tcW w:type="dxa" w:w="1728"/>
          </w:tcPr>
          <w:p>
            <w:pPr>
              <w:keepNext/>
              <w:jc w:val="left"/>
            </w:pPr>
            <w:r/>
            <w:r>
              <w:rPr>
                <w:rFonts w:ascii="Times New Roman" w:hAnsi="Times New Roman"/>
                <w:b w:val="0"/>
                <w:sz w:val="16"/>
              </w:rPr>
              <w:t>4</w:t>
            </w:r>
          </w:p>
        </w:tc>
        <w:tc>
          <w:tcPr>
            <w:tcW w:type="dxa" w:w="1728"/>
          </w:tcPr>
          <w:p>
            <w:pPr>
              <w:keepNext/>
              <w:jc w:val="center"/>
            </w:pPr>
            <w:r/>
            <w:r>
              <w:rPr>
                <w:rFonts w:ascii="Times New Roman" w:hAnsi="Times New Roman"/>
                <w:b w:val="0"/>
                <w:sz w:val="16"/>
              </w:rPr>
              <w:t>34 / 2</w:t>
            </w:r>
          </w:p>
        </w:tc>
        <w:tc>
          <w:tcPr>
            <w:tcW w:type="dxa" w:w="1728"/>
          </w:tcPr>
          <w:p>
            <w:pPr>
              <w:keepNext/>
              <w:jc w:val="center"/>
            </w:pPr>
            <w:r/>
            <w:r>
              <w:rPr>
                <w:rFonts w:ascii="Times New Roman" w:hAnsi="Times New Roman"/>
                <w:b w:val="0"/>
                <w:sz w:val="16"/>
              </w:rPr>
              <w:t>24 / 0</w:t>
            </w:r>
          </w:p>
        </w:tc>
        <w:tc>
          <w:tcPr>
            <w:tcW w:type="dxa" w:w="1728"/>
          </w:tcPr>
          <w:p>
            <w:pPr>
              <w:keepNext/>
              <w:jc w:val="center"/>
            </w:pPr>
            <w:r/>
            <w:r>
              <w:rPr>
                <w:rFonts w:ascii="Times New Roman" w:hAnsi="Times New Roman"/>
                <w:b w:val="0"/>
                <w:sz w:val="16"/>
              </w:rPr>
              <w:t>54 / 36</w:t>
            </w:r>
          </w:p>
        </w:tc>
        <w:tc>
          <w:tcPr>
            <w:tcW w:type="dxa" w:w="1728"/>
          </w:tcPr>
          <w:p>
            <w:pPr>
              <w:keepNext/>
              <w:jc w:val="center"/>
            </w:pPr>
            <w:r/>
            <w:r>
              <w:rPr>
                <w:rFonts w:ascii="Times New Roman" w:hAnsi="Times New Roman"/>
                <w:b w:val="0"/>
                <w:sz w:val="16"/>
              </w:rPr>
              <w:t>100 / 94</w:t>
            </w:r>
          </w:p>
        </w:tc>
        <w:tc>
          <w:tcPr>
            <w:tcW w:type="dxa" w:w="1728"/>
          </w:tcPr>
          <w:p>
            <w:pPr>
              <w:keepNext/>
              <w:jc w:val="center"/>
            </w:pPr>
            <w:r/>
            <w:r>
              <w:rPr>
                <w:rFonts w:ascii="Times New Roman" w:hAnsi="Times New Roman"/>
                <w:b w:val="0"/>
                <w:sz w:val="16"/>
              </w:rPr>
              <w:t>100 / 96</w:t>
            </w:r>
          </w:p>
        </w:tc>
      </w:tr>
      <w:tr>
        <w:trPr>
          <w:cantSplit/>
        </w:trPr>
        <w:tc>
          <w:tcPr>
            <w:tcW w:type="dxa" w:w="1728"/>
            <w:tcBorders>
              <w:bottom w:val="single" w:sz="12" w:color="000000"/>
            </w:tcBorders>
          </w:tcPr>
          <w:p>
            <w:pPr>
              <w:jc w:val="left"/>
            </w:pPr>
            <w:r/>
            <w:r>
              <w:rPr>
                <w:rFonts w:ascii="Times New Roman" w:hAnsi="Times New Roman"/>
                <w:b w:val="0"/>
                <w:sz w:val="16"/>
              </w:rPr>
              <w:t>8</w:t>
            </w:r>
          </w:p>
        </w:tc>
        <w:tc>
          <w:tcPr>
            <w:tcW w:type="dxa" w:w="1728"/>
            <w:tcBorders>
              <w:bottom w:val="single" w:sz="12" w:color="000000"/>
            </w:tcBorders>
          </w:tcPr>
          <w:p>
            <w:pPr>
              <w:jc w:val="center"/>
            </w:pPr>
            <w:r/>
            <w:r>
              <w:rPr>
                <w:rFonts w:ascii="Times New Roman" w:hAnsi="Times New Roman"/>
                <w:b w:val="0"/>
                <w:sz w:val="16"/>
              </w:rPr>
              <w:t>32 / 2</w:t>
            </w:r>
          </w:p>
        </w:tc>
        <w:tc>
          <w:tcPr>
            <w:tcW w:type="dxa" w:w="1728"/>
            <w:tcBorders>
              <w:bottom w:val="single" w:sz="12" w:color="000000"/>
            </w:tcBorders>
          </w:tcPr>
          <w:p>
            <w:pPr>
              <w:jc w:val="center"/>
            </w:pPr>
            <w:r/>
            <w:r>
              <w:rPr>
                <w:rFonts w:ascii="Times New Roman" w:hAnsi="Times New Roman"/>
                <w:b w:val="0"/>
                <w:sz w:val="16"/>
              </w:rPr>
              <w:t>38 / 4</w:t>
            </w:r>
          </w:p>
        </w:tc>
        <w:tc>
          <w:tcPr>
            <w:tcW w:type="dxa" w:w="1728"/>
            <w:tcBorders>
              <w:bottom w:val="single" w:sz="12" w:color="000000"/>
            </w:tcBorders>
          </w:tcPr>
          <w:p>
            <w:pPr>
              <w:jc w:val="center"/>
            </w:pPr>
            <w:r/>
            <w:r>
              <w:rPr>
                <w:rFonts w:ascii="Times New Roman" w:hAnsi="Times New Roman"/>
                <w:b w:val="0"/>
                <w:sz w:val="16"/>
              </w:rPr>
              <w:t>56 / 38</w:t>
            </w:r>
          </w:p>
        </w:tc>
        <w:tc>
          <w:tcPr>
            <w:tcW w:type="dxa" w:w="1728"/>
            <w:tcBorders>
              <w:bottom w:val="single" w:sz="12" w:color="000000"/>
            </w:tcBorders>
          </w:tcPr>
          <w:p>
            <w:pPr>
              <w:jc w:val="center"/>
            </w:pPr>
            <w:r/>
            <w:r>
              <w:rPr>
                <w:rFonts w:ascii="Times New Roman" w:hAnsi="Times New Roman"/>
                <w:b w:val="0"/>
                <w:sz w:val="16"/>
              </w:rPr>
              <w:t>100 / 96</w:t>
            </w:r>
          </w:p>
        </w:tc>
        <w:tc>
          <w:tcPr>
            <w:tcW w:type="dxa" w:w="1728"/>
            <w:tcBorders>
              <w:bottom w:val="single" w:sz="12" w:color="000000"/>
            </w:tcBorders>
          </w:tcPr>
          <w:p>
            <w:pPr>
              <w:jc w:val="center"/>
            </w:pPr>
            <w:r/>
            <w:r>
              <w:rPr>
                <w:rFonts w:ascii="Times New Roman" w:hAnsi="Times New Roman"/>
                <w:b w:val="0"/>
                <w:sz w:val="16"/>
              </w:rPr>
              <w:t>100 / 98</w:t>
            </w:r>
          </w:p>
        </w:tc>
      </w:tr>
    </w:tbl>
    <w:p>
      <w:pPr>
        <w:spacing w:after="40"/>
      </w:pPr>
    </w:p>
    <w:p>
      <w:pPr>
        <w:pStyle w:val="Heading2"/>
      </w:pPr>
      <w:r>
        <w:t>B. Case studies in the wild</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9"/>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b w:val="0"/>
                <w:sz w:val="16"/>
              </w:rPr>
              <w:t>Identical transcription pair</w:t>
            </w:r>
          </w:p>
        </w:tc>
        <w:tc>
          <w:tcPr>
            <w:tcW w:type="dxa" w:w="2592"/>
          </w:tcPr>
          <w:p>
            <w:pPr>
              <w:keepNext/>
              <w:jc w:val="center"/>
            </w:pPr>
            <w:r/>
            <w:r>
              <w:rPr>
                <w:rFonts w:ascii="Times New Roman" w:hAnsi="Times New Roman"/>
                <w:b w:val="0"/>
                <w:sz w:val="16"/>
              </w:rPr>
              <w:t>3,200 / 3,200 notes</w:t>
            </w:r>
          </w:p>
        </w:tc>
        <w:tc>
          <w:tcPr>
            <w:tcW w:type="dxa" w:w="2592"/>
          </w:tcPr>
          <w:p>
            <w:pPr>
              <w:keepNext/>
              <w:jc w:val="center"/>
            </w:pPr>
            <w:r/>
            <w:r>
              <w:rPr>
                <w:rFonts w:ascii="Times New Roman" w:hAnsi="Times New Roman"/>
                <w:b w:val="0"/>
                <w:sz w:val="16"/>
              </w:rPr>
              <w:t>3,200</w:t>
            </w:r>
          </w:p>
        </w:tc>
        <w:tc>
          <w:tcPr>
            <w:tcW w:type="dxa" w:w="2592"/>
          </w:tcPr>
          <w:p>
            <w:pPr>
              <w:keepNext/>
              <w:jc w:val="center"/>
            </w:pPr>
            <w:r/>
            <w:r>
              <w:rPr>
                <w:rFonts w:ascii="Times New Roman" w:hAnsi="Times New Roman"/>
                <w:b w:val="0"/>
                <w:sz w:val="16"/>
              </w:rPr>
              <w:t>confirmed copy</w:t>
            </w:r>
          </w:p>
        </w:tc>
      </w:tr>
      <w:tr>
        <w:trPr>
          <w:cantSplit/>
        </w:trPr>
        <w:tc>
          <w:tcPr>
            <w:tcW w:type="dxa" w:w="2592"/>
          </w:tcPr>
          <w:p>
            <w:pPr>
              <w:keepNext/>
              <w:jc w:val="left"/>
            </w:pPr>
            <w:r/>
            <w:r>
              <w:rPr>
                <w:rFonts w:ascii="Times New Roman" w:hAnsi="Times New Roman"/>
                <w:b w:val="0"/>
                <w:sz w:val="16"/>
              </w:rPr>
              <w:t>Transposed cover (+3 st, synth.)</w:t>
            </w:r>
          </w:p>
        </w:tc>
        <w:tc>
          <w:tcPr>
            <w:tcW w:type="dxa" w:w="2592"/>
          </w:tcPr>
          <w:p>
            <w:pPr>
              <w:keepNext/>
              <w:jc w:val="center"/>
            </w:pPr>
            <w:r/>
            <w:r>
              <w:rPr>
                <w:rFonts w:ascii="Times New Roman" w:hAnsi="Times New Roman"/>
                <w:b w:val="0"/>
                <w:sz w:val="16"/>
              </w:rPr>
              <w:t>3,200 / 3,200</w:t>
            </w:r>
          </w:p>
        </w:tc>
        <w:tc>
          <w:tcPr>
            <w:tcW w:type="dxa" w:w="2592"/>
          </w:tcPr>
          <w:p>
            <w:pPr>
              <w:keepNext/>
              <w:jc w:val="center"/>
            </w:pPr>
            <w:r/>
            <w:r>
              <w:rPr>
                <w:rFonts w:ascii="Times New Roman" w:hAnsi="Times New Roman"/>
                <w:b w:val="0"/>
                <w:sz w:val="16"/>
              </w:rPr>
              <w:t>3,200 (Δ=−3 st)</w:t>
            </w:r>
          </w:p>
        </w:tc>
        <w:tc>
          <w:tcPr>
            <w:tcW w:type="dxa" w:w="2592"/>
          </w:tcPr>
          <w:p>
            <w:pPr>
              <w:keepNext/>
              <w:jc w:val="center"/>
            </w:pPr>
            <w:r/>
            <w:r>
              <w:rPr>
                <w:rFonts w:ascii="Times New Roman" w:hAnsi="Times New Roman"/>
                <w:b w:val="0"/>
                <w:sz w:val="16"/>
              </w:rPr>
              <w:t>confirmed, transposition estimated correctly</w:t>
            </w:r>
          </w:p>
        </w:tc>
      </w:tr>
      <w:tr>
        <w:trPr>
          <w:cantSplit/>
        </w:trPr>
        <w:tc>
          <w:tcPr>
            <w:tcW w:type="dxa" w:w="2592"/>
          </w:tcPr>
          <w:p>
            <w:pPr>
              <w:keepNext/>
              <w:jc w:val="left"/>
            </w:pPr>
            <w:r/>
            <w:r>
              <w:rPr>
                <w:rFonts w:ascii="Times New Roman" w:hAnsi="Times New Roman"/>
                <w:b w:val="0"/>
                <w:sz w:val="16"/>
              </w:rPr>
              <w:t>Spliced 30 s span (synth.)</w:t>
            </w:r>
          </w:p>
        </w:tc>
        <w:tc>
          <w:tcPr>
            <w:tcW w:type="dxa" w:w="2592"/>
          </w:tcPr>
          <w:p>
            <w:pPr>
              <w:keepNext/>
              <w:jc w:val="center"/>
            </w:pPr>
            <w:r/>
            <w:r>
              <w:rPr>
                <w:rFonts w:ascii="Times New Roman" w:hAnsi="Times New Roman"/>
                <w:b w:val="0"/>
                <w:sz w:val="16"/>
              </w:rPr>
              <w:t>1,680</w:t>
            </w:r>
          </w:p>
        </w:tc>
        <w:tc>
          <w:tcPr>
            <w:tcW w:type="dxa" w:w="2592"/>
          </w:tcPr>
          <w:p>
            <w:pPr>
              <w:keepNext/>
              <w:jc w:val="center"/>
            </w:pPr>
            <w:r/>
            <w:r>
              <w:rPr>
                <w:rFonts w:ascii="Times New Roman" w:hAnsi="Times New Roman"/>
                <w:b w:val="0"/>
                <w:sz w:val="16"/>
              </w:rPr>
              <w:t>1,593</w:t>
            </w:r>
          </w:p>
        </w:tc>
        <w:tc>
          <w:tcPr>
            <w:tcW w:type="dxa" w:w="2592"/>
          </w:tcPr>
          <w:p>
            <w:pPr>
              <w:keepNext/>
              <w:jc w:val="center"/>
            </w:pPr>
            <w:r/>
            <w:r>
              <w:rPr>
                <w:rFonts w:ascii="Times New Roman" w:hAnsi="Times New Roman"/>
                <w:b w:val="0"/>
                <w:sz w:val="16"/>
              </w:rPr>
              <w:t>confirmed partial reuse</w:t>
            </w:r>
          </w:p>
        </w:tc>
      </w:tr>
      <w:tr>
        <w:trPr>
          <w:cantSplit/>
        </w:trPr>
        <w:tc>
          <w:tcPr>
            <w:tcW w:type="dxa" w:w="2592"/>
            <w:tcBorders>
              <w:bottom w:val="single" w:sz="12" w:color="000000"/>
            </w:tcBorders>
          </w:tcPr>
          <w:p>
            <w:pPr>
              <w:jc w:val="left"/>
            </w:pPr>
            <w:r/>
            <w:r>
              <w:rPr>
                <w:rFonts w:ascii="Times New Roman" w:hAnsi="Times New Roman"/>
                <w:b w:val="0"/>
                <w:sz w:val="16"/>
              </w:rPr>
              <w:t>Style-similar negative</w:t>
            </w:r>
          </w:p>
        </w:tc>
        <w:tc>
          <w:tcPr>
            <w:tcW w:type="dxa" w:w="2592"/>
            <w:tcBorders>
              <w:bottom w:val="single" w:sz="12" w:color="000000"/>
            </w:tcBorders>
          </w:tcPr>
          <w:p>
            <w:pPr>
              <w:jc w:val="center"/>
            </w:pPr>
            <w:r/>
            <w:r>
              <w:rPr>
                <w:rFonts w:ascii="Times New Roman" w:hAnsi="Times New Roman"/>
                <w:b w:val="0"/>
                <w:sz w:val="16"/>
              </w:rPr>
              <w:t>31</w:t>
            </w:r>
          </w:p>
        </w:tc>
        <w:tc>
          <w:tcPr>
            <w:tcW w:type="dxa" w:w="2592"/>
            <w:tcBorders>
              <w:bottom w:val="single" w:sz="12" w:color="000000"/>
            </w:tcBorders>
          </w:tcPr>
          <w:p>
            <w:pPr>
              <w:jc w:val="center"/>
            </w:pPr>
            <w:r/>
            <w:r>
              <w:rPr>
                <w:rFonts w:ascii="Times New Roman" w:hAnsi="Times New Roman"/>
                <w:b w:val="0"/>
                <w:sz w:val="16"/>
              </w:rPr>
              <w:t>1</w:t>
            </w:r>
          </w:p>
        </w:tc>
        <w:tc>
          <w:tcPr>
            <w:tcW w:type="dxa" w:w="2592"/>
            <w:tcBorders>
              <w:bottom w:val="single" w:sz="12" w:color="000000"/>
            </w:tcBorders>
          </w:tcPr>
          <w:p>
            <w:pPr>
              <w:jc w:val="center"/>
            </w:pPr>
            <w:r/>
            <w:r>
              <w:rPr>
                <w:rFonts w:ascii="Times New Roman" w:hAnsi="Times New Roman"/>
                <w:b w:val="0"/>
                <w:sz w:val="16"/>
              </w:rPr>
              <w:t>rejected</w:t>
            </w:r>
          </w:p>
        </w:tc>
      </w:tr>
    </w:tbl>
    <w:p>
      <w:pPr>
        <w:spacing w:after="40"/>
      </w:pPr>
    </w:p>
    <w:p>
      <w:pPr>
        <w:pStyle w:val="Heading2"/>
      </w:pPr>
      <w:r>
        <w:t>C. Full-corpus duplicate census</w:t>
      </w:r>
    </w:p>
    <w:p>
      <w:pPr>
        <w:spacing w:after="0"/>
        <w:ind w:firstLine="204"/>
        <w:jc w:val="both"/>
      </w:pPr>
      <w:r>
        <w:t>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k=0).  Fig. 14(a) shows the candidate population by relative-score band.  At the absolute ≥40-evidence floor the two channels report 10.0B (exact) and 16.6B (sketch) candidate pairs; at the case-study operating point (relative ≥0.35) the total is 5.63B.  A self-screen of the whole corpus at the observed per-query cost (median 27 ms exact, 56 ms sketch, p95 74/122 ms; one core) completes in roughly four hours.</w:t>
      </w:r>
    </w:p>
    <w:p>
      <w:pPr>
        <w:spacing w:after="0"/>
        <w:ind w:firstLine="204"/>
        <w:jc w:val="both"/>
      </w:pPr>
      <w:r>
        <w:t>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adjudicator's precision and recall (Section V-C); they are survey estimates from a 1/8 sample, not enumerations.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9"/>
        </w:rPr>
        <w:t>Fig. 14. Full-corpus census (174,300 pieces, stride-8 survey extrapolated ×8).  (a) Candidate-pair population by relative-score band and channel (log scale).  (b) Confirmed-copy precision of the stored audit-grade strata, Wilson 95% CI; n=40 per stratum.</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0.70–0.90</w:t>
            </w:r>
          </w:p>
        </w:tc>
        <w:tc>
          <w:tcPr>
            <w:tcW w:type="dxa" w:w="2074"/>
          </w:tcPr>
          <w:p>
            <w:pPr>
              <w:keepNext/>
              <w:jc w:val="center"/>
            </w:pPr>
            <w:r/>
            <w:r>
              <w:rPr>
                <w:rFonts w:ascii="Times New Roman" w:hAnsi="Times New Roman"/>
                <w:b w:val="0"/>
                <w:sz w:val="16"/>
              </w:rPr>
              <w:t>269,109</w:t>
            </w:r>
          </w:p>
        </w:tc>
        <w:tc>
          <w:tcPr>
            <w:tcW w:type="dxa" w:w="2074"/>
          </w:tcPr>
          <w:p>
            <w:pPr>
              <w:keepNext/>
              <w:jc w:val="center"/>
            </w:pPr>
            <w:r/>
            <w:r>
              <w:rPr>
                <w:rFonts w:ascii="Times New Roman" w:hAnsi="Times New Roman"/>
                <w:b w:val="0"/>
                <w:sz w:val="16"/>
              </w:rPr>
              <w:t>47.5 [32.9, 62.5]</w:t>
            </w:r>
          </w:p>
        </w:tc>
        <w:tc>
          <w:tcPr>
            <w:tcW w:type="dxa" w:w="2074"/>
          </w:tcPr>
          <w:p>
            <w:pPr>
              <w:keepNext/>
              <w:jc w:val="center"/>
            </w:pPr>
            <w:r/>
            <w:r>
              <w:rPr>
                <w:rFonts w:ascii="Times New Roman" w:hAnsi="Times New Roman"/>
                <w:b w:val="0"/>
                <w:sz w:val="16"/>
              </w:rPr>
              <w:t>1.02M</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≥0.90</w:t>
            </w:r>
          </w:p>
        </w:tc>
        <w:tc>
          <w:tcPr>
            <w:tcW w:type="dxa" w:w="2074"/>
          </w:tcPr>
          <w:p>
            <w:pPr>
              <w:keepNext/>
              <w:jc w:val="center"/>
            </w:pPr>
            <w:r/>
            <w:r>
              <w:rPr>
                <w:rFonts w:ascii="Times New Roman" w:hAnsi="Times New Roman"/>
                <w:b w:val="0"/>
                <w:sz w:val="16"/>
              </w:rPr>
              <w:t>14,926</w:t>
            </w:r>
          </w:p>
        </w:tc>
        <w:tc>
          <w:tcPr>
            <w:tcW w:type="dxa" w:w="2074"/>
          </w:tcPr>
          <w:p>
            <w:pPr>
              <w:keepNext/>
              <w:jc w:val="center"/>
            </w:pPr>
            <w:r/>
            <w:r>
              <w:rPr>
                <w:rFonts w:ascii="Times New Roman" w:hAnsi="Times New Roman"/>
                <w:b w:val="0"/>
                <w:sz w:val="16"/>
              </w:rPr>
              <w:t>90.0 [76.9, 96.0]</w:t>
            </w:r>
          </w:p>
        </w:tc>
        <w:tc>
          <w:tcPr>
            <w:tcW w:type="dxa" w:w="2074"/>
          </w:tcPr>
          <w:p>
            <w:pPr>
              <w:keepNext/>
              <w:jc w:val="center"/>
            </w:pPr>
            <w:r/>
            <w:r>
              <w:rPr>
                <w:rFonts w:ascii="Times New Roman" w:hAnsi="Times New Roman"/>
                <w:b w:val="0"/>
                <w:sz w:val="16"/>
              </w:rPr>
              <w:t>107k</w:t>
            </w:r>
          </w:p>
        </w:tc>
      </w:tr>
      <w:tr>
        <w:trPr>
          <w:cantSplit/>
        </w:trPr>
        <w:tc>
          <w:tcPr>
            <w:tcW w:type="dxa" w:w="2074"/>
            <w:tcBorders>
              <w:bottom w:val="single" w:sz="12" w:color="000000"/>
            </w:tcBorders>
          </w:tcPr>
          <w:p>
            <w:pPr>
              <w:jc w:val="left"/>
            </w:pPr>
            <w:r/>
            <w:r>
              <w:rPr>
                <w:rFonts w:ascii="Times New Roman" w:hAnsi="Times New Roman"/>
                <w:b w:val="0"/>
                <w:sz w:val="16"/>
              </w:rPr>
              <w:t>sketch</w:t>
            </w:r>
          </w:p>
        </w:tc>
        <w:tc>
          <w:tcPr>
            <w:tcW w:type="dxa" w:w="2074"/>
            <w:tcBorders>
              <w:bottom w:val="single" w:sz="12" w:color="000000"/>
            </w:tcBorders>
          </w:tcPr>
          <w:p>
            <w:pPr>
              <w:jc w:val="center"/>
            </w:pPr>
            <w:r/>
            <w:r>
              <w:rPr>
                <w:rFonts w:ascii="Times New Roman" w:hAnsi="Times New Roman"/>
                <w:b w:val="0"/>
                <w:sz w:val="16"/>
              </w:rPr>
              <w:t>≥0.90</w:t>
            </w:r>
          </w:p>
        </w:tc>
        <w:tc>
          <w:tcPr>
            <w:tcW w:type="dxa" w:w="2074"/>
            <w:tcBorders>
              <w:bottom w:val="single" w:sz="12" w:color="000000"/>
            </w:tcBorders>
          </w:tcPr>
          <w:p>
            <w:pPr>
              <w:jc w:val="center"/>
            </w:pPr>
            <w:r/>
            <w:r>
              <w:rPr>
                <w:rFonts w:ascii="Times New Roman" w:hAnsi="Times New Roman"/>
                <w:b w:val="0"/>
                <w:sz w:val="16"/>
              </w:rPr>
              <w:t>525,756</w:t>
            </w:r>
          </w:p>
        </w:tc>
        <w:tc>
          <w:tcPr>
            <w:tcW w:type="dxa" w:w="2074"/>
            <w:tcBorders>
              <w:bottom w:val="single" w:sz="12" w:color="000000"/>
            </w:tcBorders>
          </w:tcPr>
          <w:p>
            <w:pPr>
              <w:jc w:val="center"/>
            </w:pPr>
            <w:r/>
            <w:r>
              <w:rPr>
                <w:rFonts w:ascii="Times New Roman" w:hAnsi="Times New Roman"/>
                <w:b w:val="0"/>
                <w:sz w:val="16"/>
              </w:rPr>
              <w:t>40.0 [26.3, 55.4]</w:t>
            </w:r>
          </w:p>
        </w:tc>
        <w:tc>
          <w:tcPr>
            <w:tcW w:type="dxa" w:w="2074"/>
            <w:tcBorders>
              <w:bottom w:val="single" w:sz="12" w:color="000000"/>
            </w:tcBorders>
          </w:tcPr>
          <w:p>
            <w:pPr>
              <w:jc w:val="center"/>
            </w:pPr>
            <w:r/>
            <w:r>
              <w:rPr>
                <w:rFonts w:ascii="Times New Roman" w:hAnsi="Times New Roman"/>
                <w:b w:val="0"/>
                <w:sz w:val="16"/>
              </w:rPr>
              <w:t>1.68M</w:t>
            </w:r>
          </w:p>
        </w:tc>
      </w:tr>
    </w:tbl>
    <w:p>
      <w:pPr>
        <w:spacing w:after="40"/>
      </w:pPr>
    </w:p>
    <w:p>
      <w:pPr>
        <w:pStyle w:val="Heading2"/>
      </w:pPr>
      <w:r>
        <w:t>D. Memorization audit with a trained generator</w:t>
      </w:r>
    </w:p>
    <w:p>
      <w:pPr>
        <w:spacing w:after="0"/>
        <w:ind w:firstLine="204"/>
        <w:jc w:val="both"/>
      </w:pPr>
      <w:r>
        <w:t>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i.e., genuine overfitting.  Per-piece held likelihood separates trained from never-trained pieces almost perfectly (3.5 vs. 6.9 nats mean, AUC = 0.94), and the most-memorized pieces sit at 0.31 nats—the model demonstrably knows them.  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(lambda = 0) cells of Table XI.  In other words, a real overfit transformer at this scale behaves, from the detector's viewpoint, like the lambda = 0 corner of the emulated spectrum—and unlike lambda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840748"/>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6552000" cy="1840748"/>
                  </a:xfrm>
                  <a:prstGeom prst="rect">
                    <a:avLst/>
                  </a:prstGeom>
                </pic:spPr>
              </pic:pic>
            </a:graphicData>
          </a:graphic>
        </wp:inline>
      </w:drawing>
    </w:p>
    <w:p>
      <w:pPr>
        <w:pStyle w:val="FigureCaption"/>
      </w:pPr>
      <w:r>
        <w:rPr>
          <w:sz w:val="19"/>
        </w:rPr>
        <w:t>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λ = 0 / λ = 1 anchors of Table XI.</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Trained-generator audit against the E6.2 emulation anchors: the overfit transformer confirms in the lambda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top-C %</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lambda=0</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32</w:t>
            </w:r>
          </w:p>
        </w:tc>
        <w:tc>
          <w:tcPr>
            <w:tcW w:type="dxa" w:w="1728"/>
          </w:tcPr>
          <w:p>
            <w:pPr>
              <w:keepNext/>
              <w:jc w:val="center"/>
            </w:pPr>
            <w:r/>
            <w:r>
              <w:rPr>
                <w:rFonts w:ascii="Times New Roman" w:hAnsi="Times New Roman"/>
                <w:b w:val="0"/>
                <w:sz w:val="16"/>
              </w:rPr>
              <w:t>2</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lambda=1</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100</w:t>
            </w:r>
          </w:p>
        </w:tc>
        <w:tc>
          <w:tcPr>
            <w:tcW w:type="dxa" w:w="1728"/>
          </w:tcPr>
          <w:p>
            <w:pPr>
              <w:keepNext/>
              <w:jc w:val="center"/>
            </w:pPr>
            <w:r/>
            <w:r>
              <w:rPr>
                <w:rFonts w:ascii="Times New Roman" w:hAnsi="Times New Roman"/>
                <w:b w:val="0"/>
                <w:sz w:val="16"/>
              </w:rPr>
              <w:t>98</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memorized sources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5</w:t>
            </w:r>
          </w:p>
        </w:tc>
        <w:tc>
          <w:tcPr>
            <w:tcW w:type="dxa" w:w="1728"/>
          </w:tcPr>
          <w:p>
            <w:pPr>
              <w:keepNext/>
              <w:jc w:val="center"/>
            </w:pPr>
            <w:r/>
            <w:r>
              <w:rPr>
                <w:rFonts w:ascii="Times New Roman" w:hAnsi="Times New Roman"/>
                <w:b w:val="0"/>
                <w:sz w:val="16"/>
              </w:rPr>
              <w:t>5</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untrained controls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10</w:t>
            </w:r>
          </w:p>
        </w:tc>
        <w:tc>
          <w:tcPr>
            <w:tcW w:type="dxa" w:w="1728"/>
          </w:tcPr>
          <w:p>
            <w:pPr>
              <w:keepNext/>
              <w:jc w:val="center"/>
            </w:pPr>
            <w:r/>
            <w:r>
              <w:rPr>
                <w:rFonts w:ascii="Times New Roman" w:hAnsi="Times New Roman"/>
                <w:b w:val="0"/>
                <w:sz w:val="16"/>
              </w:rPr>
              <w:t>15</w:t>
            </w:r>
          </w:p>
        </w:tc>
      </w:tr>
      <w:tr>
        <w:trPr>
          <w:cantSplit/>
        </w:trPr>
        <w:tc>
          <w:tcPr>
            <w:tcW w:type="dxa" w:w="1728"/>
            <w:tcBorders>
              <w:bottom w:val="single" w:sz="12" w:color="000000"/>
            </w:tcBorders>
          </w:tcPr>
          <w:p>
            <w:pPr>
              <w:jc w:val="left"/>
            </w:pPr>
            <w:r/>
            <w:r>
              <w:rPr>
                <w:rFonts w:ascii="Times New Roman" w:hAnsi="Times New Roman"/>
                <w:b w:val="0"/>
                <w:sz w:val="16"/>
              </w:rPr>
              <w:t>transformer (E6.4)</w:t>
            </w:r>
          </w:p>
        </w:tc>
        <w:tc>
          <w:tcPr>
            <w:tcW w:type="dxa" w:w="1728"/>
            <w:tcBorders>
              <w:bottom w:val="single" w:sz="12" w:color="000000"/>
            </w:tcBorders>
          </w:tcPr>
          <w:p>
            <w:pPr>
              <w:jc w:val="center"/>
            </w:pPr>
            <w:r/>
            <w:r>
              <w:rPr>
                <w:rFonts w:ascii="Times New Roman" w:hAnsi="Times New Roman"/>
                <w:b w:val="0"/>
                <w:sz w:val="16"/>
              </w:rPr>
              <w:t>random trained</w:t>
            </w:r>
          </w:p>
        </w:tc>
        <w:tc>
          <w:tcPr>
            <w:tcW w:type="dxa" w:w="1728"/>
            <w:tcBorders>
              <w:bottom w:val="single" w:sz="12" w:color="000000"/>
            </w:tcBorders>
          </w:tcPr>
          <w:p>
            <w:pPr>
              <w:jc w:val="center"/>
            </w:pPr>
            <w:r/>
            <w:r>
              <w:rPr>
                <w:rFonts w:ascii="Times New Roman" w:hAnsi="Times New Roman"/>
                <w:b w:val="0"/>
                <w:sz w:val="16"/>
              </w:rPr>
              <w:t>20</w:t>
            </w:r>
          </w:p>
        </w:tc>
        <w:tc>
          <w:tcPr>
            <w:tcW w:type="dxa" w:w="1728"/>
            <w:tcBorders>
              <w:bottom w:val="single" w:sz="12" w:color="000000"/>
            </w:tcBorders>
          </w:tcPr>
          <w:p>
            <w:pPr>
              <w:jc w:val="center"/>
            </w:pPr>
            <w:r/>
            <w:r>
              <w:rPr>
                <w:rFonts w:ascii="Times New Roman" w:hAnsi="Times New Roman"/>
                <w:b w:val="0"/>
                <w:sz w:val="16"/>
              </w:rPr>
              <w:t>35</w:t>
            </w:r>
          </w:p>
        </w:tc>
        <w:tc>
          <w:tcPr>
            <w:tcW w:type="dxa" w:w="1728"/>
            <w:tcBorders>
              <w:bottom w:val="single" w:sz="12" w:color="000000"/>
            </w:tcBorders>
          </w:tcPr>
          <w:p>
            <w:pPr>
              <w:jc w:val="center"/>
            </w:pPr>
            <w:r/>
            <w:r>
              <w:rPr>
                <w:rFonts w:ascii="Times New Roman" w:hAnsi="Times New Roman"/>
                <w:b w:val="0"/>
                <w:sz w:val="16"/>
              </w:rPr>
              <w:t>0</w:t>
            </w:r>
          </w:p>
        </w:tc>
        <w:tc>
          <w:tcPr>
            <w:tcW w:type="dxa" w:w="1728"/>
            <w:tcBorders>
              <w:bottom w:val="single" w:sz="12" w:color="000000"/>
            </w:tcBorders>
          </w:tcPr>
          <w:p>
            <w:pPr>
              <w:jc w:val="center"/>
            </w:pPr>
            <w:r/>
            <w:r>
              <w:rPr>
                <w:rFonts w:ascii="Times New Roman" w:hAnsi="Times New Roman"/>
                <w:b w:val="0"/>
                <w:sz w:val="16"/>
              </w:rPr>
              <w:t>25</w:t>
            </w:r>
          </w:p>
        </w:tc>
      </w:tr>
    </w:tbl>
    <w:p>
      <w:pPr>
        <w:spacing w:after="40"/>
      </w:pPr>
    </w:p>
    <w:p>
      <w:pPr>
        <w:pStyle w:val="Heading1"/>
      </w:pPr>
      <w:r>
        <w:t>VII. DISCUSSION</w:t>
      </w:r>
    </w:p>
    <w:p>
      <w:pPr>
        <w:spacing w:after="0"/>
        <w:ind w:firstLine="204"/>
        <w:jc w:val="both"/>
      </w:pPr>
      <w:r>
        <w:t>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ρ threshold evade detection, so the system's proper role is high-precision screening with evidence, not autonomous adjudication. 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the memorization study spans both a transparent n-gram/copy emulation and an actually trained generator, but the latter is a 0.9M-parameter CPU-scale transformer whose memorization is non-extractive—larger generators that regurgitate verbatim would move samples toward the lambda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Finally, the system's output is evidence for a human decision, not a legal determination: a confirmed chain localizes shared material and estimates transposition, while questions of access, originality, and substantial similarity remain with adjudicators [20], [30].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 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M. Müller, Information Retrieval for Music and Motion. Springer, 2007.</w:t>
      </w:r>
    </w:p>
    <w:p>
      <w:pPr>
        <w:pStyle w:val="References"/>
        <w:ind w:left="425" w:hanging="425"/>
      </w:pPr>
      <w:r>
        <w:t>R. Typke, F. Wiering, and R. C. Veltkamp, “A survey of music information retrieval systems,” in Proc. ISMIR, 2005.</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S. Zilberstein, “Using anytime algorithms in intelligent systems,” AI Magazine, vol. 17, no. 3, pp. 73–83, 1996.</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N. Carlini et al., “Extracting training data from large language models,” in Proc. USENIX Security, 2021.</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C.-Z. A. Huang et al., “Music Transformer: Generating music with long-term structure,” in Proc. ICLR, 2019.</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Y.-C. Liu, J. Yu, K. Cao, S. I. A. Meerza, et al., “Auditing training data in generative music models via black-box membership inference,” in Proc. IEEE Symp. Security and Privacy, 2026.</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Y. Zhang et al., “Anytime frequent itemset mining: A threshold-free progressive item-activation framework with CPU–GPU heterogeneous collaboration,” under review.</w:t>
      </w:r>
    </w:p>
    <w:p>
      <w:pPr>
        <w:pStyle w:val="References"/>
        <w:ind w:left="425" w:hanging="425"/>
      </w:pPr>
      <w:r>
        <w:t>Y. Zhang et al., “TensorFIM: Exact maximal frequent itemset mining on tensor cores,” under review.</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rPr>
          <w:sz w:val="18"/>
        </w:rPr>
      </w:pPr>
    </w:p>
    <w:p>
      <w:pPr>
        <w:sectPr w:rsidR="007E713A" w:rsidSect="00002FAF">
          <w:headerReference w:type="default" r:id="rId9"/>
          <w:type w:val="continuous"/>
          <w:pgSz w:w="12240" w:h="15840"/>
          <w:pgMar w:top="1008" w:right="936" w:bottom="1008" w:left="936" w:header="432" w:footer="432" w:gutter="0"/>
          <w:cols w:space="288"/>
        </w:sectPr>
      </w:pP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Provable-Recall Screening with Structural Confirmation: A Two-Layer Copy Detection System for Symbolic Music</dc:title>
  <dc:subject>copy detection, symbolic music</dc:subject>
  <dc:description/>
  <cp:category>journal submission draft</cp:category>
</cp:coreProperties>
</file>