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Provable-Recall Screening with Structural Confirmation: A Two-Layer Copy Detection System for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Detecting copied material in symbolic music corpora at publisher scale is hard because candidate systems must simultaneously guarantee recall over noisy transformations, stay interactive on hundreds of thousands of pieces, and produce evidence precise enough to support human adjudication. We show that no single item-level technique meets all three requirements, and we present a two-layer system that does: a tolerant item-set screening layer whose recall is provable (an evidence lower bound verified on every one of 337 adversarial cells with zero violations) and whose rare-first anytime schedule processes the corpus in query time that grows only with evidence, not with corpus size; and a strict structural confirmation layer that aligns ordered note chains and reduces the fragment-level false-positive rate on style-similar hard negatives to 2.1% while retaining 83.9% recall under transcription noise. On a 174,300-piece corpus the index builds in 24.747 s and answers queries in 41.94 ms (p50) at 100% planted recall. In controlled memorization experiments, detection rises monotonically from 26-34% at zero copying to 100% at full verbatim regurgitation, with 96-100% correct attribution to the source piece. Case studies on 1,658,993 in-the-wild duplicate pairs show the system localizing spliced segments and transposed covers with publisher-readable alignment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(ρ = 0.62 ≥ θ)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θ.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evidence and vocabulary rarity, not with corpus size beyond postings; the open set is maintained in a Fenwick structure over piece IDs, giving O(log N) updates and an exact |O_u| readout after every position. Measured end to end, the index builds in 24.747 s and queries run at p50 = 41.94 ms on the full 174,300-piece corpus (Table I).</w:t>
      </w:r>
    </w:p>
    <w:p>
      <w:pPr>
        <w:pStyle w:val="Heading2"/>
      </w:pPr>
      <w:r>
        <w:t>D. L2/L3: re-ranking and structural confirmation</w:t>
      </w:r>
    </w:p>
    <w:p>
      <w:pPr>
        <w:spacing w:after="0"/>
        <w:ind w:firstLine="204"/>
        <w:jc w:val="both"/>
      </w:pPr>
      <w:r>
        <w:t xml:space="preserve">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j − i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c>
          <w:tcPr>
            <w:tcW w:type="dxa" w:w="10368"/>
          </w:tcPr>
          <w:p>
            <w:pPr>
              <w:spacing w:after="0" w:before="0"/>
            </w:pPr>
            <w:r/>
            <w:r>
              <w:rPr>
                <w:rFonts w:ascii="Consolas" w:hAnsi="Consolas" w:eastAsia="Consolas"/>
                <w:sz w:val="14"/>
              </w:rPr>
              <w:t>Algorithm 1  Two-layer copy detection (query q, index</w:t>
            </w:r>
            <w:r>
              <w:br/>
            </w:r>
            <w:r>
              <w:rPr>
                <w:rFonts w:ascii="Consolas" w:hAnsi="Consolas" w:eastAsia="Consolas"/>
                <w:sz w:val="14"/>
              </w:rPr>
              <w:t xml:space="preserve">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 contiguity</w:t>
            </w:r>
            <w:r>
              <w:br/>
            </w:r>
            <w:r>
              <w:rPr>
                <w:rFonts w:ascii="Consolas" w:hAnsi="Consolas" w:eastAsia="Consolas"/>
                <w:sz w:val="14"/>
              </w:rPr>
              <w:t xml:space="preserve">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 |N_k(item_i)|</w:t>
            </w:r>
            <w:r>
              <w:br/>
            </w:r>
            <w:r>
              <w:rPr>
                <w:rFonts w:ascii="Consolas" w:hAnsi="Consolas" w:eastAsia="Consolas"/>
                <w:sz w:val="14"/>
              </w:rPr>
              <w:t xml:space="preserve">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 rankings</w:t>
            </w:r>
            <w:r>
              <w:br/>
            </w:r>
            <w:r>
              <w:rPr>
                <w:rFonts w:ascii="Consolas" w:hAnsi="Consolas" w:eastAsia="Consolas"/>
                <w:sz w:val="14"/>
              </w:rPr>
              <w:t xml:space="preserve">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[2], and n-gram Jaccard (Section V-A); FIM engines from our prior work [31], [32] serve as enumeration baselines.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II summarizes the production configuration used unless a section states otherwise; the ablations of Section V-F justify each choice.</w:t>
      </w:r>
    </w:p>
    <w:p>
      <w:pPr>
        <w:pStyle w:val="TableTitle"/>
        <w:keepNext/>
      </w:pPr>
      <w:r>
        <w:t>TABLE II.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and Fig. 9 place the full cascade against its single-layer ablations. The cascade's remaining bottleneck is candidate retention: verbatim top-C keeps 93.1% (C=20) and 96.6% (C=50) of donors; the union of tolerant and verbatim top-C feeds—adopted in the final system—lifts retention above 99%.</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 / 0.10 / 0.20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 xml:space="preserve">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w:t>
      </w:r>
    </w:p>
    <w:p>
      <w:pPr>
        <w:spacing w:after="0"/>
        <w:ind w:firstLine="204"/>
        <w:jc w:val="both"/>
      </w:pPr>
      <w:r>
        <w:t>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 in the wild</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adjudicator's precision and recall (Section V-C);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 xml:space="preserve">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w:t>
      </w:r>
    </w:p>
    <w:p>
      <w:pPr>
        <w:spacing w:after="0"/>
        <w:ind w:firstLine="204"/>
        <w:jc w:val="both"/>
      </w:pPr>
      <w:r>
        <w:t>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λ = 0 / λ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[20], [30].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 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2026.</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Provable-Recall Screening with Structural Confirmation: A Two-Layer Copy Detection System for Symbolic Music</dc:title>
  <dc:subject>copy detection, symbolic music</dc:subject>
  <dc:description/>
  <cp:category>journal submission draft</cp:category>
</cp:coreProperties>
</file>