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9"/>
        </w:rPr>
        <w:t>ρ</w:t>
      </w:r>
      <w:r>
        <w:rPr>
          <w:sz w:val="19"/>
        </w:rPr>
        <w:t xml:space="preserve"> = 0.62 ≥ 0.5)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9"/>
        </w:rPr>
        <w:t>ρ</w:t>
      </w:r>
      <w:r>
        <w:rPr>
          <w:sz w:val="19"/>
        </w:rPr>
        <w:t xml:space="preserve"> = 0.62 ≥ 0.5.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w:t>
      </w:r>
      <w:r>
        <w:rPr>
          <w:i/>
          <w:vertAlign w:val="subscript"/>
        </w:rPr>
        <w:t>k</w:t>
      </w:r>
      <w:r>
        <w:rPr>
          <w:i/>
        </w:rPr>
        <w:t>(x)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 xml:space="preserve">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(evidence lower bound). Let </w:t>
      </w:r>
      <w:r>
        <w:rPr>
          <w:i/>
        </w:rPr>
        <w:t>q</w:t>
      </w:r>
      <w:r>
        <w:t xml:space="preserve">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FIM engines from our prior work [33], [34]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 xml:space="preserve">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[33], [34]—was measured infeasible at the support levels copying detection requires (over 11 million frequent pairs at </w:t>
      </w:r>
      <w:r>
        <w:rPr>
          <w:i/>
        </w:rPr>
        <w:t>N</w:t>
      </w:r>
      <w:r>
        <w:t>=300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spacing w:before="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40"/>
      </w:pPr>
    </w:p>
    <w:p>
      <w:pPr>
        <w:pStyle w:val="Heading2"/>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 xml:space="preserve">Fig. 8. Confirmation operating curves: donor recall versus fragment-level FP over </w:t>
      </w:r>
      <w:r>
        <w:rPr>
          <w:i/>
          <w:sz w:val="19"/>
        </w:rPr>
        <w:t>ρ</w:t>
      </w:r>
      <w:r>
        <w:rPr>
          <w:sz w:val="19"/>
        </w:rPr>
        <w:t>,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w:t>
      </w:r>
      <w:r>
        <w:rPr>
          <w:i/>
          <w:sz w:val="19"/>
        </w:rPr>
        <w:t>C</w:t>
      </w:r>
      <w:r>
        <w:rPr>
          <w:sz w:val="19"/>
        </w:rPr>
        <w:t xml:space="preserve">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40"/>
      </w:pPr>
    </w:p>
    <w:p>
      <w:pPr>
        <w:pStyle w:val="Heading2"/>
      </w:pPr>
      <w:r>
        <w:t>G. Set-similarity retrieval: the MinHash-LSH baseline</w:t>
      </w:r>
    </w:p>
    <w:p>
      <w:pPr>
        <w:spacing w:after="0"/>
        <w:ind w:firstLine="204"/>
        <w:jc w:val="both"/>
      </w:pPr>
      <w:r>
        <w:t xml:space="preserve">Why does the LSH index return nothing? The reason is geometric, not engineering. A planted query of the recall matrix embeds a 40-item span in 300 noise items and probes a corpus of pieces of ~700 items each, so even a perfect set-Jaccard oracle scores the donor at only 0.045 / 0.099 / 0.200 (quartiles over the 337 cells; Fig. 11(a)); just 168 of 337 donors reach Jaccard 0.10. Jaccard measures relative overlap, so a contained copy is structurally invisible to it no matter how faithfully the 40 shared items are preserved. </w:t>
      </w:r>
    </w:p>
    <w:p>
      <w:pPr>
        <w:spacing w:after="0"/>
        <w:ind w:firstLine="204"/>
        <w:jc w:val="both"/>
      </w:pPr>
      <w:r>
        <w:t xml:space="preserve">Tuning the band configuration moves the operating point along a recall-versus-candidate-volume trade-off,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40"/>
      </w:pPr>
    </w:p>
    <w:p>
      <w:pPr>
        <w:pStyle w:val="Heading2"/>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40"/>
      </w:pPr>
    </w:p>
    <w:p>
      <w:pPr>
        <w:pStyle w:val="Heading2"/>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40"/>
      </w:pPr>
    </w:p>
    <w:p>
      <w:pPr>
        <w:pStyle w:val="Heading2"/>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9"/>
        </w:rPr>
        <w:t>λ</w:t>
      </w:r>
      <w:r>
        <w:rPr>
          <w:sz w:val="19"/>
        </w:rPr>
        <w:t xml:space="preserve"> = 0 / </w:t>
      </w:r>
      <w:r>
        <w:rPr>
          <w:i/>
          <w:sz w:val="19"/>
        </w:rPr>
        <w:t>λ</w:t>
      </w:r>
      <w:r>
        <w:rPr>
          <w:sz w:val="19"/>
        </w:rPr>
        <w:t xml:space="preserve">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40"/>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