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9"/>
        </w:rPr>
        <w:t>ρ</w:t>
      </w:r>
      <w:r>
        <w:rPr>
          <w:sz w:val="19"/>
        </w:rPr>
        <w:t xml:space="preserve">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9"/>
        </w:rPr>
        <w:t>ρ</w:t>
      </w:r>
      <w:r>
        <w:rPr>
          <w:sz w:val="19"/>
        </w:rPr>
        <w:t xml:space="preserve">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w:t>
      </w:r>
      <w:r>
        <w:rPr>
          <w:i/>
          <w:vertAlign w:val="subscript"/>
        </w:rPr>
        <w:t>pi</w:t>
      </w:r>
      <w:r>
        <w:rPr>
          <w:i/>
        </w:rPr>
        <w:t>tch</w:t>
      </w:r>
      <w:r>
        <w:t xml:space="preserve">, </w:t>
      </w:r>
      <w:r>
        <w:rPr>
          <w:i/>
        </w:rPr>
        <w:t>k</w:t>
      </w:r>
      <w:r>
        <w:rPr>
          <w:i/>
          <w:vertAlign w:val="subscript"/>
        </w:rPr>
        <w:t>bi</w:t>
      </w:r>
      <w:r>
        <w:rPr>
          <w:i/>
        </w:rPr>
        <w:t>n</w:t>
      </w:r>
      <w:r>
        <w:t xml:space="preserve">, </w:t>
      </w:r>
      <w:r>
        <w:rPr>
          <w:i/>
        </w:rPr>
        <w:t>k</w:t>
      </w:r>
      <w:r>
        <w:rPr>
          <w:i/>
          <w:vertAlign w:val="subscript"/>
        </w:rPr>
        <w:t>ve</w:t>
      </w:r>
      <w:r>
        <w:rPr>
          <w:i/>
        </w:rPr>
        <w:t>l</w:t>
      </w:r>
      <w:r>
        <w:t xml:space="preserve">), the neighborhood </w:t>
      </w:r>
      <w:r>
        <w:rPr>
          <w:i/>
        </w:rPr>
        <w:t>N</w:t>
      </w:r>
      <w:r>
        <w:rPr>
          <w:i/>
          <w:vertAlign w:val="subscript"/>
        </w:rPr>
        <w:t>k</w:t>
      </w:r>
      <w:r>
        <w:rPr>
          <w:i/>
        </w:rPr>
        <w:t>(x)</w:t>
      </w:r>
      <w:r>
        <w:t xml:space="preserve"> of an item x is the set of items whose pitch differs by at most </w:t>
      </w:r>
      <w:r>
        <w:rPr>
          <w:i/>
        </w:rPr>
        <w:t>k</w:t>
      </w:r>
      <w:r>
        <w:rPr>
          <w:i/>
          <w:vertAlign w:val="subscript"/>
        </w:rPr>
        <w:t>pi</w:t>
      </w:r>
      <w:r>
        <w:rPr>
          <w:i/>
        </w:rPr>
        <w:t>tch</w:t>
      </w:r>
      <w:r>
        <w:t xml:space="preserve"> semitones and whose duration, inter-onset interval (IOI), and velocity bins differ by at most </w:t>
      </w:r>
      <w:r>
        <w:rPr>
          <w:i/>
        </w:rPr>
        <w:t>k</w:t>
      </w:r>
      <w:r>
        <w:rPr>
          <w:i/>
          <w:vertAlign w:val="subscript"/>
        </w:rPr>
        <w:t>bi</w:t>
      </w:r>
      <w:r>
        <w:rPr>
          <w:i/>
        </w:rPr>
        <w:t>n</w:t>
      </w:r>
      <w:r>
        <w:t xml:space="preserve"> and </w:t>
      </w:r>
      <w:r>
        <w:rPr>
          <w:i/>
        </w:rPr>
        <w:t>k</w:t>
      </w:r>
      <w:r>
        <w:rPr>
          <w:i/>
          <w:vertAlign w:val="subscript"/>
        </w:rPr>
        <w:t>ve</w:t>
      </w:r>
      <w:r>
        <w:rPr>
          <w:i/>
        </w:rPr>
        <w:t>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FIM engines from our prior work [33], [34]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 xml:space="preserve">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[33], [34]—was measured infeasible at the support levels copying detection requires (over 11 million frequent pairs at </w:t>
      </w:r>
      <w:r>
        <w:rPr>
          <w:i/>
        </w:rPr>
        <w:t>N</w:t>
      </w:r>
      <w:r>
        <w:t>=300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w:t>
      </w:r>
      <w:r>
        <w:rPr>
          <w:i/>
          <w:vertAlign w:val="subscript"/>
        </w:rPr>
        <w:t>pi</w:t>
      </w:r>
      <w:r>
        <w:rPr>
          <w:i/>
        </w:rPr>
        <w:t>tch</w:t>
      </w:r>
      <w:r>
        <w:t xml:space="preserve"> = 2, </w:t>
      </w:r>
      <w:r>
        <w:rPr>
          <w:i/>
        </w:rPr>
        <w:t>k</w:t>
      </w:r>
      <w:r>
        <w:rPr>
          <w:i/>
          <w:vertAlign w:val="subscript"/>
        </w:rPr>
        <w:t>bi</w:t>
      </w:r>
      <w:r>
        <w:rPr>
          <w:i/>
        </w:rPr>
        <w:t>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w:t>
            </w:r>
            <w:r>
              <w:rPr>
                <w:rFonts w:ascii="Times New Roman" w:hAnsi="Times New Roman"/>
                <w:i/>
                <w:sz w:val="16"/>
                <w:vertAlign w:val="subscript"/>
              </w:rPr>
              <w:t>dr</w:t>
            </w:r>
            <w:r>
              <w:rPr>
                <w:rFonts w:ascii="Times New Roman" w:hAnsi="Times New Roman"/>
                <w:i/>
                <w:sz w:val="16"/>
              </w:rPr>
              <w:t>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w:t>
            </w:r>
            <w:r>
              <w:rPr>
                <w:rFonts w:ascii="Times New Roman" w:hAnsi="Times New Roman"/>
                <w:i/>
                <w:sz w:val="16"/>
                <w:vertAlign w:val="subscript"/>
              </w:rPr>
              <w:t>dr</w:t>
            </w:r>
            <w:r>
              <w:rPr>
                <w:rFonts w:ascii="Times New Roman" w:hAnsi="Times New Roman"/>
                <w:i/>
                <w:sz w:val="16"/>
              </w:rPr>
              <w:t>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w:t>
            </w:r>
            <w:r>
              <w:rPr>
                <w:rFonts w:ascii="Times New Roman" w:hAnsi="Times New Roman"/>
                <w:i/>
                <w:sz w:val="16"/>
                <w:vertAlign w:val="subscript"/>
              </w:rPr>
              <w:t>dr</w:t>
            </w:r>
            <w:r>
              <w:rPr>
                <w:rFonts w:ascii="Times New Roman" w:hAnsi="Times New Roman"/>
                <w:i/>
                <w:sz w:val="16"/>
              </w:rPr>
              <w:t>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 xml:space="preserve">Fig. 8. Confirmation operating curves: donor recall versus fragment-level FP over </w:t>
      </w:r>
      <w:r>
        <w:rPr>
          <w:i/>
          <w:sz w:val="19"/>
        </w:rPr>
        <w:t>ρ</w:t>
      </w:r>
      <w:r>
        <w:rPr>
          <w:sz w:val="19"/>
        </w:rPr>
        <w:t>,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w:t>
      </w:r>
      <w:r>
        <w:rPr>
          <w:i/>
          <w:sz w:val="19"/>
        </w:rPr>
        <w:t>C</w:t>
      </w:r>
      <w:r>
        <w:rPr>
          <w:sz w:val="19"/>
        </w:rPr>
        <w:t xml:space="preserve">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w:t>
      </w:r>
      <w:r>
        <w:rPr>
          <w:i/>
        </w:rPr>
        <w:t>X</w:t>
      </w:r>
      <w:r>
        <w:t xml:space="preserve">):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|A ∩ </w:t>
      </w:r>
      <w:r>
        <w:rPr>
          <w:i/>
        </w:rPr>
        <w:t>B</w:t>
      </w:r>
      <w:r>
        <w:t>| / min(|A|, |</w:t>
      </w:r>
      <w:r>
        <w:rPr>
          <w:i/>
        </w:rPr>
        <w:t>B</w:t>
      </w:r>
      <w:r>
        <w:t xml:space="preserve">|),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w:t>
      </w:r>
      <w:r>
        <w:rPr>
          <w:i/>
        </w:rPr>
        <w:t>X</w:t>
      </w:r>
      <w:r>
        <w:t xml:space="preserve"> is that no re-tuning of Jaccard-band geometry reaches the screen's recall, and containment estimators trade that impasse for variance rather than resolving it.</w:t>
      </w:r>
    </w:p>
    <w:p>
      <w:pPr>
        <w:pStyle w:val="TableTitle"/>
        <w:keepNext/>
      </w:pPr>
      <w:r>
        <w:t xml:space="preserve">TABLE </w:t>
      </w:r>
      <w:r>
        <w:rPr>
          <w:i/>
        </w:rPr>
        <w:t>X</w:t>
      </w:r>
      <w:r>
        <w:t>.</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 xml:space="preserve">Fig. 11. The containment-versus-Jaccard geometry behind Table </w:t>
      </w:r>
      <w:r>
        <w:rPr>
          <w:i/>
          <w:sz w:val="19"/>
        </w:rPr>
        <w:t>X</w:t>
      </w:r>
      <w:r>
        <w:rPr>
          <w:sz w:val="19"/>
        </w:rPr>
        <w:t>. (a) donor Jaccard distribution over the 337 planted cells (quartiles 0.045/0.099/0.200)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9"/>
        </w:rPr>
        <w:t>λ</w:t>
      </w:r>
      <w:r>
        <w:rPr>
          <w:sz w:val="19"/>
        </w:rPr>
        <w:t xml:space="preserve"> = 0 / </w:t>
      </w:r>
      <w:r>
        <w:rPr>
          <w:i/>
          <w:sz w:val="19"/>
        </w:rPr>
        <w:t>λ</w:t>
      </w:r>
      <w:r>
        <w:rPr>
          <w:sz w:val="19"/>
        </w:rPr>
        <w:t xml:space="preserve">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