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0.045/0.099/0.201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This negative result is what motivates the architecture: the screen's contract must be stated on evidence, not on similarity.</w:t>
      </w:r>
    </w:p>
    <w:p>
      <w:pPr>
        <w:spacing w:after="0"/>
        <w:ind w:firstLine="204"/>
        <w:jc w:val="both"/>
      </w:pPr>
      <w:r>
        <w:t>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w:t>
      </w:r>
      <w:r>
        <w:rPr>
          <w:i/>
        </w:rPr>
        <w:t>C</w:t>
      </w:r>
      <w:r>
        <w:t xml:space="preserve">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w:t>
      </w:r>
      <w:r>
        <w:rPr>
          <w:i/>
          <w:sz w:val="19"/>
        </w:rPr>
        <w:t>ρ</w:t>
      </w:r>
      <w:r>
        <w:rPr>
          <w:sz w:val="19"/>
        </w:rPr>
        <w:t xml:space="preserve"> = 0.62 ≥ 0.5)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w:t>
      </w:r>
      <w:r>
        <w:rPr>
          <w:i/>
        </w:rPr>
        <w:t>C</w:t>
      </w:r>
      <w:r>
        <w:t xml:space="preserve">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 xml:space="preserve">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w:t>
      </w:r>
      <w:r>
        <w:rPr>
          <w:i/>
        </w:rPr>
        <w:t>k</w:t>
      </w:r>
      <w:r>
        <w:t xml:space="preserve"> aggregation [33] maintain a partial-score bound under which no unseen candidate can qualify, and branch-and-bound search [34] carries an admissible estimate of everything not yet explored. Theorem 1 transfers this contract to tolerant item-set evidence: because every unprocessed position can contribute at most one to any piece, </w:t>
      </w:r>
      <w:r>
        <w:rPr>
          <w:i/>
        </w:rPr>
        <w:t>score_u(P)</w:t>
      </w:r>
      <w:r>
        <w:t xml:space="preserve"> + (</w:t>
      </w:r>
      <w:r>
        <w:rPr>
          <w:i/>
        </w:rPr>
        <w:t>q</w:t>
      </w:r>
      <w:r>
        <w:t xml:space="preserve"> − </w:t>
      </w:r>
      <w:r>
        <w:rPr>
          <w:i/>
        </w:rPr>
        <w:t>u</w:t>
      </w:r>
      <w:r>
        <w:t>)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 xml:space="preserve">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w:t>
      </w:r>
      <w:r>
        <w:rPr>
          <w:i/>
          <w:sz w:val="19"/>
        </w:rPr>
        <w:t>ρ</w:t>
      </w:r>
      <w:r>
        <w:rPr>
          <w:sz w:val="19"/>
        </w:rPr>
        <w:t xml:space="preserve"> = 0.62 ≥ 0.5.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 xml:space="preserve">A piece </w:t>
      </w:r>
      <w:r>
        <w:rPr>
          <w:i/>
        </w:rPr>
        <w:t>P</w:t>
      </w:r>
      <w:r>
        <w:t xml:space="preserve"> = (e₁, …, </w:t>
      </w:r>
      <w:r>
        <w:rPr>
          <w:i/>
        </w:rPr>
        <w:t>e_n</w:t>
      </w:r>
      <w:r>
        <w:t xml:space="preserve">) is a sequence of note events </w:t>
      </w:r>
      <w:r>
        <w:rPr>
          <w:i/>
        </w:rPr>
        <w:t>e_i</w:t>
      </w:r>
      <w:r>
        <w:t xml:space="preserve"> = (</w:t>
      </w:r>
      <w:r>
        <w:rPr>
          <w:i/>
        </w:rPr>
        <w:t>t_i</w:t>
      </w:r>
      <w:r>
        <w:t xml:space="preserve">, </w:t>
      </w:r>
      <w:r>
        <w:rPr>
          <w:i/>
        </w:rPr>
        <w:t>p_i</w:t>
      </w:r>
      <w:r>
        <w:t xml:space="preserve">, </w:t>
      </w:r>
      <w:r>
        <w:rPr>
          <w:i/>
        </w:rPr>
        <w:t>d_i</w:t>
      </w:r>
      <w:r>
        <w:t xml:space="preserve">, </w:t>
      </w:r>
      <w:r>
        <w:rPr>
          <w:i/>
        </w:rPr>
        <w:t>v_i</w:t>
      </w:r>
      <w:r>
        <w:t xml:space="preserve">): onset time, MIDI pitch, duration, and velocity. An encoding </w:t>
      </w:r>
      <w:r>
        <w:rPr>
          <w:i/>
        </w:rPr>
        <w:t>φ</w:t>
      </w:r>
      <w:r>
        <w:t xml:space="preserve"> maps each event to an item, a tuple of quantized features (Section III-B); the item set </w:t>
      </w:r>
      <w:r>
        <w:rPr>
          <w:i/>
        </w:rPr>
        <w:t>S(P)</w:t>
      </w:r>
      <w:r>
        <w:t xml:space="preserve"> = ∪_i {</w:t>
      </w:r>
      <w:r>
        <w:rPr>
          <w:i/>
        </w:rPr>
        <w:t>φ</w:t>
      </w:r>
      <w:r>
        <w:t>(</w:t>
      </w:r>
      <w:r>
        <w:rPr>
          <w:i/>
        </w:rPr>
        <w:t>e_i</w:t>
      </w:r>
      <w:r>
        <w:t xml:space="preserve">)} discards order and repetition. For tolerance vector </w:t>
      </w:r>
      <w:r>
        <w:rPr>
          <w:i/>
        </w:rPr>
        <w:t>k</w:t>
      </w:r>
      <w:r>
        <w:t xml:space="preserve"> = (</w:t>
      </w:r>
      <w:r>
        <w:rPr>
          <w:i/>
        </w:rPr>
        <w:t>k_pitch</w:t>
      </w:r>
      <w:r>
        <w:t xml:space="preserve">, </w:t>
      </w:r>
      <w:r>
        <w:rPr>
          <w:i/>
        </w:rPr>
        <w:t>k_bin</w:t>
      </w:r>
      <w:r>
        <w:t xml:space="preserve">, </w:t>
      </w:r>
      <w:r>
        <w:rPr>
          <w:i/>
        </w:rPr>
        <w:t>k_vel</w:t>
      </w:r>
      <w:r>
        <w:t xml:space="preserve">), the neighborhood </w:t>
      </w:r>
      <w:r>
        <w:rPr>
          <w:i/>
        </w:rPr>
        <w:t>N_k(x)</w:t>
      </w:r>
      <w:r>
        <w:t xml:space="preserve"> of an item x is the set of items whose pitch differs by at most </w:t>
      </w:r>
      <w:r>
        <w:rPr>
          <w:i/>
        </w:rPr>
        <w:t>k_pitch</w:t>
      </w:r>
      <w:r>
        <w:t xml:space="preserve"> semitones and whose duration, inter-onset interval (IOI), and velocity bins differ by at most </w:t>
      </w:r>
      <w:r>
        <w:rPr>
          <w:i/>
        </w:rPr>
        <w:t>k_bin</w:t>
      </w:r>
      <w:r>
        <w:t xml:space="preserve"> and </w:t>
      </w:r>
      <w:r>
        <w:rPr>
          <w:i/>
        </w:rPr>
        <w:t>k_vel</w:t>
      </w:r>
      <w:r>
        <w:t xml:space="preserve"> bins respectively. A planted copy of a span </w:t>
      </w:r>
      <w:r>
        <w:rPr>
          <w:i/>
        </w:rPr>
        <w:t>X</w:t>
      </w:r>
      <w:r>
        <w:t xml:space="preserve"> is produced by transforming every event of </w:t>
      </w:r>
      <w:r>
        <w:rPr>
          <w:i/>
        </w:rPr>
        <w:t>X</w:t>
      </w:r>
      <w:r>
        <w:t xml:space="preserve"> with one of the six families of Section IV; the declared screen tolerance </w:t>
      </w:r>
      <w:r>
        <w:rPr>
          <w:i/>
        </w:rPr>
        <w:t>k</w:t>
      </w:r>
      <w:r>
        <w:t xml:space="preserve"> = (2, 1, 1) covers all families except transposition beyond ±2 semitones and transcription jitter beyond ±1 bin, which the interval-sketch index of Section III-B handles separately.</w:t>
      </w:r>
    </w:p>
    <w:p>
      <w:pPr>
        <w:spacing w:after="0"/>
        <w:ind w:firstLine="204"/>
        <w:jc w:val="both"/>
      </w:pPr>
      <w:r>
        <w:t xml:space="preserve">Problem. Given a corpus D = {P₁, …, P_N} and a query fragment </w:t>
      </w:r>
      <w:r>
        <w:rPr>
          <w:i/>
        </w:rPr>
        <w:t>q</w:t>
      </w:r>
      <w:r>
        <w:t xml:space="preserve">, return a ranked candidate list with per-candidate evidence such that (completeness) every piece that shares with </w:t>
      </w:r>
      <w:r>
        <w:rPr>
          <w:i/>
        </w:rPr>
        <w:t>q</w:t>
      </w:r>
      <w:r>
        <w:t xml:space="preserve">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 xml:space="preserve">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 xml:space="preserve">The corpus index is an inverted index from item to sorted piece-ID lists, built once in a linear pass (each piece contributes </w:t>
      </w:r>
      <w:r>
        <w:rPr>
          <w:i/>
        </w:rPr>
        <w:t>|S(P)|</w:t>
      </w:r>
      <w:r>
        <w:t xml:space="preserve"> postings). Build time and memory grow linearly with corpus size (Fig. 3, Table 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 xml:space="preserve">Theorem 1 (evidence lower bound). Let </w:t>
      </w:r>
      <w:r>
        <w:rPr>
          <w:i/>
        </w:rPr>
        <w:t>q</w:t>
      </w:r>
      <w:r>
        <w:t xml:space="preserve"> have </w:t>
      </w:r>
      <w:r>
        <w:rPr>
          <w:i/>
        </w:rPr>
        <w:t>q</w:t>
      </w:r>
      <w:r>
        <w:t xml:space="preserve"> positions, processed in any order, and let </w:t>
      </w:r>
      <w:r>
        <w:rPr>
          <w:i/>
        </w:rPr>
        <w:t>score_u(P)</w:t>
      </w:r>
      <w:r>
        <w:t xml:space="preserve"> be piece </w:t>
      </w:r>
      <w:r>
        <w:rPr>
          <w:i/>
        </w:rPr>
        <w:t>P</w:t>
      </w:r>
      <w:r>
        <w:t xml:space="preserve">'s tolerant score after </w:t>
      </w:r>
      <w:r>
        <w:rPr>
          <w:i/>
        </w:rPr>
        <w:t>u</w:t>
      </w:r>
      <w:r>
        <w:t xml:space="preserve"> positions. For every piece </w:t>
      </w:r>
      <w:r>
        <w:rPr>
          <w:i/>
        </w:rPr>
        <w:t>P</w:t>
      </w:r>
      <w:r>
        <w:t xml:space="preserve"> whose copied span deviates within tolerance at every position, </w:t>
      </w:r>
      <w:r>
        <w:rPr>
          <w:i/>
        </w:rPr>
        <w:t>score_u(P)</w:t>
      </w:r>
      <w:r>
        <w:t xml:space="preserve"> + (</w:t>
      </w:r>
      <w:r>
        <w:rPr>
          <w:i/>
        </w:rPr>
        <w:t>q</w:t>
      </w:r>
      <w:r>
        <w:t xml:space="preserve"> − </w:t>
      </w:r>
      <w:r>
        <w:rPr>
          <w:i/>
        </w:rPr>
        <w:t>u</w:t>
      </w:r>
      <w:r>
        <w:t xml:space="preserve">) ≥ </w:t>
      </w:r>
      <w:r>
        <w:rPr>
          <w:i/>
        </w:rPr>
        <w:t>score_q(P)</w:t>
      </w:r>
      <w:r>
        <w:t xml:space="preserve">, and the open set </w:t>
      </w:r>
      <w:r>
        <w:rPr>
          <w:i/>
        </w:rPr>
        <w:t>O_u</w:t>
      </w:r>
      <w:r>
        <w:t xml:space="preserve"> = {</w:t>
      </w:r>
      <w:r>
        <w:rPr>
          <w:i/>
        </w:rPr>
        <w:t>P</w:t>
      </w:r>
      <w:r>
        <w:t xml:space="preserve"> : </w:t>
      </w:r>
      <w:r>
        <w:rPr>
          <w:i/>
        </w:rPr>
        <w:t>score_u(P)</w:t>
      </w:r>
      <w:r>
        <w:t xml:space="preserve"> + (</w:t>
      </w:r>
      <w:r>
        <w:rPr>
          <w:i/>
        </w:rPr>
        <w:t>q</w:t>
      </w:r>
      <w:r>
        <w:t xml:space="preserve"> − </w:t>
      </w:r>
      <w:r>
        <w:rPr>
          <w:i/>
        </w:rPr>
        <w:t>u</w:t>
      </w:r>
      <w:r>
        <w:t xml:space="preserve">) ≥ </w:t>
      </w:r>
      <w:r>
        <w:rPr>
          <w:i/>
        </w:rPr>
        <w:t>τ</w:t>
      </w:r>
      <w:r>
        <w:t xml:space="preserve">} is exactly the set of pieces that can still contain such a copy at threshold </w:t>
      </w:r>
      <w:r>
        <w:rPr>
          <w:i/>
        </w:rPr>
        <w:t>τ</w:t>
      </w:r>
      <w:r>
        <w:t xml:space="preserve">. Proof sketch: a tolerated deviation maps position </w:t>
      </w:r>
      <w:r>
        <w:rPr>
          <w:i/>
        </w:rPr>
        <w:t>i</w:t>
      </w:r>
      <w:r>
        <w:t xml:space="preserve">'s item into </w:t>
      </w:r>
      <w:r>
        <w:rPr>
          <w:i/>
        </w:rPr>
        <w:t>N_k</w:t>
      </w:r>
      <w:r>
        <w:t xml:space="preserve">, so each position of a true copy contributes at least as much as a verbatim position; unprocessed positions can contribute at most one each. Hence a piece outside </w:t>
      </w:r>
      <w:r>
        <w:rPr>
          <w:i/>
        </w:rPr>
        <w:t>O_u</w:t>
      </w:r>
      <w:r>
        <w:t xml:space="preserve"> cannot be a copy, and no piece inside </w:t>
      </w:r>
      <w:r>
        <w:rPr>
          <w:i/>
        </w:rPr>
        <w:t>O_u</w:t>
      </w:r>
      <w:r>
        <w:t xml:space="preserve"> can be excluded yet. ∎</w:t>
      </w:r>
    </w:p>
    <w:p>
      <w:pPr>
        <w:spacing w:after="0"/>
        <w:ind w:firstLine="204"/>
        <w:jc w:val="both"/>
      </w:pPr>
      <w:r>
        <w:t xml:space="preserve">Two consequences matter operationally. First, the recall contract is auditable per query: measuring donor score ≥ bound on adversarial cells verifies it cell by cell (Section V-B). Second, the anytime contract is sound: after any budget prefix, the best partial answer plus </w:t>
      </w:r>
      <w:r>
        <w:rPr>
          <w:i/>
        </w:rPr>
        <w:t>O_u</w:t>
      </w:r>
      <w:r>
        <w:t xml:space="preserve"> is a complete description of the search state, so interruption never loses a certified answer. Rare-first ordering greedily minimizes the growth of </w:t>
      </w:r>
      <w:r>
        <w:rPr>
          <w:i/>
        </w:rPr>
        <w:t>|O_u|</w:t>
      </w:r>
      <w:r>
        <w:t>,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 xml:space="preserve">Complexity. Index construction is </w:t>
      </w:r>
      <w:r>
        <w:t>O(</w:t>
      </w:r>
      <w:r>
        <w:rPr>
          <w:i/>
        </w:rPr>
        <w:t>Σ_P |S(P</w:t>
      </w:r>
      <w:r>
        <w:t>)</w:t>
      </w:r>
      <w:r>
        <w:t xml:space="preserve">|). A query touches, per position, the posting lists of all items in </w:t>
      </w:r>
      <w:r>
        <w:rPr>
          <w:i/>
        </w:rPr>
        <w:t>N_k</w:t>
      </w:r>
      <w:r>
        <w:t xml:space="preserve">, so query cost grows with the length of the evidence and with the vocabulary mass inside the query's tolerance neighborhood, and grows with corpus size only through longer posting lists; the open set is maintained in a Fenwick structure over piece IDs, giving </w:t>
      </w:r>
      <w:r>
        <w:t>O(</w:t>
      </w:r>
      <w:r>
        <w:rPr>
          <w:i/>
        </w:rPr>
        <w:t>log N</w:t>
      </w:r>
      <w:r>
        <w:t>)</w:t>
      </w:r>
      <w:r>
        <w:t xml:space="preserve"> updates and an exact </w:t>
      </w:r>
      <w:r>
        <w:rPr>
          <w:i/>
        </w:rPr>
        <w:t>|O_u|</w:t>
      </w:r>
      <w:r>
        <w:t xml:space="preserve"> readout after every position. Measured end to end, the index builds in 24.747 s and queries run at p50 = 41.94 ms on the full 174,300-piece corpus (Table I).</w:t>
      </w:r>
    </w:p>
    <w:p>
      <w:pPr>
        <w:pStyle w:val="Heading2"/>
      </w:pPr>
      <w:r>
        <w:t>D. L2/L3: re-ranking and structural confirmation</w:t>
      </w:r>
    </w:p>
    <w:p>
      <w:pPr>
        <w:spacing w:after="0"/>
        <w:ind w:firstLine="204"/>
        <w:jc w:val="both"/>
      </w:pPr>
      <w:r>
        <w:t>The screen is deliberately permissive; verbatim counts re-rank its survivors, and the top-</w:t>
      </w:r>
      <w:r>
        <w:rPr>
          <w:i/>
        </w:rPr>
        <w:t>C</w:t>
      </w:r>
      <w:r>
        <w:t xml:space="preserve">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w:t>
      </w:r>
      <w:r>
        <w:rPr>
          <w:i/>
        </w:rPr>
        <w:t>j</w:t>
      </w:r>
      <w:r>
        <w:t xml:space="preserve"> − </w:t>
      </w:r>
      <w:r>
        <w:rPr>
          <w:i/>
        </w:rPr>
        <w:t>i</w:t>
      </w:r>
      <w:r>
        <w:t xml:space="preserve">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 xml:space="preserve">The dynamic program runs inside the anchor-constrained window, so its cost is </w:t>
      </w:r>
      <w:r>
        <w:t>O(</w:t>
      </w:r>
      <w:r>
        <w:rPr>
          <w:i/>
        </w:rPr>
        <w:t>W·m</w:t>
      </w:r>
      <w:r>
        <w:t>)</w:t>
      </w:r>
      <w:r>
        <w:t xml:space="preserve"> for window </w:t>
      </w:r>
      <w:r>
        <w:rPr>
          <w:i/>
        </w:rPr>
        <w:t>W</w:t>
      </w:r>
      <w:r>
        <w:t xml:space="preserve"> and </w:t>
      </w:r>
      <w:r>
        <w:rPr>
          <w:i/>
        </w:rPr>
        <w:t>m</w:t>
      </w:r>
      <w:r>
        <w:t xml:space="preserve"> anchors, with a traceback that recovers the chain itself. A candidate is confirmed when the best chain reaches </w:t>
      </w:r>
      <w:r>
        <w:rPr>
          <w:i/>
        </w:rPr>
        <w:t>ρ</w:t>
      </w:r>
      <w:r>
        <w:t xml:space="preserve">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[2], and n-gram Jaccard (Section V-A); FIM engines from our prior work [31], [32]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II summarizes the production configuration used unless a section states otherwise; the ablations of Section V-F justify each choice.</w:t>
      </w:r>
    </w:p>
    <w:p>
      <w:pPr>
        <w:pStyle w:val="TableTitle"/>
        <w:keepNext/>
      </w:pPr>
      <w:r>
        <w:t>TABLE II.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sz w:val="16"/>
              </w:rPr>
              <w:t>Quantization grid</w:t>
            </w:r>
          </w:p>
        </w:tc>
        <w:tc>
          <w:tcPr>
            <w:tcW w:type="dxa" w:w="3456"/>
          </w:tcPr>
          <w:p>
            <w:pPr>
              <w:keepNext/>
              <w:jc w:val="center"/>
            </w:pPr>
            <w:r/>
            <w:r>
              <w:rPr>
                <w:rFonts w:ascii="Times New Roman" w:hAnsi="Times New Roman"/>
                <w:sz w:val="16"/>
              </w:rPr>
              <w:t>125 ms (tpb = 8)</w:t>
            </w:r>
          </w:p>
        </w:tc>
        <w:tc>
          <w:tcPr>
            <w:tcW w:type="dxa" w:w="3456"/>
          </w:tcPr>
          <w:p>
            <w:pPr>
              <w:keepNext/>
              <w:jc w:val="center"/>
            </w:pPr>
            <w:r/>
            <w:r>
              <w:rPr>
                <w:rFonts w:ascii="Times New Roman" w:hAnsi="Times New Roman"/>
                <w:sz w:val="16"/>
              </w:rPr>
              <w:t>event-encoding bin for all four features</w:t>
            </w:r>
          </w:p>
        </w:tc>
      </w:tr>
      <w:tr>
        <w:trPr>
          <w:cantSplit/>
        </w:trPr>
        <w:tc>
          <w:tcPr>
            <w:tcW w:type="dxa" w:w="3456"/>
          </w:tcPr>
          <w:p>
            <w:pPr>
              <w:keepNext/>
              <w:jc w:val="left"/>
            </w:pPr>
            <w:r/>
            <w:r>
              <w:rPr>
                <w:rFonts w:ascii="Times New Roman" w:hAnsi="Times New Roman"/>
                <w:sz w:val="16"/>
              </w:rPr>
              <w:t xml:space="preserve">Screen tolerance </w:t>
            </w:r>
            <w:r>
              <w:rPr>
                <w:rFonts w:ascii="Times New Roman" w:hAnsi="Times New Roman"/>
                <w:i/>
                <w:sz w:val="16"/>
              </w:rPr>
              <w:t>k</w:t>
            </w:r>
          </w:p>
        </w:tc>
        <w:tc>
          <w:tcPr>
            <w:tcW w:type="dxa" w:w="3456"/>
          </w:tcPr>
          <w:p>
            <w:pPr>
              <w:keepNext/>
              <w:jc w:val="center"/>
            </w:pPr>
            <w:r/>
            <w:r>
              <w:rPr>
                <w:rFonts w:ascii="Times New Roman" w:hAnsi="Times New Roman"/>
                <w:sz w:val="16"/>
              </w:rPr>
              <w:t>(2, 1, 1)</w:t>
            </w:r>
          </w:p>
        </w:tc>
        <w:tc>
          <w:tcPr>
            <w:tcW w:type="dxa" w:w="3456"/>
          </w:tcPr>
          <w:p>
            <w:pPr>
              <w:keepNext/>
              <w:jc w:val="center"/>
            </w:pPr>
            <w:r/>
            <w:r>
              <w:rPr>
                <w:rFonts w:ascii="Times New Roman" w:hAnsi="Times New Roman"/>
                <w:sz w:val="16"/>
              </w:rPr>
              <w:t>pitch ±2 st; duration/IOI ±1 bin; velocity ±1 bin</w:t>
            </w:r>
          </w:p>
        </w:tc>
      </w:tr>
      <w:tr>
        <w:trPr>
          <w:cantSplit/>
        </w:trPr>
        <w:tc>
          <w:tcPr>
            <w:tcW w:type="dxa" w:w="3456"/>
          </w:tcPr>
          <w:p>
            <w:pPr>
              <w:keepNext/>
              <w:jc w:val="left"/>
            </w:pPr>
            <w:r/>
            <w:r>
              <w:rPr>
                <w:rFonts w:ascii="Times New Roman" w:hAnsi="Times New Roman"/>
                <w:sz w:val="16"/>
              </w:rPr>
              <w:t xml:space="preserve">Evidence threshold </w:t>
            </w:r>
            <w:r>
              <w:rPr>
                <w:rFonts w:ascii="Times New Roman" w:hAnsi="Times New Roman"/>
                <w:i/>
                <w:sz w:val="16"/>
              </w:rPr>
              <w:t>τ</w:t>
            </w:r>
          </w:p>
        </w:tc>
        <w:tc>
          <w:tcPr>
            <w:tcW w:type="dxa" w:w="3456"/>
          </w:tcPr>
          <w:p>
            <w:pPr>
              <w:keepNext/>
              <w:jc w:val="center"/>
            </w:pPr>
            <w:r/>
            <w:r>
              <w:rPr>
                <w:rFonts w:ascii="Times New Roman" w:hAnsi="Times New Roman"/>
                <w:i/>
                <w:sz w:val="16"/>
              </w:rPr>
              <w:t>⌊0.5·|S(q)|⌋</w:t>
            </w:r>
          </w:p>
        </w:tc>
        <w:tc>
          <w:tcPr>
            <w:tcW w:type="dxa" w:w="3456"/>
          </w:tcPr>
          <w:p>
            <w:pPr>
              <w:keepNext/>
              <w:jc w:val="center"/>
            </w:pPr>
            <w:r/>
            <w:r>
              <w:rPr>
                <w:rFonts w:ascii="Times New Roman" w:hAnsi="Times New Roman"/>
                <w:sz w:val="16"/>
              </w:rPr>
              <w:t>screen acceptance per query</w:t>
            </w:r>
          </w:p>
        </w:tc>
      </w:tr>
      <w:tr>
        <w:trPr>
          <w:cantSplit/>
        </w:trPr>
        <w:tc>
          <w:tcPr>
            <w:tcW w:type="dxa" w:w="3456"/>
          </w:tcPr>
          <w:p>
            <w:pPr>
              <w:keepNext/>
              <w:jc w:val="left"/>
            </w:pPr>
            <w:r/>
            <w:r>
              <w:rPr>
                <w:rFonts w:ascii="Times New Roman" w:hAnsi="Times New Roman"/>
                <w:sz w:val="16"/>
              </w:rPr>
              <w:t>Confirm tolerance</w:t>
            </w:r>
          </w:p>
        </w:tc>
        <w:tc>
          <w:tcPr>
            <w:tcW w:type="dxa" w:w="3456"/>
          </w:tcPr>
          <w:p>
            <w:pPr>
              <w:keepNext/>
              <w:jc w:val="center"/>
            </w:pPr>
            <w:r/>
            <w:r>
              <w:rPr>
                <w:rFonts w:ascii="Times New Roman" w:hAnsi="Times New Roman"/>
                <w:sz w:val="16"/>
              </w:rPr>
              <w:t>(1, 0, 0)</w:t>
            </w:r>
          </w:p>
        </w:tc>
        <w:tc>
          <w:tcPr>
            <w:tcW w:type="dxa" w:w="3456"/>
          </w:tcPr>
          <w:p>
            <w:pPr>
              <w:keepNext/>
              <w:jc w:val="center"/>
            </w:pPr>
            <w:r/>
            <w:r>
              <w:rPr>
                <w:rFonts w:ascii="Times New Roman" w:hAnsi="Times New Roman"/>
                <w:sz w:val="16"/>
              </w:rPr>
              <w:t>pitch ±1 st; duration/IOI/velocity exact bins</w:t>
            </w:r>
          </w:p>
        </w:tc>
      </w:tr>
      <w:tr>
        <w:trPr>
          <w:cantSplit/>
        </w:trPr>
        <w:tc>
          <w:tcPr>
            <w:tcW w:type="dxa" w:w="3456"/>
          </w:tcPr>
          <w:p>
            <w:pPr>
              <w:keepNext/>
              <w:jc w:val="left"/>
            </w:pPr>
            <w:r/>
            <w:r>
              <w:rPr>
                <w:rFonts w:ascii="Times New Roman" w:hAnsi="Times New Roman"/>
                <w:sz w:val="16"/>
              </w:rPr>
              <w:t xml:space="preserve">Contiguity </w:t>
            </w:r>
            <w:r>
              <w:rPr>
                <w:rFonts w:ascii="Times New Roman" w:hAnsi="Times New Roman"/>
                <w:i/>
                <w:sz w:val="16"/>
              </w:rPr>
              <w:t>ρ</w:t>
            </w:r>
          </w:p>
        </w:tc>
        <w:tc>
          <w:tcPr>
            <w:tcW w:type="dxa" w:w="3456"/>
          </w:tcPr>
          <w:p>
            <w:pPr>
              <w:keepNext/>
              <w:jc w:val="center"/>
            </w:pPr>
            <w:r/>
            <w:r>
              <w:rPr>
                <w:rFonts w:ascii="Times New Roman" w:hAnsi="Times New Roman"/>
                <w:sz w:val="16"/>
              </w:rPr>
              <w:t>0.5 (0.4 high-recall)</w:t>
            </w:r>
          </w:p>
        </w:tc>
        <w:tc>
          <w:tcPr>
            <w:tcW w:type="dxa" w:w="3456"/>
          </w:tcPr>
          <w:p>
            <w:pPr>
              <w:keepNext/>
              <w:jc w:val="center"/>
            </w:pPr>
            <w:r/>
            <w:r>
              <w:rPr>
                <w:rFonts w:ascii="Times New Roman" w:hAnsi="Times New Roman"/>
                <w:sz w:val="16"/>
              </w:rPr>
              <w:t xml:space="preserve">confirmation acceptance, </w:t>
            </w:r>
            <w:r>
              <w:rPr>
                <w:rFonts w:ascii="Times New Roman" w:hAnsi="Times New Roman"/>
                <w:i/>
                <w:sz w:val="16"/>
              </w:rPr>
              <w:t>|chain|</w:t>
            </w:r>
            <w:r>
              <w:rPr>
                <w:rFonts w:ascii="Times New Roman" w:hAnsi="Times New Roman"/>
                <w:sz w:val="16"/>
              </w:rPr>
              <w:t xml:space="preserve"> ≥ </w:t>
            </w:r>
            <w:r>
              <w:rPr>
                <w:rFonts w:ascii="Times New Roman" w:hAnsi="Times New Roman"/>
                <w:i/>
                <w:sz w:val="16"/>
              </w:rPr>
              <w:t>ρ</w:t>
            </w:r>
            <w:r>
              <w:rPr>
                <w:rFonts w:ascii="Times New Roman" w:hAnsi="Times New Roman"/>
                <w:sz w:val="16"/>
              </w:rPr>
              <w:t>·</w:t>
            </w:r>
            <w:r>
              <w:rPr>
                <w:rFonts w:ascii="Times New Roman" w:hAnsi="Times New Roman"/>
                <w:i/>
                <w:sz w:val="16"/>
              </w:rPr>
              <w:t>q</w:t>
            </w:r>
          </w:p>
        </w:tc>
      </w:tr>
      <w:tr>
        <w:trPr>
          <w:cantSplit/>
        </w:trPr>
        <w:tc>
          <w:tcPr>
            <w:tcW w:type="dxa" w:w="3456"/>
          </w:tcPr>
          <w:p>
            <w:pPr>
              <w:keepNext/>
              <w:jc w:val="left"/>
            </w:pPr>
            <w:r/>
            <w:r>
              <w:rPr>
                <w:rFonts w:ascii="Times New Roman" w:hAnsi="Times New Roman"/>
                <w:sz w:val="16"/>
              </w:rPr>
              <w:t>Top-</w:t>
            </w:r>
            <w:r>
              <w:rPr>
                <w:rFonts w:ascii="Times New Roman" w:hAnsi="Times New Roman"/>
                <w:i/>
                <w:sz w:val="16"/>
              </w:rPr>
              <w:t>C</w:t>
            </w:r>
          </w:p>
        </w:tc>
        <w:tc>
          <w:tcPr>
            <w:tcW w:type="dxa" w:w="3456"/>
          </w:tcPr>
          <w:p>
            <w:pPr>
              <w:keepNext/>
              <w:jc w:val="center"/>
            </w:pPr>
            <w:r/>
            <w:r>
              <w:rPr>
                <w:rFonts w:ascii="Times New Roman" w:hAnsi="Times New Roman"/>
                <w:sz w:val="16"/>
              </w:rPr>
              <w:t>50 (20 ablated)</w:t>
            </w:r>
          </w:p>
        </w:tc>
        <w:tc>
          <w:tcPr>
            <w:tcW w:type="dxa" w:w="3456"/>
          </w:tcPr>
          <w:p>
            <w:pPr>
              <w:keepNext/>
              <w:jc w:val="center"/>
            </w:pPr>
            <w:r/>
            <w:r>
              <w:rPr>
                <w:rFonts w:ascii="Times New Roman" w:hAnsi="Times New Roman"/>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sz w:val="16"/>
              </w:rPr>
              <w:t xml:space="preserve">Anytime budget </w:t>
            </w:r>
            <w:r>
              <w:rPr>
                <w:rFonts w:ascii="Times New Roman" w:hAnsi="Times New Roman"/>
                <w:i/>
                <w:sz w:val="16"/>
              </w:rPr>
              <w:t>B</w:t>
            </w:r>
          </w:p>
        </w:tc>
        <w:tc>
          <w:tcPr>
            <w:tcW w:type="dxa" w:w="3456"/>
            <w:tcBorders>
              <w:bottom w:val="single" w:sz="12" w:color="000000"/>
            </w:tcBorders>
          </w:tcPr>
          <w:p>
            <w:pPr>
              <w:jc w:val="center"/>
            </w:pPr>
            <w:r/>
            <w:r>
              <w:rPr>
                <w:rFonts w:ascii="Times New Roman" w:hAnsi="Times New Roman"/>
                <w:sz w:val="16"/>
              </w:rPr>
              <w:t>full (half ablated)</w:t>
            </w:r>
          </w:p>
        </w:tc>
        <w:tc>
          <w:tcPr>
            <w:tcW w:type="dxa" w:w="3456"/>
            <w:tcBorders>
              <w:bottom w:val="single" w:sz="12" w:color="000000"/>
            </w:tcBorders>
          </w:tcPr>
          <w:p>
            <w:pPr>
              <w:jc w:val="center"/>
            </w:pPr>
            <w:r/>
            <w:r>
              <w:rPr>
                <w:rFonts w:ascii="Times New Roman" w:hAnsi="Times New Roman"/>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 xml:space="preserve">Fig. 3 reports scaling on subsampled corpora and Table 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w:t>
      </w:r>
      <w:r>
        <w:rPr>
          <w:i/>
        </w:rPr>
        <w:t>τ</w:t>
      </w:r>
      <w:r>
        <w:t xml:space="preserve"> = 0.10; identical at </w:t>
      </w:r>
      <w:r>
        <w:rPr>
          <w:i/>
        </w:rPr>
        <w:t>τ</w:t>
      </w:r>
      <w:r>
        <w:t xml:space="preserve">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w:t>
      </w:r>
      <w:r>
        <w:rPr>
          <w:i/>
        </w:rPr>
        <w:t>N</w:t>
      </w:r>
      <w:r>
        <w:t>=300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w:t>
      </w:r>
    </w:p>
    <w:p>
      <w:pPr>
        <w:pStyle w:val="TableTitle"/>
        <w:keepNext/>
      </w:pPr>
      <w:r>
        <w:t xml:space="preserve">Index scaling and baseline feasibility; Jaccard scan infeasible beyond 10,000 pieces; MinHash-LSH (128 permutations, 16 bands x 8 rows, </w:t>
      </w:r>
      <w:r>
        <w:rPr>
          <w:i/>
        </w:rPr>
        <w:t>τ</w:t>
      </w:r>
      <w:r>
        <w:t xml:space="preserve">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sz w:val="16"/>
              </w:rPr>
              <w:t>1,000</w:t>
            </w:r>
          </w:p>
        </w:tc>
        <w:tc>
          <w:tcPr>
            <w:tcW w:type="dxa" w:w="1152"/>
          </w:tcPr>
          <w:p>
            <w:pPr>
              <w:keepNext/>
              <w:jc w:val="center"/>
            </w:pPr>
            <w:r/>
            <w:r>
              <w:rPr>
                <w:rFonts w:ascii="Times New Roman" w:hAnsi="Times New Roman"/>
                <w:sz w:val="16"/>
              </w:rPr>
              <w:t>0.38</w:t>
            </w:r>
          </w:p>
        </w:tc>
        <w:tc>
          <w:tcPr>
            <w:tcW w:type="dxa" w:w="1152"/>
          </w:tcPr>
          <w:p>
            <w:pPr>
              <w:keepNext/>
              <w:jc w:val="center"/>
            </w:pPr>
            <w:r/>
            <w:r>
              <w:rPr>
                <w:rFonts w:ascii="Times New Roman" w:hAnsi="Times New Roman"/>
                <w:sz w:val="16"/>
              </w:rPr>
              <w:t>15</w:t>
            </w:r>
          </w:p>
        </w:tc>
        <w:tc>
          <w:tcPr>
            <w:tcW w:type="dxa" w:w="1152"/>
          </w:tcPr>
          <w:p>
            <w:pPr>
              <w:keepNext/>
              <w:jc w:val="center"/>
            </w:pPr>
            <w:r/>
            <w:r>
              <w:rPr>
                <w:rFonts w:ascii="Times New Roman" w:hAnsi="Times New Roman"/>
                <w:sz w:val="16"/>
              </w:rPr>
              <w:t>0.0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5</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3,000</w:t>
            </w:r>
          </w:p>
        </w:tc>
        <w:tc>
          <w:tcPr>
            <w:tcW w:type="dxa" w:w="1152"/>
          </w:tcPr>
          <w:p>
            <w:pPr>
              <w:keepNext/>
              <w:jc w:val="center"/>
            </w:pPr>
            <w:r/>
            <w:r>
              <w:rPr>
                <w:rFonts w:ascii="Times New Roman" w:hAnsi="Times New Roman"/>
                <w:sz w:val="16"/>
              </w:rPr>
              <w:t>0.71</w:t>
            </w:r>
          </w:p>
        </w:tc>
        <w:tc>
          <w:tcPr>
            <w:tcW w:type="dxa" w:w="1152"/>
          </w:tcPr>
          <w:p>
            <w:pPr>
              <w:keepNext/>
              <w:jc w:val="center"/>
            </w:pPr>
            <w:r/>
            <w:r>
              <w:rPr>
                <w:rFonts w:ascii="Times New Roman" w:hAnsi="Times New Roman"/>
                <w:sz w:val="16"/>
              </w:rPr>
              <w:t>33</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46/46</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10,000</w:t>
            </w:r>
          </w:p>
        </w:tc>
        <w:tc>
          <w:tcPr>
            <w:tcW w:type="dxa" w:w="1152"/>
          </w:tcPr>
          <w:p>
            <w:pPr>
              <w:keepNext/>
              <w:jc w:val="center"/>
            </w:pPr>
            <w:r/>
            <w:r>
              <w:rPr>
                <w:rFonts w:ascii="Times New Roman" w:hAnsi="Times New Roman"/>
                <w:sz w:val="16"/>
              </w:rPr>
              <w:t>8.01</w:t>
            </w:r>
          </w:p>
        </w:tc>
        <w:tc>
          <w:tcPr>
            <w:tcW w:type="dxa" w:w="1152"/>
          </w:tcPr>
          <w:p>
            <w:pPr>
              <w:keepNext/>
              <w:jc w:val="center"/>
            </w:pPr>
            <w:r/>
            <w:r>
              <w:rPr>
                <w:rFonts w:ascii="Times New Roman" w:hAnsi="Times New Roman"/>
                <w:sz w:val="16"/>
              </w:rPr>
              <w:t>77</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25.0</w:t>
            </w:r>
          </w:p>
        </w:tc>
        <w:tc>
          <w:tcPr>
            <w:tcW w:type="dxa" w:w="1152"/>
          </w:tcPr>
          <w:p>
            <w:pPr>
              <w:keepNext/>
              <w:jc w:val="center"/>
            </w:pPr>
            <w:r/>
            <w:r>
              <w:rPr>
                <w:rFonts w:ascii="Times New Roman" w:hAnsi="Times New Roman"/>
                <w:sz w:val="16"/>
              </w:rPr>
              <w:t>42/42</w:t>
            </w:r>
          </w:p>
        </w:tc>
        <w:tc>
          <w:tcPr>
            <w:tcW w:type="dxa" w:w="1152"/>
          </w:tcPr>
          <w:p>
            <w:pPr>
              <w:keepNext/>
              <w:jc w:val="center"/>
            </w:pPr>
            <w:r/>
            <w:r>
              <w:rPr>
                <w:rFonts w:ascii="Times New Roman" w:hAnsi="Times New Roman"/>
                <w:sz w:val="16"/>
              </w:rPr>
              <w:t>238</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25,357</w:t>
            </w:r>
          </w:p>
        </w:tc>
        <w:tc>
          <w:tcPr>
            <w:tcW w:type="dxa" w:w="1152"/>
          </w:tcPr>
          <w:p>
            <w:pPr>
              <w:keepNext/>
              <w:jc w:val="center"/>
            </w:pPr>
            <w:r/>
            <w:r>
              <w:rPr>
                <w:rFonts w:ascii="Times New Roman" w:hAnsi="Times New Roman"/>
                <w:sz w:val="16"/>
              </w:rPr>
              <w:t>3.48</w:t>
            </w:r>
          </w:p>
        </w:tc>
        <w:tc>
          <w:tcPr>
            <w:tcW w:type="dxa" w:w="1152"/>
          </w:tcPr>
          <w:p>
            <w:pPr>
              <w:keepNext/>
              <w:jc w:val="center"/>
            </w:pPr>
            <w:r/>
            <w:r>
              <w:rPr>
                <w:rFonts w:ascii="Times New Roman" w:hAnsi="Times New Roman"/>
                <w:sz w:val="16"/>
              </w:rPr>
              <w:t>178</w:t>
            </w:r>
          </w:p>
        </w:tc>
        <w:tc>
          <w:tcPr>
            <w:tcW w:type="dxa" w:w="1152"/>
          </w:tcPr>
          <w:p>
            <w:pPr>
              <w:keepNext/>
              <w:jc w:val="center"/>
            </w:pPr>
            <w:r/>
            <w:r>
              <w:rPr>
                <w:rFonts w:ascii="Times New Roman" w:hAnsi="Times New Roman"/>
                <w:sz w:val="16"/>
              </w:rPr>
              <w:t>6.0</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48/48</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30,000</w:t>
            </w:r>
          </w:p>
        </w:tc>
        <w:tc>
          <w:tcPr>
            <w:tcW w:type="dxa" w:w="1152"/>
          </w:tcPr>
          <w:p>
            <w:pPr>
              <w:keepNext/>
              <w:jc w:val="center"/>
            </w:pPr>
            <w:r/>
            <w:r>
              <w:rPr>
                <w:rFonts w:ascii="Times New Roman" w:hAnsi="Times New Roman"/>
                <w:sz w:val="16"/>
              </w:rPr>
              <w:t>4.45</w:t>
            </w:r>
          </w:p>
        </w:tc>
        <w:tc>
          <w:tcPr>
            <w:tcW w:type="dxa" w:w="1152"/>
          </w:tcPr>
          <w:p>
            <w:pPr>
              <w:keepNext/>
              <w:jc w:val="center"/>
            </w:pPr>
            <w:r/>
            <w:r>
              <w:rPr>
                <w:rFonts w:ascii="Times New Roman" w:hAnsi="Times New Roman"/>
                <w:sz w:val="16"/>
              </w:rPr>
              <w:t>205</w:t>
            </w:r>
          </w:p>
        </w:tc>
        <w:tc>
          <w:tcPr>
            <w:tcW w:type="dxa" w:w="1152"/>
          </w:tcPr>
          <w:p>
            <w:pPr>
              <w:keepNext/>
              <w:jc w:val="center"/>
            </w:pPr>
            <w:r/>
            <w:r>
              <w:rPr>
                <w:rFonts w:ascii="Times New Roman" w:hAnsi="Times New Roman"/>
                <w:sz w:val="16"/>
              </w:rPr>
              <w:t>7.5</w:t>
            </w:r>
          </w:p>
        </w:tc>
        <w:tc>
          <w:tcPr>
            <w:tcW w:type="dxa" w:w="1152"/>
          </w:tcPr>
          <w:p>
            <w:pPr>
              <w:keepNext/>
              <w:jc w:val="center"/>
            </w:pPr>
            <w:r/>
            <w:r>
              <w:rPr>
                <w:rFonts w:ascii="Times New Roman" w:hAnsi="Times New Roman"/>
                <w:sz w:val="16"/>
              </w:rPr>
              <w:t>16.2</w:t>
            </w:r>
          </w:p>
        </w:tc>
        <w:tc>
          <w:tcPr>
            <w:tcW w:type="dxa" w:w="1152"/>
          </w:tcPr>
          <w:p>
            <w:pPr>
              <w:keepNext/>
              <w:jc w:val="center"/>
            </w:pPr>
            <w:r/>
            <w:r>
              <w:rPr>
                <w:rFonts w:ascii="Times New Roman" w:hAnsi="Times New Roman"/>
                <w:sz w:val="16"/>
              </w:rPr>
              <w:t>37/37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0/47</w:t>
            </w:r>
          </w:p>
        </w:tc>
      </w:tr>
      <w:tr>
        <w:trPr>
          <w:cantSplit/>
        </w:trPr>
        <w:tc>
          <w:tcPr>
            <w:tcW w:type="dxa" w:w="1152"/>
          </w:tcPr>
          <w:p>
            <w:pPr>
              <w:keepNext/>
              <w:jc w:val="left"/>
            </w:pPr>
            <w:r/>
            <w:r>
              <w:rPr>
                <w:rFonts w:ascii="Times New Roman" w:hAnsi="Times New Roman"/>
                <w:sz w:val="16"/>
              </w:rPr>
              <w:t>44,371</w:t>
            </w:r>
          </w:p>
        </w:tc>
        <w:tc>
          <w:tcPr>
            <w:tcW w:type="dxa" w:w="1152"/>
          </w:tcPr>
          <w:p>
            <w:pPr>
              <w:keepNext/>
              <w:jc w:val="center"/>
            </w:pPr>
            <w:r/>
            <w:r>
              <w:rPr>
                <w:rFonts w:ascii="Times New Roman" w:hAnsi="Times New Roman"/>
                <w:sz w:val="16"/>
              </w:rPr>
              <w:t>6.25</w:t>
            </w:r>
          </w:p>
        </w:tc>
        <w:tc>
          <w:tcPr>
            <w:tcW w:type="dxa" w:w="1152"/>
          </w:tcPr>
          <w:p>
            <w:pPr>
              <w:keepNext/>
              <w:jc w:val="center"/>
            </w:pPr>
            <w:r/>
            <w:r>
              <w:rPr>
                <w:rFonts w:ascii="Times New Roman" w:hAnsi="Times New Roman"/>
                <w:sz w:val="16"/>
              </w:rPr>
              <w:t>290</w:t>
            </w:r>
          </w:p>
        </w:tc>
        <w:tc>
          <w:tcPr>
            <w:tcW w:type="dxa" w:w="1152"/>
          </w:tcPr>
          <w:p>
            <w:pPr>
              <w:keepNext/>
              <w:jc w:val="center"/>
            </w:pPr>
            <w:r/>
            <w:r>
              <w:rPr>
                <w:rFonts w:ascii="Times New Roman" w:hAnsi="Times New Roman"/>
                <w:sz w:val="16"/>
              </w:rPr>
              <w:t>10.9</w:t>
            </w:r>
          </w:p>
        </w:tc>
        <w:tc>
          <w:tcPr>
            <w:tcW w:type="dxa" w:w="1152"/>
          </w:tcPr>
          <w:p>
            <w:pPr>
              <w:keepNext/>
              <w:jc w:val="center"/>
            </w:pPr>
            <w:r/>
            <w:r>
              <w:rPr>
                <w:rFonts w:ascii="Times New Roman" w:hAnsi="Times New Roman"/>
                <w:sz w:val="16"/>
              </w:rPr>
              <w:t>25.7</w:t>
            </w:r>
          </w:p>
        </w:tc>
        <w:tc>
          <w:tcPr>
            <w:tcW w:type="dxa" w:w="1152"/>
          </w:tcPr>
          <w:p>
            <w:pPr>
              <w:keepNext/>
              <w:jc w:val="center"/>
            </w:pPr>
            <w:r/>
            <w:r>
              <w:rPr>
                <w:rFonts w:ascii="Times New Roman" w:hAnsi="Times New Roman"/>
                <w:sz w:val="16"/>
              </w:rPr>
              <w:t>34/34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5.0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50,000</w:t>
            </w:r>
          </w:p>
        </w:tc>
        <w:tc>
          <w:tcPr>
            <w:tcW w:type="dxa" w:w="1152"/>
          </w:tcPr>
          <w:p>
            <w:pPr>
              <w:keepNext/>
              <w:jc w:val="center"/>
            </w:pPr>
            <w:r/>
            <w:r>
              <w:rPr>
                <w:rFonts w:ascii="Times New Roman" w:hAnsi="Times New Roman"/>
                <w:sz w:val="16"/>
              </w:rPr>
              <w:t>20.02</w:t>
            </w:r>
          </w:p>
        </w:tc>
        <w:tc>
          <w:tcPr>
            <w:tcW w:type="dxa" w:w="1152"/>
          </w:tcPr>
          <w:p>
            <w:pPr>
              <w:keepNext/>
              <w:jc w:val="center"/>
            </w:pPr>
            <w:r/>
            <w:r>
              <w:rPr>
                <w:rFonts w:ascii="Times New Roman" w:hAnsi="Times New Roman"/>
                <w:sz w:val="16"/>
              </w:rPr>
              <w:t>323</w:t>
            </w:r>
          </w:p>
        </w:tc>
        <w:tc>
          <w:tcPr>
            <w:tcW w:type="dxa" w:w="1152"/>
          </w:tcPr>
          <w:p>
            <w:pPr>
              <w:keepNext/>
              <w:jc w:val="center"/>
            </w:pPr>
            <w:r/>
            <w:r>
              <w:rPr>
                <w:rFonts w:ascii="Times New Roman" w:hAnsi="Times New Roman"/>
                <w:sz w:val="16"/>
              </w:rPr>
              <w:t>63.9</w:t>
            </w:r>
          </w:p>
        </w:tc>
        <w:tc>
          <w:tcPr>
            <w:tcW w:type="dxa" w:w="1152"/>
          </w:tcPr>
          <w:p>
            <w:pPr>
              <w:keepNext/>
              <w:jc w:val="center"/>
            </w:pPr>
            <w:r/>
            <w:r>
              <w:rPr>
                <w:rFonts w:ascii="Times New Roman" w:hAnsi="Times New Roman"/>
                <w:sz w:val="16"/>
              </w:rPr>
              <w:t>86.4</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50,709</w:t>
            </w:r>
          </w:p>
        </w:tc>
        <w:tc>
          <w:tcPr>
            <w:tcW w:type="dxa" w:w="1152"/>
          </w:tcPr>
          <w:p>
            <w:pPr>
              <w:keepNext/>
              <w:jc w:val="center"/>
            </w:pPr>
            <w:r/>
            <w:r>
              <w:rPr>
                <w:rFonts w:ascii="Times New Roman" w:hAnsi="Times New Roman"/>
                <w:sz w:val="16"/>
              </w:rPr>
              <w:t>7.60</w:t>
            </w:r>
          </w:p>
        </w:tc>
        <w:tc>
          <w:tcPr>
            <w:tcW w:type="dxa" w:w="1152"/>
          </w:tcPr>
          <w:p>
            <w:pPr>
              <w:keepNext/>
              <w:jc w:val="center"/>
            </w:pPr>
            <w:r/>
            <w:r>
              <w:rPr>
                <w:rFonts w:ascii="Times New Roman" w:hAnsi="Times New Roman"/>
                <w:sz w:val="16"/>
              </w:rPr>
              <w:t>328</w:t>
            </w:r>
          </w:p>
        </w:tc>
        <w:tc>
          <w:tcPr>
            <w:tcW w:type="dxa" w:w="1152"/>
          </w:tcPr>
          <w:p>
            <w:pPr>
              <w:keepNext/>
              <w:jc w:val="center"/>
            </w:pPr>
            <w:r/>
            <w:r>
              <w:rPr>
                <w:rFonts w:ascii="Times New Roman" w:hAnsi="Times New Roman"/>
                <w:sz w:val="16"/>
              </w:rPr>
              <w:t>11.6</w:t>
            </w:r>
          </w:p>
        </w:tc>
        <w:tc>
          <w:tcPr>
            <w:tcW w:type="dxa" w:w="1152"/>
          </w:tcPr>
          <w:p>
            <w:pPr>
              <w:keepNext/>
              <w:jc w:val="center"/>
            </w:pPr>
            <w:r/>
            <w:r>
              <w:rPr>
                <w:rFonts w:ascii="Times New Roman" w:hAnsi="Times New Roman"/>
                <w:sz w:val="16"/>
              </w:rPr>
              <w:t>16.1</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3.0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69,723</w:t>
            </w:r>
          </w:p>
        </w:tc>
        <w:tc>
          <w:tcPr>
            <w:tcW w:type="dxa" w:w="1152"/>
          </w:tcPr>
          <w:p>
            <w:pPr>
              <w:keepNext/>
              <w:jc w:val="center"/>
            </w:pPr>
            <w:r/>
            <w:r>
              <w:rPr>
                <w:rFonts w:ascii="Times New Roman" w:hAnsi="Times New Roman"/>
                <w:sz w:val="16"/>
              </w:rPr>
              <w:t>9.67</w:t>
            </w:r>
          </w:p>
        </w:tc>
        <w:tc>
          <w:tcPr>
            <w:tcW w:type="dxa" w:w="1152"/>
          </w:tcPr>
          <w:p>
            <w:pPr>
              <w:keepNext/>
              <w:jc w:val="center"/>
            </w:pPr>
            <w:r/>
            <w:r>
              <w:rPr>
                <w:rFonts w:ascii="Times New Roman" w:hAnsi="Times New Roman"/>
                <w:sz w:val="16"/>
              </w:rPr>
              <w:t>439</w:t>
            </w:r>
          </w:p>
        </w:tc>
        <w:tc>
          <w:tcPr>
            <w:tcW w:type="dxa" w:w="1152"/>
          </w:tcPr>
          <w:p>
            <w:pPr>
              <w:keepNext/>
              <w:jc w:val="center"/>
            </w:pPr>
            <w:r/>
            <w:r>
              <w:rPr>
                <w:rFonts w:ascii="Times New Roman" w:hAnsi="Times New Roman"/>
                <w:sz w:val="16"/>
              </w:rPr>
              <w:t>15.2</w:t>
            </w:r>
          </w:p>
        </w:tc>
        <w:tc>
          <w:tcPr>
            <w:tcW w:type="dxa" w:w="1152"/>
          </w:tcPr>
          <w:p>
            <w:pPr>
              <w:keepNext/>
              <w:jc w:val="center"/>
            </w:pPr>
            <w:r/>
            <w:r>
              <w:rPr>
                <w:rFonts w:ascii="Times New Roman" w:hAnsi="Times New Roman"/>
                <w:sz w:val="16"/>
              </w:rPr>
              <w:t>31.3</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100,000</w:t>
            </w:r>
          </w:p>
        </w:tc>
        <w:tc>
          <w:tcPr>
            <w:tcW w:type="dxa" w:w="1152"/>
          </w:tcPr>
          <w:p>
            <w:pPr>
              <w:keepNext/>
              <w:jc w:val="center"/>
            </w:pPr>
            <w:r/>
            <w:r>
              <w:rPr>
                <w:rFonts w:ascii="Times New Roman" w:hAnsi="Times New Roman"/>
                <w:sz w:val="16"/>
              </w:rPr>
              <w:t>16.71</w:t>
            </w:r>
          </w:p>
        </w:tc>
        <w:tc>
          <w:tcPr>
            <w:tcW w:type="dxa" w:w="1152"/>
          </w:tcPr>
          <w:p>
            <w:pPr>
              <w:keepNext/>
              <w:jc w:val="center"/>
            </w:pPr>
            <w:r/>
            <w:r>
              <w:rPr>
                <w:rFonts w:ascii="Times New Roman" w:hAnsi="Times New Roman"/>
                <w:sz w:val="16"/>
              </w:rPr>
              <w:t>615</w:t>
            </w:r>
          </w:p>
        </w:tc>
        <w:tc>
          <w:tcPr>
            <w:tcW w:type="dxa" w:w="1152"/>
          </w:tcPr>
          <w:p>
            <w:pPr>
              <w:keepNext/>
              <w:jc w:val="center"/>
            </w:pPr>
            <w:r/>
            <w:r>
              <w:rPr>
                <w:rFonts w:ascii="Times New Roman" w:hAnsi="Times New Roman"/>
                <w:sz w:val="16"/>
              </w:rPr>
              <w:t>23.1</w:t>
            </w:r>
          </w:p>
        </w:tc>
        <w:tc>
          <w:tcPr>
            <w:tcW w:type="dxa" w:w="1152"/>
          </w:tcPr>
          <w:p>
            <w:pPr>
              <w:keepNext/>
              <w:jc w:val="center"/>
            </w:pPr>
            <w:r/>
            <w:r>
              <w:rPr>
                <w:rFonts w:ascii="Times New Roman" w:hAnsi="Times New Roman"/>
                <w:sz w:val="16"/>
              </w:rPr>
              <w:t>46.9</w:t>
            </w:r>
          </w:p>
        </w:tc>
        <w:tc>
          <w:tcPr>
            <w:tcW w:type="dxa" w:w="1152"/>
          </w:tcPr>
          <w:p>
            <w:pPr>
              <w:keepNext/>
              <w:jc w:val="center"/>
            </w:pPr>
            <w:r/>
            <w:r>
              <w:rPr>
                <w:rFonts w:ascii="Times New Roman" w:hAnsi="Times New Roman"/>
                <w:sz w:val="16"/>
              </w:rPr>
              <w:t>44/44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0/44</w:t>
            </w:r>
          </w:p>
        </w:tc>
      </w:tr>
      <w:tr>
        <w:trPr>
          <w:cantSplit/>
        </w:trPr>
        <w:tc>
          <w:tcPr>
            <w:tcW w:type="dxa" w:w="1152"/>
            <w:tcBorders>
              <w:bottom w:val="single" w:sz="12" w:color="000000"/>
            </w:tcBorders>
          </w:tcPr>
          <w:p>
            <w:pPr>
              <w:jc w:val="left"/>
            </w:pPr>
            <w:r/>
            <w:r>
              <w:rPr>
                <w:rFonts w:ascii="Times New Roman" w:hAnsi="Times New Roman"/>
                <w:sz w:val="16"/>
              </w:rPr>
              <w:t>174,300</w:t>
            </w:r>
          </w:p>
        </w:tc>
        <w:tc>
          <w:tcPr>
            <w:tcW w:type="dxa" w:w="1152"/>
            <w:tcBorders>
              <w:bottom w:val="single" w:sz="12" w:color="000000"/>
            </w:tcBorders>
          </w:tcPr>
          <w:p>
            <w:pPr>
              <w:jc w:val="center"/>
            </w:pPr>
            <w:r/>
            <w:r>
              <w:rPr>
                <w:rFonts w:ascii="Times New Roman" w:hAnsi="Times New Roman"/>
                <w:sz w:val="16"/>
              </w:rPr>
              <w:t>24.75</w:t>
            </w:r>
          </w:p>
        </w:tc>
        <w:tc>
          <w:tcPr>
            <w:tcW w:type="dxa" w:w="1152"/>
            <w:tcBorders>
              <w:bottom w:val="single" w:sz="12" w:color="000000"/>
            </w:tcBorders>
          </w:tcPr>
          <w:p>
            <w:pPr>
              <w:jc w:val="center"/>
            </w:pPr>
            <w:r/>
            <w:r>
              <w:rPr>
                <w:rFonts w:ascii="Times New Roman" w:hAnsi="Times New Roman"/>
                <w:sz w:val="16"/>
              </w:rPr>
              <w:t>1053</w:t>
            </w:r>
          </w:p>
        </w:tc>
        <w:tc>
          <w:tcPr>
            <w:tcW w:type="dxa" w:w="1152"/>
            <w:tcBorders>
              <w:bottom w:val="single" w:sz="12" w:color="000000"/>
            </w:tcBorders>
          </w:tcPr>
          <w:p>
            <w:pPr>
              <w:jc w:val="center"/>
            </w:pPr>
            <w:r/>
            <w:r>
              <w:rPr>
                <w:rFonts w:ascii="Times New Roman" w:hAnsi="Times New Roman"/>
                <w:sz w:val="16"/>
              </w:rPr>
              <w:t>41.9</w:t>
            </w:r>
          </w:p>
        </w:tc>
        <w:tc>
          <w:tcPr>
            <w:tcW w:type="dxa" w:w="1152"/>
            <w:tcBorders>
              <w:bottom w:val="single" w:sz="12" w:color="000000"/>
            </w:tcBorders>
          </w:tcPr>
          <w:p>
            <w:pPr>
              <w:jc w:val="center"/>
            </w:pPr>
            <w:r/>
            <w:r>
              <w:rPr>
                <w:rFonts w:ascii="Times New Roman" w:hAnsi="Times New Roman"/>
                <w:sz w:val="16"/>
              </w:rPr>
              <w:t>123.5</w:t>
            </w:r>
          </w:p>
        </w:tc>
        <w:tc>
          <w:tcPr>
            <w:tcW w:type="dxa" w:w="1152"/>
            <w:tcBorders>
              <w:bottom w:val="single" w:sz="12" w:color="000000"/>
            </w:tcBorders>
          </w:tcPr>
          <w:p>
            <w:pPr>
              <w:jc w:val="center"/>
            </w:pPr>
            <w:r/>
            <w:r>
              <w:rPr>
                <w:rFonts w:ascii="Times New Roman" w:hAnsi="Times New Roman"/>
                <w:sz w:val="16"/>
              </w:rPr>
              <w:t>47/47</w:t>
            </w:r>
          </w:p>
        </w:tc>
        <w:tc>
          <w:tcPr>
            <w:tcW w:type="dxa" w:w="1152"/>
            <w:tcBorders>
              <w:bottom w:val="single" w:sz="12" w:color="000000"/>
            </w:tcBorders>
          </w:tcPr>
          <w:p>
            <w:pPr>
              <w:jc w:val="center"/>
            </w:pPr>
            <w:r/>
            <w:r>
              <w:rPr>
                <w:rFonts w:ascii="Times New Roman" w:hAnsi="Times New Roman"/>
                <w:sz w:val="16"/>
              </w:rPr>
              <w:t>infeasible</w:t>
            </w:r>
          </w:p>
        </w:tc>
        <w:tc>
          <w:tcPr>
            <w:tcW w:type="dxa" w:w="1152"/>
            <w:tcBorders>
              <w:bottom w:val="single" w:sz="12" w:color="000000"/>
            </w:tcBorders>
          </w:tcPr>
          <w:p>
            <w:pPr>
              <w:jc w:val="center"/>
            </w:pPr>
            <w:r/>
            <w:r>
              <w:rPr>
                <w:rFonts w:ascii="Times New Roman" w:hAnsi="Times New Roman"/>
                <w:sz w:val="16"/>
              </w:rPr>
              <w:t>6.0</w:t>
            </w:r>
          </w:p>
        </w:tc>
        <w:tc>
          <w:tcPr>
            <w:tcW w:type="dxa" w:w="1152"/>
            <w:tcBorders>
              <w:bottom w:val="single" w:sz="12" w:color="000000"/>
            </w:tcBorders>
          </w:tcPr>
          <w:p>
            <w:pPr>
              <w:jc w:val="center"/>
            </w:pPr>
            <w:r/>
            <w:r>
              <w:rPr>
                <w:rFonts w:ascii="Times New Roman" w:hAnsi="Times New Roman"/>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spacing w:before="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 xml:space="preserve">Recall (%) of the L1 tolerant screen on 337 planted-copy cells (five seeds per cell; </w:t>
      </w:r>
      <w:r>
        <w:rPr>
          <w:i/>
        </w:rPr>
        <w:t>k_pitch</w:t>
      </w:r>
      <w:r>
        <w:t xml:space="preserve"> = 2, </w:t>
      </w:r>
      <w:r>
        <w:rPr>
          <w:i/>
        </w:rPr>
        <w:t>k_bin</w:t>
      </w:r>
      <w:r>
        <w:t xml:space="preserve">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sz w:val="16"/>
              </w:rPr>
              <w:t>Verbatim</w:t>
            </w:r>
          </w:p>
        </w:tc>
        <w:tc>
          <w:tcPr>
            <w:tcW w:type="dxa" w:w="1481"/>
          </w:tcPr>
          <w:p>
            <w:pPr>
              <w:keepNext/>
              <w:jc w:val="center"/>
            </w:pPr>
            <w:r/>
            <w:r>
              <w:rPr>
                <w:rFonts w:ascii="Times New Roman" w:hAnsi="Times New Roman"/>
                <w:sz w:val="16"/>
              </w:rPr>
              <w:t>identity</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Transpose</w:t>
            </w:r>
          </w:p>
        </w:tc>
        <w:tc>
          <w:tcPr>
            <w:tcW w:type="dxa" w:w="1481"/>
          </w:tcPr>
          <w:p>
            <w:pPr>
              <w:keepNext/>
              <w:jc w:val="center"/>
            </w:pPr>
            <w:r/>
            <w:r>
              <w:rPr>
                <w:rFonts w:ascii="Times New Roman" w:hAnsi="Times New Roman"/>
                <w:sz w:val="16"/>
              </w:rPr>
              <w:t>±1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±2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±4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±6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Tempo scaling</w:t>
            </w:r>
          </w:p>
        </w:tc>
        <w:tc>
          <w:tcPr>
            <w:tcW w:type="dxa" w:w="1481"/>
          </w:tcPr>
          <w:p>
            <w:pPr>
              <w:keepNext/>
              <w:jc w:val="center"/>
            </w:pPr>
            <w:r/>
            <w:r>
              <w:rPr>
                <w:rFonts w:ascii="Times New Roman" w:hAnsi="Times New Roman"/>
                <w:sz w:val="16"/>
              </w:rPr>
              <w:t>×1.05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Split–merge</w:t>
            </w:r>
          </w:p>
        </w:tc>
        <w:tc>
          <w:tcPr>
            <w:tcW w:type="dxa" w:w="1481"/>
          </w:tcPr>
          <w:p>
            <w:pPr>
              <w:keepNext/>
              <w:jc w:val="center"/>
            </w:pPr>
            <w:r/>
            <w:r>
              <w:rPr>
                <w:rFonts w:ascii="Times New Roman" w:hAnsi="Times New Roman"/>
                <w:sz w:val="16"/>
              </w:rPr>
              <w:t>p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0.30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Re-instrumentation</w:t>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0.25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0.40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sz w:val="16"/>
              </w:rPr>
              <w:t>Transcription noise</w:t>
            </w:r>
          </w:p>
        </w:tc>
        <w:tc>
          <w:tcPr>
            <w:tcW w:type="dxa" w:w="1481"/>
          </w:tcPr>
          <w:p>
            <w:pPr>
              <w:keepNext/>
              <w:jc w:val="center"/>
            </w:pPr>
            <w:r/>
            <w:r>
              <w:rPr>
                <w:rFonts w:ascii="Times New Roman" w:hAnsi="Times New Roman"/>
                <w:i/>
                <w:sz w:val="16"/>
              </w:rPr>
              <w:t>q</w:t>
            </w:r>
            <w:r>
              <w:rPr>
                <w:rFonts w:ascii="Times New Roman" w:hAnsi="Times New Roman"/>
                <w:sz w:val="16"/>
              </w:rPr>
              <w:t xml:space="preserve">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q</w:t>
            </w:r>
            <w:r>
              <w:rPr>
                <w:rFonts w:ascii="Times New Roman" w:hAnsi="Times New Roman"/>
                <w:sz w:val="16"/>
              </w:rPr>
              <w:t xml:space="preserve">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p>
        </w:tc>
        <w:tc>
          <w:tcPr>
            <w:tcW w:type="dxa" w:w="1481"/>
            <w:tcBorders>
              <w:bottom w:val="single" w:sz="12" w:color="000000"/>
            </w:tcBorders>
          </w:tcPr>
          <w:p>
            <w:pPr>
              <w:jc w:val="center"/>
            </w:pPr>
            <w:r/>
            <w:r>
              <w:rPr>
                <w:rFonts w:ascii="Times New Roman" w:hAnsi="Times New Roman"/>
                <w:i/>
                <w:sz w:val="16"/>
              </w:rPr>
              <w:t>q</w:t>
            </w:r>
            <w:r>
              <w:rPr>
                <w:rFonts w:ascii="Times New Roman" w:hAnsi="Times New Roman"/>
                <w:sz w:val="16"/>
              </w:rPr>
              <w:t xml:space="preserve"> = 60 ms, miss 15 %</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sz w:val="16"/>
              </w:rPr>
              <w:t>Verbatim</w:t>
            </w:r>
          </w:p>
        </w:tc>
        <w:tc>
          <w:tcPr>
            <w:tcW w:type="dxa" w:w="2074"/>
          </w:tcPr>
          <w:p>
            <w:pPr>
              <w:keepNext/>
              <w:jc w:val="center"/>
            </w:pPr>
            <w:r/>
            <w:r>
              <w:rPr>
                <w:rFonts w:ascii="Times New Roman" w:hAnsi="Times New Roman"/>
                <w:sz w:val="16"/>
              </w:rPr>
              <w:t>20</w:t>
            </w:r>
          </w:p>
        </w:tc>
        <w:tc>
          <w:tcPr>
            <w:tcW w:type="dxa" w:w="2074"/>
          </w:tcPr>
          <w:p>
            <w:pPr>
              <w:keepNext/>
              <w:jc w:val="center"/>
            </w:pPr>
            <w:r/>
            <w:r>
              <w:rPr>
                <w:rFonts w:ascii="Times New Roman" w:hAnsi="Times New Roman"/>
                <w:sz w:val="16"/>
              </w:rPr>
              <w:t>0.0</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Transpose</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6.7</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Tempo scaling</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0.5</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Split–merge</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1.9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Re-instrumentation</w:t>
            </w:r>
          </w:p>
        </w:tc>
        <w:tc>
          <w:tcPr>
            <w:tcW w:type="dxa" w:w="2074"/>
          </w:tcPr>
          <w:p>
            <w:pPr>
              <w:keepNext/>
              <w:jc w:val="center"/>
            </w:pPr>
            <w:r/>
            <w:r>
              <w:rPr>
                <w:rFonts w:ascii="Times New Roman" w:hAnsi="Times New Roman"/>
                <w:sz w:val="16"/>
              </w:rPr>
              <w:t>58</w:t>
            </w:r>
          </w:p>
        </w:tc>
        <w:tc>
          <w:tcPr>
            <w:tcW w:type="dxa" w:w="2074"/>
          </w:tcPr>
          <w:p>
            <w:pPr>
              <w:keepNext/>
              <w:jc w:val="center"/>
            </w:pPr>
            <w:r/>
            <w:r>
              <w:rPr>
                <w:rFonts w:ascii="Times New Roman" w:hAnsi="Times New Roman"/>
                <w:sz w:val="16"/>
              </w:rPr>
              <w:t>0.9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Borders>
              <w:bottom w:val="single" w:sz="12" w:color="000000"/>
            </w:tcBorders>
          </w:tcPr>
          <w:p>
            <w:pPr>
              <w:jc w:val="left"/>
            </w:pPr>
            <w:r/>
            <w:r>
              <w:rPr>
                <w:rFonts w:ascii="Times New Roman" w:hAnsi="Times New Roman"/>
                <w:sz w:val="16"/>
              </w:rPr>
              <w:t>Transcription noise</w:t>
            </w:r>
          </w:p>
        </w:tc>
        <w:tc>
          <w:tcPr>
            <w:tcW w:type="dxa" w:w="2074"/>
            <w:tcBorders>
              <w:bottom w:val="single" w:sz="12" w:color="000000"/>
            </w:tcBorders>
          </w:tcPr>
          <w:p>
            <w:pPr>
              <w:jc w:val="center"/>
            </w:pPr>
            <w:r/>
            <w:r>
              <w:rPr>
                <w:rFonts w:ascii="Times New Roman" w:hAnsi="Times New Roman"/>
                <w:sz w:val="16"/>
              </w:rPr>
              <w:t>59</w:t>
            </w:r>
          </w:p>
        </w:tc>
        <w:tc>
          <w:tcPr>
            <w:tcW w:type="dxa" w:w="2074"/>
            <w:tcBorders>
              <w:bottom w:val="single" w:sz="12" w:color="000000"/>
            </w:tcBorders>
          </w:tcPr>
          <w:p>
            <w:pPr>
              <w:jc w:val="center"/>
            </w:pPr>
            <w:r/>
            <w:r>
              <w:rPr>
                <w:rFonts w:ascii="Times New Roman" w:hAnsi="Times New Roman"/>
                <w:sz w:val="16"/>
              </w:rPr>
              <w:t>2.6</w:t>
            </w:r>
          </w:p>
        </w:tc>
        <w:tc>
          <w:tcPr>
            <w:tcW w:type="dxa" w:w="2074"/>
            <w:tcBorders>
              <w:bottom w:val="single" w:sz="12" w:color="000000"/>
            </w:tcBorders>
          </w:tcPr>
          <w:p>
            <w:pPr>
              <w:jc w:val="center"/>
            </w:pPr>
            <w:r/>
            <w:r>
              <w:rPr>
                <w:rFonts w:ascii="Times New Roman" w:hAnsi="Times New Roman"/>
                <w:sz w:val="16"/>
              </w:rPr>
              <w:t>0</w:t>
            </w:r>
          </w:p>
        </w:tc>
        <w:tc>
          <w:tcPr>
            <w:tcW w:type="dxa" w:w="2074"/>
            <w:tcBorders>
              <w:bottom w:val="single" w:sz="12" w:color="000000"/>
            </w:tcBorders>
          </w:tcPr>
          <w:p>
            <w:pPr>
              <w:jc w:val="center"/>
            </w:pPr>
            <w:r/>
            <w:r>
              <w:rPr>
                <w:rFonts w:ascii="Times New Roman" w:hAnsi="Times New Roman"/>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sz w:val="16"/>
              </w:rPr>
              <w:t>2%</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10%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20%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35%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50</w:t>
            </w:r>
          </w:p>
        </w:tc>
      </w:tr>
      <w:tr>
        <w:trPr>
          <w:cantSplit/>
        </w:trPr>
        <w:tc>
          <w:tcPr>
            <w:tcW w:type="dxa" w:w="2074"/>
          </w:tcPr>
          <w:p>
            <w:pPr>
              <w:keepNext/>
              <w:jc w:val="left"/>
            </w:pPr>
            <w:r/>
            <w:r>
              <w:rPr>
                <w:rFonts w:ascii="Times New Roman" w:hAnsi="Times New Roman"/>
                <w:sz w:val="16"/>
              </w:rPr>
              <w:t>70%</w:t>
            </w:r>
          </w:p>
        </w:tc>
        <w:tc>
          <w:tcPr>
            <w:tcW w:type="dxa" w:w="2074"/>
          </w:tcPr>
          <w:p>
            <w:pPr>
              <w:keepNext/>
              <w:jc w:val="center"/>
            </w:pPr>
            <w:r/>
            <w:r>
              <w:rPr>
                <w:rFonts w:ascii="Times New Roman" w:hAnsi="Times New Roman"/>
                <w:sz w:val="16"/>
              </w:rPr>
              <w:t>793.9</w:t>
            </w:r>
          </w:p>
        </w:tc>
        <w:tc>
          <w:tcPr>
            <w:tcW w:type="dxa" w:w="2074"/>
          </w:tcPr>
          <w:p>
            <w:pPr>
              <w:keepNext/>
              <w:jc w:val="center"/>
            </w:pPr>
            <w:r/>
            <w:r>
              <w:rPr>
                <w:rFonts w:ascii="Times New Roman" w:hAnsi="Times New Roman"/>
                <w:sz w:val="16"/>
              </w:rPr>
              <w:t>839.3</w:t>
            </w:r>
          </w:p>
        </w:tc>
        <w:tc>
          <w:tcPr>
            <w:tcW w:type="dxa" w:w="2074"/>
          </w:tcPr>
          <w:p>
            <w:pPr>
              <w:keepNext/>
              <w:jc w:val="center"/>
            </w:pPr>
            <w:r/>
            <w:r>
              <w:rPr>
                <w:rFonts w:ascii="Times New Roman" w:hAnsi="Times New Roman"/>
                <w:sz w:val="16"/>
              </w:rPr>
              <w:t>866.2</w:t>
            </w:r>
          </w:p>
        </w:tc>
        <w:tc>
          <w:tcPr>
            <w:tcW w:type="dxa" w:w="2074"/>
          </w:tcPr>
          <w:p>
            <w:pPr>
              <w:keepNext/>
              <w:jc w:val="center"/>
            </w:pPr>
            <w:r/>
            <w:r>
              <w:rPr>
                <w:rFonts w:ascii="Times New Roman" w:hAnsi="Times New Roman"/>
                <w:sz w:val="16"/>
              </w:rPr>
              <w:t>93</w:t>
            </w:r>
          </w:p>
        </w:tc>
      </w:tr>
      <w:tr>
        <w:trPr>
          <w:cantSplit/>
        </w:trPr>
        <w:tc>
          <w:tcPr>
            <w:tcW w:type="dxa" w:w="2074"/>
            <w:tcBorders>
              <w:bottom w:val="single" w:sz="12" w:color="000000"/>
            </w:tcBorders>
          </w:tcPr>
          <w:p>
            <w:pPr>
              <w:jc w:val="left"/>
            </w:pPr>
            <w:r/>
            <w:r>
              <w:rPr>
                <w:rFonts w:ascii="Times New Roman" w:hAnsi="Times New Roman"/>
                <w:sz w:val="16"/>
              </w:rPr>
              <w:t>100%</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100</w:t>
            </w:r>
          </w:p>
        </w:tc>
      </w:tr>
    </w:tbl>
    <w:p>
      <w:pPr>
        <w:spacing w:after="40"/>
      </w:pPr>
    </w:p>
    <w:p>
      <w:pPr>
        <w:pStyle w:val="Heading2"/>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sz w:val="16"/>
              </w:rPr>
              <w:t>4</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31.6</w:t>
            </w:r>
          </w:p>
        </w:tc>
        <w:tc>
          <w:tcPr>
            <w:tcW w:type="dxa" w:w="2074"/>
          </w:tcPr>
          <w:p>
            <w:pPr>
              <w:keepNext/>
              <w:jc w:val="center"/>
            </w:pPr>
            <w:r/>
            <w:r>
              <w:rPr>
                <w:rFonts w:ascii="Times New Roman" w:hAnsi="Times New Roman"/>
                <w:sz w:val="16"/>
              </w:rPr>
              <w:t>94.9</w:t>
            </w:r>
          </w:p>
        </w:tc>
      </w:tr>
      <w:tr>
        <w:trPr>
          <w:cantSplit/>
        </w:trPr>
        <w:tc>
          <w:tcPr>
            <w:tcW w:type="dxa" w:w="2074"/>
          </w:tcPr>
          <w:p>
            <w:pPr>
              <w:keepNext/>
              <w:jc w:val="left"/>
            </w:pPr>
            <w:r/>
            <w:r>
              <w:rPr>
                <w:rFonts w:ascii="Times New Roman" w:hAnsi="Times New Roman"/>
                <w:sz w:val="16"/>
              </w:rPr>
              <w:t>8</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22.8</w:t>
            </w:r>
          </w:p>
        </w:tc>
        <w:tc>
          <w:tcPr>
            <w:tcW w:type="dxa" w:w="2074"/>
          </w:tcPr>
          <w:p>
            <w:pPr>
              <w:keepNext/>
              <w:jc w:val="center"/>
            </w:pPr>
            <w:r/>
            <w:r>
              <w:rPr>
                <w:rFonts w:ascii="Times New Roman" w:hAnsi="Times New Roman"/>
                <w:sz w:val="16"/>
              </w:rPr>
              <w:t>92.4</w:t>
            </w:r>
          </w:p>
        </w:tc>
      </w:tr>
      <w:tr>
        <w:trPr>
          <w:cantSplit/>
        </w:trPr>
        <w:tc>
          <w:tcPr>
            <w:tcW w:type="dxa" w:w="2074"/>
          </w:tcPr>
          <w:p>
            <w:pPr>
              <w:keepNext/>
              <w:jc w:val="left"/>
            </w:pPr>
            <w:r/>
            <w:r>
              <w:rPr>
                <w:rFonts w:ascii="Times New Roman" w:hAnsi="Times New Roman"/>
                <w:sz w:val="16"/>
              </w:rPr>
              <w:t>16</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92.5</w:t>
            </w:r>
          </w:p>
        </w:tc>
        <w:tc>
          <w:tcPr>
            <w:tcW w:type="dxa" w:w="2074"/>
          </w:tcPr>
          <w:p>
            <w:pPr>
              <w:keepNext/>
              <w:jc w:val="center"/>
            </w:pPr>
            <w:r/>
            <w:r>
              <w:rPr>
                <w:rFonts w:ascii="Times New Roman" w:hAnsi="Times New Roman"/>
                <w:sz w:val="16"/>
              </w:rPr>
              <w:t>12.5</w:t>
            </w:r>
          </w:p>
        </w:tc>
        <w:tc>
          <w:tcPr>
            <w:tcW w:type="dxa" w:w="2074"/>
          </w:tcPr>
          <w:p>
            <w:pPr>
              <w:keepNext/>
              <w:jc w:val="center"/>
            </w:pPr>
            <w:r/>
            <w:r>
              <w:rPr>
                <w:rFonts w:ascii="Times New Roman" w:hAnsi="Times New Roman"/>
                <w:sz w:val="16"/>
              </w:rPr>
              <w:t>93.8</w:t>
            </w:r>
          </w:p>
        </w:tc>
      </w:tr>
      <w:tr>
        <w:trPr>
          <w:cantSplit/>
        </w:trPr>
        <w:tc>
          <w:tcPr>
            <w:tcW w:type="dxa" w:w="2074"/>
            <w:tcBorders>
              <w:bottom w:val="single" w:sz="12" w:color="000000"/>
            </w:tcBorders>
          </w:tcPr>
          <w:p>
            <w:pPr>
              <w:jc w:val="left"/>
            </w:pPr>
            <w:r/>
            <w:r>
              <w:rPr>
                <w:rFonts w:ascii="Times New Roman" w:hAnsi="Times New Roman"/>
                <w:sz w:val="16"/>
              </w:rPr>
              <w:t>All</w:t>
            </w:r>
          </w:p>
        </w:tc>
        <w:tc>
          <w:tcPr>
            <w:tcW w:type="dxa" w:w="2074"/>
            <w:tcBorders>
              <w:bottom w:val="single" w:sz="12" w:color="000000"/>
            </w:tcBorders>
          </w:tcPr>
          <w:p>
            <w:pPr>
              <w:jc w:val="center"/>
            </w:pPr>
            <w:r/>
            <w:r>
              <w:rPr>
                <w:rFonts w:ascii="Times New Roman" w:hAnsi="Times New Roman"/>
                <w:sz w:val="16"/>
              </w:rPr>
              <w:t>238</w:t>
            </w:r>
          </w:p>
        </w:tc>
        <w:tc>
          <w:tcPr>
            <w:tcW w:type="dxa" w:w="2074"/>
            <w:tcBorders>
              <w:bottom w:val="single" w:sz="12" w:color="000000"/>
            </w:tcBorders>
          </w:tcPr>
          <w:p>
            <w:pPr>
              <w:jc w:val="center"/>
            </w:pPr>
            <w:r/>
            <w:r>
              <w:rPr>
                <w:rFonts w:ascii="Times New Roman" w:hAnsi="Times New Roman"/>
                <w:sz w:val="16"/>
              </w:rPr>
              <w:t>93.3</w:t>
            </w:r>
          </w:p>
        </w:tc>
        <w:tc>
          <w:tcPr>
            <w:tcW w:type="dxa" w:w="2074"/>
            <w:tcBorders>
              <w:bottom w:val="single" w:sz="12" w:color="000000"/>
            </w:tcBorders>
          </w:tcPr>
          <w:p>
            <w:pPr>
              <w:jc w:val="center"/>
            </w:pPr>
            <w:r/>
            <w:r>
              <w:rPr>
                <w:rFonts w:ascii="Times New Roman" w:hAnsi="Times New Roman"/>
                <w:sz w:val="16"/>
              </w:rPr>
              <w:t>22.3</w:t>
            </w:r>
          </w:p>
        </w:tc>
        <w:tc>
          <w:tcPr>
            <w:tcW w:type="dxa" w:w="2074"/>
            <w:tcBorders>
              <w:bottom w:val="single" w:sz="12" w:color="000000"/>
            </w:tcBorders>
          </w:tcPr>
          <w:p>
            <w:pPr>
              <w:jc w:val="center"/>
            </w:pPr>
            <w:r/>
            <w:r>
              <w:rPr>
                <w:rFonts w:ascii="Times New Roman" w:hAnsi="Times New Roman"/>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w:t>
      </w:r>
      <w:r>
        <w:rPr>
          <w:i/>
        </w:rPr>
        <w:t>ρ</w:t>
      </w:r>
      <w:r>
        <w:t>=0.5), and 7.2% at 98.3% recall (</w:t>
      </w:r>
      <w:r>
        <w:rPr>
          <w:i/>
        </w:rPr>
        <w:t>ρ</w:t>
      </w:r>
      <w:r>
        <w:t>=0.4); Table VII and Fig. 8 map the full recall/FP trade-off over three anchor-tolerance regimes and four contiguity thresholds. Table VIII and Fig. 9 place the full cascade against its single-layer ablations. The cascade's remaining bottleneck is candidate retention: verbatim top-</w:t>
      </w:r>
      <w:r>
        <w:rPr>
          <w:i/>
        </w:rPr>
        <w:t>C</w:t>
      </w:r>
      <w:r>
        <w:t xml:space="preserve"> keeps 93.1% (</w:t>
      </w:r>
      <w:r>
        <w:rPr>
          <w:i/>
        </w:rPr>
        <w:t>C</w:t>
      </w:r>
      <w:r>
        <w:t>=20) and 96.6% (</w:t>
      </w:r>
      <w:r>
        <w:rPr>
          <w:i/>
        </w:rPr>
        <w:t>C</w:t>
      </w:r>
      <w:r>
        <w:t>=50) of donors; the union of tolerant and verbatim top-</w:t>
      </w:r>
      <w:r>
        <w:rPr>
          <w:i/>
        </w:rPr>
        <w:t>C</w:t>
      </w:r>
      <w:r>
        <w:t xml:space="preserve"> feeds—adopted in the final system—lifts retention above 99%.</w:t>
      </w:r>
    </w:p>
    <w:p>
      <w:pPr>
        <w:spacing w:after="0"/>
        <w:ind w:firstLine="204"/>
        <w:jc w:val="both"/>
      </w:pPr>
      <w:r>
        <w:t xml:space="preserve">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w:t>
      </w:r>
      <w:r>
        <w:rPr>
          <w:i/>
        </w:rPr>
        <w:t>ρ</w:t>
      </w:r>
      <w:r>
        <w:t xml:space="preserve"> = 0.5 (2.1% FP, 83.9% recall) is the decision-grade operating point, at which a confirmed flag can be acted on directly; </w:t>
      </w:r>
      <w:r>
        <w:rPr>
          <w:i/>
        </w:rPr>
        <w:t>ρ</w:t>
      </w:r>
      <w:r>
        <w:t xml:space="preserve">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 xml:space="preserve">Confirmation recall / fragment-level FP (%) by anchor-tolerance regime and contiguity threshold </w:t>
      </w:r>
      <w:r>
        <w:rPr>
          <w:i/>
        </w:rPr>
        <w:t>ρ</w:t>
      </w:r>
      <w:r>
        <w:t xml:space="preserve">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0.3</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0.4</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0.5</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0.6</w:t>
            </w:r>
          </w:p>
        </w:tc>
      </w:tr>
      <w:tr>
        <w:trPr>
          <w:cantSplit/>
        </w:trPr>
        <w:tc>
          <w:tcPr>
            <w:tcW w:type="dxa" w:w="2074"/>
          </w:tcPr>
          <w:p>
            <w:pPr>
              <w:keepNext/>
              <w:jc w:val="left"/>
            </w:pPr>
            <w:r/>
            <w:r>
              <w:rPr>
                <w:rFonts w:ascii="Times New Roman" w:hAnsi="Times New Roman"/>
                <w:sz w:val="16"/>
              </w:rPr>
              <w:t>Strict anchors</w:t>
            </w:r>
          </w:p>
        </w:tc>
        <w:tc>
          <w:tcPr>
            <w:tcW w:type="dxa" w:w="2074"/>
          </w:tcPr>
          <w:p>
            <w:pPr>
              <w:keepNext/>
              <w:jc w:val="center"/>
            </w:pPr>
            <w:r/>
            <w:r>
              <w:rPr>
                <w:rFonts w:ascii="Times New Roman" w:hAnsi="Times New Roman"/>
                <w:sz w:val="16"/>
              </w:rPr>
              <w:t>100.0 / 13.6</w:t>
            </w:r>
          </w:p>
        </w:tc>
        <w:tc>
          <w:tcPr>
            <w:tcW w:type="dxa" w:w="2074"/>
          </w:tcPr>
          <w:p>
            <w:pPr>
              <w:keepNext/>
              <w:jc w:val="center"/>
            </w:pPr>
            <w:r/>
            <w:r>
              <w:rPr>
                <w:rFonts w:ascii="Times New Roman" w:hAnsi="Times New Roman"/>
                <w:sz w:val="16"/>
              </w:rPr>
              <w:t>98.3 / 7.2</w:t>
            </w:r>
          </w:p>
        </w:tc>
        <w:tc>
          <w:tcPr>
            <w:tcW w:type="dxa" w:w="2074"/>
          </w:tcPr>
          <w:p>
            <w:pPr>
              <w:keepNext/>
              <w:jc w:val="center"/>
            </w:pPr>
            <w:r/>
            <w:r>
              <w:rPr>
                <w:rFonts w:ascii="Times New Roman" w:hAnsi="Times New Roman"/>
                <w:sz w:val="16"/>
              </w:rPr>
              <w:t>83.9 / 2.1</w:t>
            </w:r>
          </w:p>
        </w:tc>
        <w:tc>
          <w:tcPr>
            <w:tcW w:type="dxa" w:w="2074"/>
          </w:tcPr>
          <w:p>
            <w:pPr>
              <w:keepNext/>
              <w:jc w:val="center"/>
            </w:pPr>
            <w:r/>
            <w:r>
              <w:rPr>
                <w:rFonts w:ascii="Times New Roman" w:hAnsi="Times New Roman"/>
                <w:sz w:val="16"/>
              </w:rPr>
              <w:t>43.2 / 0.4</w:t>
            </w:r>
          </w:p>
        </w:tc>
      </w:tr>
      <w:tr>
        <w:trPr>
          <w:cantSplit/>
        </w:trPr>
        <w:tc>
          <w:tcPr>
            <w:tcW w:type="dxa" w:w="2074"/>
          </w:tcPr>
          <w:p>
            <w:pPr>
              <w:keepNext/>
              <w:jc w:val="left"/>
            </w:pPr>
            <w:r/>
            <w:r>
              <w:rPr>
                <w:rFonts w:ascii="Times New Roman" w:hAnsi="Times New Roman"/>
                <w:sz w:val="16"/>
              </w:rPr>
              <w:t>Mid tolerance</w:t>
            </w:r>
          </w:p>
        </w:tc>
        <w:tc>
          <w:tcPr>
            <w:tcW w:type="dxa" w:w="2074"/>
          </w:tcPr>
          <w:p>
            <w:pPr>
              <w:keepNext/>
              <w:jc w:val="center"/>
            </w:pPr>
            <w:r/>
            <w:r>
              <w:rPr>
                <w:rFonts w:ascii="Times New Roman" w:hAnsi="Times New Roman"/>
                <w:sz w:val="16"/>
              </w:rPr>
              <w:t>100.0 / 88.6</w:t>
            </w:r>
          </w:p>
        </w:tc>
        <w:tc>
          <w:tcPr>
            <w:tcW w:type="dxa" w:w="2074"/>
          </w:tcPr>
          <w:p>
            <w:pPr>
              <w:keepNext/>
              <w:jc w:val="center"/>
            </w:pPr>
            <w:r/>
            <w:r>
              <w:rPr>
                <w:rFonts w:ascii="Times New Roman" w:hAnsi="Times New Roman"/>
                <w:sz w:val="16"/>
              </w:rPr>
              <w:t>100.0 / 66.5</w:t>
            </w:r>
          </w:p>
        </w:tc>
        <w:tc>
          <w:tcPr>
            <w:tcW w:type="dxa" w:w="2074"/>
          </w:tcPr>
          <w:p>
            <w:pPr>
              <w:keepNext/>
              <w:jc w:val="center"/>
            </w:pPr>
            <w:r/>
            <w:r>
              <w:rPr>
                <w:rFonts w:ascii="Times New Roman" w:hAnsi="Times New Roman"/>
                <w:sz w:val="16"/>
              </w:rPr>
              <w:t>99.6 / 50.4</w:t>
            </w:r>
          </w:p>
        </w:tc>
        <w:tc>
          <w:tcPr>
            <w:tcW w:type="dxa" w:w="2074"/>
          </w:tcPr>
          <w:p>
            <w:pPr>
              <w:keepNext/>
              <w:jc w:val="center"/>
            </w:pPr>
            <w:r/>
            <w:r>
              <w:rPr>
                <w:rFonts w:ascii="Times New Roman" w:hAnsi="Times New Roman"/>
                <w:sz w:val="16"/>
              </w:rPr>
              <w:t>97.5 / 36.0</w:t>
            </w:r>
          </w:p>
        </w:tc>
      </w:tr>
      <w:tr>
        <w:trPr>
          <w:cantSplit/>
        </w:trPr>
        <w:tc>
          <w:tcPr>
            <w:tcW w:type="dxa" w:w="2074"/>
            <w:tcBorders>
              <w:bottom w:val="single" w:sz="12" w:color="000000"/>
            </w:tcBorders>
          </w:tcPr>
          <w:p>
            <w:pPr>
              <w:jc w:val="left"/>
            </w:pPr>
            <w:r/>
            <w:r>
              <w:rPr>
                <w:rFonts w:ascii="Times New Roman" w:hAnsi="Times New Roman"/>
                <w:sz w:val="16"/>
              </w:rPr>
              <w:t>Loose tolerance</w:t>
            </w:r>
          </w:p>
        </w:tc>
        <w:tc>
          <w:tcPr>
            <w:tcW w:type="dxa" w:w="2074"/>
            <w:tcBorders>
              <w:bottom w:val="single" w:sz="12" w:color="000000"/>
            </w:tcBorders>
          </w:tcPr>
          <w:p>
            <w:pPr>
              <w:jc w:val="center"/>
            </w:pPr>
            <w:r/>
            <w:r>
              <w:rPr>
                <w:rFonts w:ascii="Times New Roman" w:hAnsi="Times New Roman"/>
                <w:sz w:val="16"/>
              </w:rPr>
              <w:t>100.0 / 97.5</w:t>
            </w:r>
          </w:p>
        </w:tc>
        <w:tc>
          <w:tcPr>
            <w:tcW w:type="dxa" w:w="2074"/>
            <w:tcBorders>
              <w:bottom w:val="single" w:sz="12" w:color="000000"/>
            </w:tcBorders>
          </w:tcPr>
          <w:p>
            <w:pPr>
              <w:jc w:val="center"/>
            </w:pPr>
            <w:r/>
            <w:r>
              <w:rPr>
                <w:rFonts w:ascii="Times New Roman" w:hAnsi="Times New Roman"/>
                <w:sz w:val="16"/>
              </w:rPr>
              <w:t>100.0 / 80.5</w:t>
            </w:r>
          </w:p>
        </w:tc>
        <w:tc>
          <w:tcPr>
            <w:tcW w:type="dxa" w:w="2074"/>
            <w:tcBorders>
              <w:bottom w:val="single" w:sz="12" w:color="000000"/>
            </w:tcBorders>
          </w:tcPr>
          <w:p>
            <w:pPr>
              <w:jc w:val="center"/>
            </w:pPr>
            <w:r/>
            <w:r>
              <w:rPr>
                <w:rFonts w:ascii="Times New Roman" w:hAnsi="Times New Roman"/>
                <w:sz w:val="16"/>
              </w:rPr>
              <w:t>100.0 / 63.1</w:t>
            </w:r>
          </w:p>
        </w:tc>
        <w:tc>
          <w:tcPr>
            <w:tcW w:type="dxa" w:w="2074"/>
            <w:tcBorders>
              <w:bottom w:val="single" w:sz="12" w:color="000000"/>
            </w:tcBorders>
          </w:tcPr>
          <w:p>
            <w:pPr>
              <w:jc w:val="center"/>
            </w:pPr>
            <w:r/>
            <w:r>
              <w:rPr>
                <w:rFonts w:ascii="Times New Roman" w:hAnsi="Times New Roman"/>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 xml:space="preserve">Fig. 8. Confirmation operating curves: donor recall versus fragment-level FP over </w:t>
      </w:r>
      <w:r>
        <w:rPr>
          <w:i/>
          <w:sz w:val="19"/>
        </w:rPr>
        <w:t>ρ</w:t>
      </w:r>
      <w:r>
        <w:rPr>
          <w:sz w:val="19"/>
        </w:rPr>
        <w:t>,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w:t>
      </w:r>
      <w:r>
        <w:rPr>
          <w:i/>
          <w:sz w:val="19"/>
        </w:rPr>
        <w:t>C</w:t>
      </w:r>
      <w:r>
        <w:rPr>
          <w:sz w:val="19"/>
        </w:rPr>
        <w:t xml:space="preserve">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sz w:val="16"/>
              </w:rPr>
              <w:t>L1 tolerant screen</w:t>
            </w:r>
          </w:p>
        </w:tc>
        <w:tc>
          <w:tcPr>
            <w:tcW w:type="dxa" w:w="2592"/>
          </w:tcPr>
          <w:p>
            <w:pPr>
              <w:keepNext/>
              <w:jc w:val="center"/>
            </w:pPr>
            <w:r/>
            <w:r>
              <w:rPr>
                <w:rFonts w:ascii="Times New Roman" w:hAnsi="Times New Roman"/>
                <w:sz w:val="16"/>
              </w:rPr>
              <w:t>100%</w:t>
            </w:r>
          </w:p>
        </w:tc>
        <w:tc>
          <w:tcPr>
            <w:tcW w:type="dxa" w:w="2592"/>
          </w:tcPr>
          <w:p>
            <w:pPr>
              <w:keepNext/>
              <w:jc w:val="center"/>
            </w:pPr>
            <w:r/>
            <w:r>
              <w:rPr>
                <w:rFonts w:ascii="Times New Roman" w:hAnsi="Times New Roman"/>
                <w:sz w:val="16"/>
              </w:rPr>
              <w:t>92.7% (</w:t>
            </w:r>
            <w:r>
              <w:rPr>
                <w:rFonts w:ascii="Times New Roman" w:hAnsi="Times New Roman"/>
                <w:i/>
                <w:sz w:val="16"/>
              </w:rPr>
              <w:t>τ</w:t>
            </w:r>
            <w:r>
              <w:rPr>
                <w:rFonts w:ascii="Times New Roman" w:hAnsi="Times New Roman"/>
                <w:sz w:val="16"/>
              </w:rPr>
              <w:t xml:space="preserve"> = </w:t>
            </w:r>
            <w:r>
              <w:rPr>
                <w:rFonts w:ascii="Times New Roman" w:hAnsi="Times New Roman"/>
                <w:i/>
                <w:sz w:val="16"/>
              </w:rPr>
              <w:t>⌊0.5·|S(q)|⌋</w:t>
            </w:r>
            <w:r>
              <w:rPr>
                <w:rFonts w:ascii="Times New Roman" w:hAnsi="Times New Roman"/>
                <w:sz w:val="16"/>
              </w:rPr>
              <w:t>); no threshold reaches &lt;50%</w:t>
            </w:r>
          </w:p>
        </w:tc>
        <w:tc>
          <w:tcPr>
            <w:tcW w:type="dxa" w:w="2592"/>
          </w:tcPr>
          <w:p>
            <w:pPr>
              <w:keepNext/>
              <w:jc w:val="center"/>
            </w:pPr>
            <w:r/>
            <w:r>
              <w:rPr>
                <w:rFonts w:ascii="Times New Roman" w:hAnsi="Times New Roman"/>
                <w:sz w:val="16"/>
              </w:rPr>
              <w:t>provable recall + anytime bound</w:t>
            </w:r>
          </w:p>
        </w:tc>
      </w:tr>
      <w:tr>
        <w:trPr>
          <w:cantSplit/>
        </w:trPr>
        <w:tc>
          <w:tcPr>
            <w:tcW w:type="dxa" w:w="2592"/>
          </w:tcPr>
          <w:p>
            <w:pPr>
              <w:keepNext/>
              <w:jc w:val="left"/>
            </w:pPr>
            <w:r/>
            <w:r>
              <w:rPr>
                <w:rFonts w:ascii="Times New Roman" w:hAnsi="Times New Roman"/>
                <w:sz w:val="16"/>
              </w:rPr>
              <w:t>L2 verbatim rank (top-1)</w:t>
            </w:r>
          </w:p>
        </w:tc>
        <w:tc>
          <w:tcPr>
            <w:tcW w:type="dxa" w:w="2592"/>
          </w:tcPr>
          <w:p>
            <w:pPr>
              <w:keepNext/>
              <w:jc w:val="center"/>
            </w:pPr>
            <w:r/>
            <w:r>
              <w:rPr>
                <w:rFonts w:ascii="Times New Roman" w:hAnsi="Times New Roman"/>
                <w:sz w:val="16"/>
              </w:rPr>
              <w:t>58.8% top-1 / 93.7% top-20</w:t>
            </w:r>
          </w:p>
        </w:tc>
        <w:tc>
          <w:tcPr>
            <w:tcW w:type="dxa" w:w="2592"/>
          </w:tcPr>
          <w:p>
            <w:pPr>
              <w:keepNext/>
              <w:jc w:val="center"/>
            </w:pPr>
            <w:r/>
            <w:r>
              <w:rPr>
                <w:rFonts w:ascii="Times New Roman" w:hAnsi="Times New Roman"/>
                <w:sz w:val="16"/>
              </w:rPr>
              <w:t>22.3%</w:t>
            </w:r>
          </w:p>
        </w:tc>
        <w:tc>
          <w:tcPr>
            <w:tcW w:type="dxa" w:w="2592"/>
          </w:tcPr>
          <w:p>
            <w:pPr>
              <w:keepNext/>
              <w:jc w:val="center"/>
            </w:pPr>
            <w:r/>
            <w:r>
              <w:rPr>
                <w:rFonts w:ascii="Times New Roman" w:hAnsi="Times New Roman"/>
                <w:sz w:val="16"/>
              </w:rPr>
              <w:t>no guarantee; per-corpus tuning</w:t>
            </w:r>
          </w:p>
        </w:tc>
      </w:tr>
      <w:tr>
        <w:trPr>
          <w:cantSplit/>
        </w:trPr>
        <w:tc>
          <w:tcPr>
            <w:tcW w:type="dxa" w:w="2592"/>
          </w:tcPr>
          <w:p>
            <w:pPr>
              <w:keepNext/>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=0.5)</w:t>
            </w:r>
          </w:p>
        </w:tc>
        <w:tc>
          <w:tcPr>
            <w:tcW w:type="dxa" w:w="2592"/>
          </w:tcPr>
          <w:p>
            <w:pPr>
              <w:keepNext/>
              <w:jc w:val="center"/>
            </w:pPr>
            <w:r/>
            <w:r>
              <w:rPr>
                <w:rFonts w:ascii="Times New Roman" w:hAnsi="Times New Roman"/>
                <w:sz w:val="16"/>
              </w:rPr>
              <w:t>80.7%</w:t>
            </w:r>
          </w:p>
        </w:tc>
        <w:tc>
          <w:tcPr>
            <w:tcW w:type="dxa" w:w="2592"/>
          </w:tcPr>
          <w:p>
            <w:pPr>
              <w:keepNext/>
              <w:jc w:val="center"/>
            </w:pPr>
            <w:r/>
            <w:r>
              <w:rPr>
                <w:rFonts w:ascii="Times New Roman" w:hAnsi="Times New Roman"/>
                <w:sz w:val="16"/>
              </w:rPr>
              <w:t>2.6%</w:t>
            </w:r>
          </w:p>
        </w:tc>
        <w:tc>
          <w:tcPr>
            <w:tcW w:type="dxa" w:w="2592"/>
          </w:tcPr>
          <w:p>
            <w:pPr>
              <w:keepNext/>
              <w:jc w:val="center"/>
            </w:pPr>
            <w:r/>
            <w:r>
              <w:rPr>
                <w:rFonts w:ascii="Times New Roman" w:hAnsi="Times New Roman"/>
                <w:sz w:val="16"/>
              </w:rPr>
              <w:t>decision-grade</w:t>
            </w:r>
          </w:p>
        </w:tc>
      </w:tr>
      <w:tr>
        <w:trPr>
          <w:cantSplit/>
        </w:trPr>
        <w:tc>
          <w:tcPr>
            <w:tcW w:type="dxa" w:w="2592"/>
            <w:tcBorders>
              <w:bottom w:val="single" w:sz="12" w:color="000000"/>
            </w:tcBorders>
          </w:tcPr>
          <w:p>
            <w:pPr>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=0.4)</w:t>
            </w:r>
          </w:p>
        </w:tc>
        <w:tc>
          <w:tcPr>
            <w:tcW w:type="dxa" w:w="2592"/>
            <w:tcBorders>
              <w:bottom w:val="single" w:sz="12" w:color="000000"/>
            </w:tcBorders>
          </w:tcPr>
          <w:p>
            <w:pPr>
              <w:jc w:val="center"/>
            </w:pPr>
            <w:r/>
            <w:r>
              <w:rPr>
                <w:rFonts w:ascii="Times New Roman" w:hAnsi="Times New Roman"/>
                <w:sz w:val="16"/>
              </w:rPr>
              <w:t>95.7%</w:t>
            </w:r>
          </w:p>
        </w:tc>
        <w:tc>
          <w:tcPr>
            <w:tcW w:type="dxa" w:w="2592"/>
            <w:tcBorders>
              <w:bottom w:val="single" w:sz="12" w:color="000000"/>
            </w:tcBorders>
          </w:tcPr>
          <w:p>
            <w:pPr>
              <w:jc w:val="center"/>
            </w:pPr>
            <w:r/>
            <w:r>
              <w:rPr>
                <w:rFonts w:ascii="Times New Roman" w:hAnsi="Times New Roman"/>
                <w:sz w:val="16"/>
              </w:rPr>
              <w:t>8.2%</w:t>
            </w:r>
          </w:p>
        </w:tc>
        <w:tc>
          <w:tcPr>
            <w:tcW w:type="dxa" w:w="2592"/>
            <w:tcBorders>
              <w:bottom w:val="single" w:sz="12" w:color="000000"/>
            </w:tcBorders>
          </w:tcPr>
          <w:p>
            <w:pPr>
              <w:jc w:val="center"/>
            </w:pPr>
            <w:r/>
            <w:r>
              <w:rPr>
                <w:rFonts w:ascii="Times New Roman" w:hAnsi="Times New Roman"/>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0.75×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21,467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1.00×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1.25×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15,952</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1.50×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12,061</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(0, 0, 0)</w:t>
            </w:r>
          </w:p>
        </w:tc>
        <w:tc>
          <w:tcPr>
            <w:tcW w:type="dxa" w:w="2074"/>
          </w:tcPr>
          <w:p>
            <w:pPr>
              <w:keepNext/>
              <w:jc w:val="center"/>
            </w:pPr>
            <w:r/>
            <w:r>
              <w:rPr>
                <w:rFonts w:ascii="Times New Roman" w:hAnsi="Times New Roman"/>
                <w:sz w:val="16"/>
              </w:rPr>
              <w:t>23/29</w:t>
            </w:r>
          </w:p>
        </w:tc>
        <w:tc>
          <w:tcPr>
            <w:tcW w:type="dxa" w:w="2074"/>
          </w:tcPr>
          <w:p>
            <w:pPr>
              <w:keepNext/>
              <w:jc w:val="center"/>
            </w:pPr>
            <w:r/>
            <w:r>
              <w:rPr>
                <w:rFonts w:ascii="Times New Roman" w:hAnsi="Times New Roman"/>
                <w:sz w:val="16"/>
              </w:rPr>
              <w:t>338</w:t>
            </w:r>
          </w:p>
        </w:tc>
        <w:tc>
          <w:tcPr>
            <w:tcW w:type="dxa" w:w="2074"/>
          </w:tcPr>
          <w:p>
            <w:pPr>
              <w:keepNext/>
              <w:jc w:val="center"/>
            </w:pPr>
            <w:r/>
            <w:r>
              <w:rPr>
                <w:rFonts w:ascii="Times New Roman" w:hAnsi="Times New Roman"/>
                <w:sz w:val="16"/>
              </w:rPr>
              <w:t>1.0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(1, 0, 0)</w:t>
            </w:r>
          </w:p>
        </w:tc>
        <w:tc>
          <w:tcPr>
            <w:tcW w:type="dxa" w:w="2074"/>
          </w:tcPr>
          <w:p>
            <w:pPr>
              <w:keepNext/>
              <w:jc w:val="center"/>
            </w:pPr>
            <w:r/>
            <w:r>
              <w:rPr>
                <w:rFonts w:ascii="Times New Roman" w:hAnsi="Times New Roman"/>
                <w:sz w:val="16"/>
              </w:rPr>
              <w:t>25/29</w:t>
            </w:r>
          </w:p>
        </w:tc>
        <w:tc>
          <w:tcPr>
            <w:tcW w:type="dxa" w:w="2074"/>
          </w:tcPr>
          <w:p>
            <w:pPr>
              <w:keepNext/>
              <w:jc w:val="center"/>
            </w:pPr>
            <w:r/>
            <w:r>
              <w:rPr>
                <w:rFonts w:ascii="Times New Roman" w:hAnsi="Times New Roman"/>
                <w:sz w:val="16"/>
              </w:rPr>
              <w:t>2,099</w:t>
            </w:r>
          </w:p>
        </w:tc>
        <w:tc>
          <w:tcPr>
            <w:tcW w:type="dxa" w:w="2074"/>
          </w:tcPr>
          <w:p>
            <w:pPr>
              <w:keepNext/>
              <w:jc w:val="center"/>
            </w:pPr>
            <w:r/>
            <w:r>
              <w:rPr>
                <w:rFonts w:ascii="Times New Roman" w:hAnsi="Times New Roman"/>
                <w:sz w:val="16"/>
              </w:rPr>
              <w:t>2.0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0, 0)</w:t>
            </w:r>
          </w:p>
        </w:tc>
        <w:tc>
          <w:tcPr>
            <w:tcW w:type="dxa" w:w="2074"/>
          </w:tcPr>
          <w:p>
            <w:pPr>
              <w:keepNext/>
              <w:jc w:val="center"/>
            </w:pPr>
            <w:r/>
            <w:r>
              <w:rPr>
                <w:rFonts w:ascii="Times New Roman" w:hAnsi="Times New Roman"/>
                <w:sz w:val="16"/>
              </w:rPr>
              <w:t>26/29</w:t>
            </w:r>
          </w:p>
        </w:tc>
        <w:tc>
          <w:tcPr>
            <w:tcW w:type="dxa" w:w="2074"/>
          </w:tcPr>
          <w:p>
            <w:pPr>
              <w:keepNext/>
              <w:jc w:val="center"/>
            </w:pPr>
            <w:r/>
            <w:r>
              <w:rPr>
                <w:rFonts w:ascii="Times New Roman" w:hAnsi="Times New Roman"/>
                <w:sz w:val="16"/>
              </w:rPr>
              <w:t>3,906</w:t>
            </w:r>
          </w:p>
        </w:tc>
        <w:tc>
          <w:tcPr>
            <w:tcW w:type="dxa" w:w="2074"/>
          </w:tcPr>
          <w:p>
            <w:pPr>
              <w:keepNext/>
              <w:jc w:val="center"/>
            </w:pPr>
            <w:r/>
            <w:r>
              <w:rPr>
                <w:rFonts w:ascii="Times New Roman" w:hAnsi="Times New Roman"/>
                <w:sz w:val="16"/>
              </w:rPr>
              <w:t>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12,110</w:t>
            </w:r>
          </w:p>
        </w:tc>
        <w:tc>
          <w:tcPr>
            <w:tcW w:type="dxa" w:w="2074"/>
          </w:tcPr>
          <w:p>
            <w:pPr>
              <w:keepNext/>
              <w:jc w:val="center"/>
            </w:pPr>
            <w:r/>
            <w:r>
              <w:rPr>
                <w:rFonts w:ascii="Times New Roman" w:hAnsi="Times New Roman"/>
                <w:sz w:val="16"/>
              </w:rPr>
              <w:t>7.5</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(3,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19,815</w:t>
            </w:r>
          </w:p>
        </w:tc>
        <w:tc>
          <w:tcPr>
            <w:tcW w:type="dxa" w:w="2074"/>
          </w:tcPr>
          <w:p>
            <w:pPr>
              <w:keepNext/>
              <w:jc w:val="center"/>
            </w:pPr>
            <w:r/>
            <w:r>
              <w:rPr>
                <w:rFonts w:ascii="Times New Roman" w:hAnsi="Times New Roman"/>
                <w:sz w:val="16"/>
              </w:rPr>
              <w:t>16.0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250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21,043</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125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25.6</w:t>
            </w:r>
          </w:p>
        </w:tc>
      </w:tr>
      <w:tr>
        <w:trPr>
          <w:cantSplit/>
        </w:trPr>
        <w:tc>
          <w:tcPr>
            <w:tcW w:type="dxa" w:w="2074"/>
            <w:tcBorders>
              <w:bottom w:val="single" w:sz="12" w:color="000000"/>
            </w:tcBorders>
          </w:tcPr>
          <w:p>
            <w:pPr>
              <w:jc w:val="left"/>
            </w:pPr>
            <w:r/>
            <w:r>
              <w:rPr>
                <w:rFonts w:ascii="Times New Roman" w:hAnsi="Times New Roman"/>
                <w:sz w:val="16"/>
              </w:rPr>
              <w:t>E5.7_grid</w:t>
            </w:r>
          </w:p>
        </w:tc>
        <w:tc>
          <w:tcPr>
            <w:tcW w:type="dxa" w:w="2074"/>
            <w:tcBorders>
              <w:bottom w:val="single" w:sz="12" w:color="000000"/>
            </w:tcBorders>
          </w:tcPr>
          <w:p>
            <w:pPr>
              <w:jc w:val="center"/>
            </w:pPr>
            <w:r/>
            <w:r>
              <w:rPr>
                <w:rFonts w:ascii="Times New Roman" w:hAnsi="Times New Roman"/>
                <w:sz w:val="16"/>
              </w:rPr>
              <w:t>62 ms grid</w:t>
            </w:r>
          </w:p>
        </w:tc>
        <w:tc>
          <w:tcPr>
            <w:tcW w:type="dxa" w:w="2074"/>
            <w:tcBorders>
              <w:bottom w:val="single" w:sz="12" w:color="000000"/>
            </w:tcBorders>
          </w:tcPr>
          <w:p>
            <w:pPr>
              <w:jc w:val="center"/>
            </w:pPr>
            <w:r/>
            <w:r>
              <w:rPr>
                <w:rFonts w:ascii="Times New Roman" w:hAnsi="Times New Roman"/>
                <w:sz w:val="16"/>
              </w:rPr>
              <w:t>29/29</w:t>
            </w:r>
          </w:p>
        </w:tc>
        <w:tc>
          <w:tcPr>
            <w:tcW w:type="dxa" w:w="2074"/>
            <w:tcBorders>
              <w:bottom w:val="single" w:sz="12" w:color="000000"/>
            </w:tcBorders>
          </w:tcPr>
          <w:p>
            <w:pPr>
              <w:jc w:val="center"/>
            </w:pPr>
            <w:r/>
            <w:r>
              <w:rPr>
                <w:rFonts w:ascii="Times New Roman" w:hAnsi="Times New Roman"/>
                <w:sz w:val="16"/>
              </w:rPr>
              <w:t>15,918</w:t>
            </w:r>
          </w:p>
        </w:tc>
        <w:tc>
          <w:tcPr>
            <w:tcW w:type="dxa" w:w="2074"/>
            <w:tcBorders>
              <w:bottom w:val="single" w:sz="12" w:color="000000"/>
            </w:tcBorders>
          </w:tcPr>
          <w:p>
            <w:pPr>
              <w:jc w:val="center"/>
            </w:pPr>
            <w:r/>
            <w:r>
              <w:rPr>
                <w:rFonts w:ascii="Times New Roman" w:hAnsi="Times New Roman"/>
                <w:sz w:val="16"/>
              </w:rPr>
              <w:t>12.0</w:t>
            </w:r>
          </w:p>
        </w:tc>
      </w:tr>
    </w:tbl>
    <w:p>
      <w:pPr>
        <w:spacing w:after="40"/>
      </w:pPr>
    </w:p>
    <w:p>
      <w:pPr>
        <w:pStyle w:val="Heading2"/>
      </w:pPr>
      <w:r>
        <w:t>G. Set-similarity retrieval: the MinHash-LSH baseline</w:t>
      </w:r>
    </w:p>
    <w:p>
      <w:pPr>
        <w:spacing w:after="0"/>
        <w:ind w:firstLine="204"/>
        <w:jc w:val="both"/>
      </w:pPr>
      <w:r>
        <w:t xml:space="preserve">Why does the LSH index return nothing? The reason is geometric, not engineering. A planted query of the recall matrix embeds a 40-item span in 300 noise items and probes a corpus of pieces of ~700 items each, so even a perfect set-Jaccard oracle scores the donor at only 0.045 / 0.099 / 0.200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 xml:space="preserve">Tuning the band configuration moves the operating point along a recall-versus-candidate-volume trade-off, not past it (Table </w:t>
      </w:r>
      <w:r>
        <w:rPr>
          <w:i/>
        </w:rPr>
        <w:t>X</w:t>
      </w:r>
      <w:r>
        <w:t xml:space="preserve">): with the standard 16 x 8 bands at </w:t>
      </w:r>
      <w:r>
        <w:rPr>
          <w:i/>
        </w:rPr>
        <w:t>τ</w:t>
      </w:r>
      <w:r>
        <w:t xml:space="preserve">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w:t>
      </w:r>
      <w:r>
        <w:rPr>
          <w:i/>
        </w:rPr>
        <w:t>τ</w:t>
      </w:r>
      <w:r>
        <w:t xml:space="preserve"> = 0.05 recovers the donor in 95.8% of cells, at the price of returning a median of 518 of 1,000 candidates per query, of which a median of 9 pass </w:t>
      </w:r>
      <w:r>
        <w:rPr>
          <w:i/>
        </w:rPr>
        <w:t>τ</w:t>
      </w:r>
      <w:r>
        <w:t xml:space="preserve"> = 0.05 by chance. Either way the screen that certifies 99.1% recall on the same 337 cells is unreachable: set-similarity semantics, accelerated or not, do not express containment.</w:t>
      </w:r>
    </w:p>
    <w:p>
      <w:pPr>
        <w:spacing w:after="0"/>
        <w:ind w:firstLine="204"/>
        <w:jc w:val="both"/>
      </w:pPr>
      <w:r>
        <w:t xml:space="preserve">Could containment-aware LSH close this gap? Containment estimators [35], [36] replace resemblance with the ratio |A ∩ </w:t>
      </w:r>
      <w:r>
        <w:rPr>
          <w:i/>
        </w:rPr>
        <w:t>B</w:t>
      </w:r>
      <w:r>
        <w:t>| / min(|A|, |</w:t>
      </w:r>
      <w:r>
        <w:rPr>
          <w:i/>
        </w:rPr>
        <w:t>B</w:t>
      </w:r>
      <w:r>
        <w:t xml:space="preserve">|),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w:t>
      </w:r>
      <w:r>
        <w:rPr>
          <w:i/>
        </w:rPr>
        <w:t>X</w:t>
      </w:r>
      <w:r>
        <w:t xml:space="preserve"> is that no re-tuning of Jaccard-band geometry reaches the screen's recall, and containment estimators trade that impasse for variance rather than resolving it.</w:t>
      </w:r>
    </w:p>
    <w:p>
      <w:pPr>
        <w:pStyle w:val="TableTitle"/>
        <w:keepNext/>
      </w:pPr>
      <w:r>
        <w:t xml:space="preserve">TABLE </w:t>
      </w:r>
      <w:r>
        <w:rPr>
          <w:i/>
        </w:rPr>
        <w:t>X</w:t>
      </w:r>
      <w:r>
        <w:t>.</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i/>
                <w:sz w:val="16"/>
              </w:rPr>
              <w:t>τ</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 xml:space="preserve">Median passing </w:t>
            </w:r>
            <w:r>
              <w:rPr>
                <w:rFonts w:ascii="Times New Roman" w:hAnsi="Times New Roman"/>
                <w:b/>
                <w:i/>
                <w:sz w:val="16"/>
              </w:rPr>
              <w:t>τ</w:t>
            </w:r>
          </w:p>
        </w:tc>
      </w:tr>
      <w:tr>
        <w:trPr>
          <w:cantSplit/>
        </w:trPr>
        <w:tc>
          <w:tcPr>
            <w:tcW w:type="dxa" w:w="1728"/>
          </w:tcPr>
          <w:p>
            <w:pPr>
              <w:keepNext/>
              <w:jc w:val="left"/>
            </w:pPr>
            <w:r/>
            <w:r>
              <w:rPr>
                <w:rFonts w:ascii="Times New Roman" w:hAnsi="Times New Roman"/>
                <w:sz w:val="16"/>
              </w:rPr>
              <w:t>16 bands x 8 rows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w:t>
            </w:r>
          </w:p>
        </w:tc>
        <w:tc>
          <w:tcPr>
            <w:tcW w:type="dxa" w:w="1728"/>
          </w:tcPr>
          <w:p>
            <w:pPr>
              <w:keepNext/>
              <w:jc w:val="center"/>
            </w:pPr>
            <w:r/>
            <w:r>
              <w:rPr>
                <w:rFonts w:ascii="Times New Roman" w:hAnsi="Times New Roman"/>
                <w:sz w:val="16"/>
              </w:rPr>
              <w:t>0</w:t>
            </w:r>
          </w:p>
        </w:tc>
      </w:tr>
      <w:tr>
        <w:trPr>
          <w:cantSplit/>
        </w:trPr>
        <w:tc>
          <w:tcPr>
            <w:tcW w:type="dxa" w:w="1728"/>
          </w:tcPr>
          <w:p>
            <w:pPr>
              <w:keepNext/>
              <w:jc w:val="left"/>
            </w:pPr>
            <w:r/>
            <w:r>
              <w:rPr>
                <w:rFonts w:ascii="Times New Roman" w:hAnsi="Times New Roman"/>
                <w:sz w:val="16"/>
              </w:rPr>
              <w:t>2 rows x 64 bands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51.9</w:t>
            </w:r>
          </w:p>
        </w:tc>
        <w:tc>
          <w:tcPr>
            <w:tcW w:type="dxa" w:w="1728"/>
          </w:tcPr>
          <w:p>
            <w:pPr>
              <w:keepNext/>
              <w:jc w:val="center"/>
            </w:pPr>
            <w:r/>
            <w:r>
              <w:rPr>
                <w:rFonts w:ascii="Times New Roman" w:hAnsi="Times New Roman"/>
                <w:sz w:val="16"/>
              </w:rPr>
              <w:t>43.6</w:t>
            </w:r>
          </w:p>
        </w:tc>
        <w:tc>
          <w:tcPr>
            <w:tcW w:type="dxa" w:w="1728"/>
          </w:tcPr>
          <w:p>
            <w:pPr>
              <w:keepNext/>
              <w:jc w:val="center"/>
            </w:pPr>
            <w:r/>
            <w:r>
              <w:rPr>
                <w:rFonts w:ascii="Times New Roman" w:hAnsi="Times New Roman"/>
                <w:sz w:val="16"/>
              </w:rPr>
              <w:t>11</w:t>
            </w:r>
          </w:p>
        </w:tc>
        <w:tc>
          <w:tcPr>
            <w:tcW w:type="dxa" w:w="1728"/>
          </w:tcPr>
          <w:p>
            <w:pPr>
              <w:keepNext/>
              <w:jc w:val="center"/>
            </w:pPr>
            <w:r/>
            <w:r>
              <w:rPr>
                <w:rFonts w:ascii="Times New Roman" w:hAnsi="Times New Roman"/>
                <w:sz w:val="16"/>
              </w:rPr>
              <w:t>0</w:t>
            </w:r>
          </w:p>
        </w:tc>
      </w:tr>
      <w:tr>
        <w:trPr>
          <w:cantSplit/>
        </w:trPr>
        <w:tc>
          <w:tcPr>
            <w:tcW w:type="dxa" w:w="1728"/>
            <w:tcBorders>
              <w:bottom w:val="single" w:sz="12" w:color="000000"/>
            </w:tcBorders>
          </w:tcPr>
          <w:p>
            <w:pPr>
              <w:jc w:val="left"/>
            </w:pPr>
            <w:r/>
            <w:r>
              <w:rPr>
                <w:rFonts w:ascii="Times New Roman" w:hAnsi="Times New Roman"/>
                <w:sz w:val="16"/>
              </w:rPr>
              <w:t>1 row x 128 bands</w:t>
            </w:r>
          </w:p>
        </w:tc>
        <w:tc>
          <w:tcPr>
            <w:tcW w:type="dxa" w:w="1728"/>
            <w:tcBorders>
              <w:bottom w:val="single" w:sz="12" w:color="000000"/>
            </w:tcBorders>
          </w:tcPr>
          <w:p>
            <w:pPr>
              <w:jc w:val="center"/>
            </w:pPr>
            <w:r/>
            <w:r>
              <w:rPr>
                <w:rFonts w:ascii="Times New Roman" w:hAnsi="Times New Roman"/>
                <w:sz w:val="16"/>
              </w:rPr>
              <w:t>0.05</w:t>
            </w:r>
          </w:p>
        </w:tc>
        <w:tc>
          <w:tcPr>
            <w:tcW w:type="dxa" w:w="1728"/>
            <w:tcBorders>
              <w:bottom w:val="single" w:sz="12" w:color="000000"/>
            </w:tcBorders>
          </w:tcPr>
          <w:p>
            <w:pPr>
              <w:jc w:val="center"/>
            </w:pPr>
            <w:r/>
            <w:r>
              <w:rPr>
                <w:rFonts w:ascii="Times New Roman" w:hAnsi="Times New Roman"/>
                <w:sz w:val="16"/>
              </w:rPr>
              <w:t>95.8</w:t>
            </w:r>
          </w:p>
        </w:tc>
        <w:tc>
          <w:tcPr>
            <w:tcW w:type="dxa" w:w="1728"/>
            <w:tcBorders>
              <w:bottom w:val="single" w:sz="12" w:color="000000"/>
            </w:tcBorders>
          </w:tcPr>
          <w:p>
            <w:pPr>
              <w:jc w:val="center"/>
            </w:pPr>
            <w:r/>
            <w:r>
              <w:rPr>
                <w:rFonts w:ascii="Times New Roman" w:hAnsi="Times New Roman"/>
                <w:sz w:val="16"/>
              </w:rPr>
              <w:t>72.1</w:t>
            </w:r>
          </w:p>
        </w:tc>
        <w:tc>
          <w:tcPr>
            <w:tcW w:type="dxa" w:w="1728"/>
            <w:tcBorders>
              <w:bottom w:val="single" w:sz="12" w:color="000000"/>
            </w:tcBorders>
          </w:tcPr>
          <w:p>
            <w:pPr>
              <w:jc w:val="center"/>
            </w:pPr>
            <w:r/>
            <w:r>
              <w:rPr>
                <w:rFonts w:ascii="Times New Roman" w:hAnsi="Times New Roman"/>
                <w:sz w:val="16"/>
              </w:rPr>
              <w:t>518</w:t>
            </w:r>
          </w:p>
        </w:tc>
        <w:tc>
          <w:tcPr>
            <w:tcW w:type="dxa" w:w="1728"/>
            <w:tcBorders>
              <w:bottom w:val="single" w:sz="12" w:color="000000"/>
            </w:tcBorders>
          </w:tcPr>
          <w:p>
            <w:pPr>
              <w:jc w:val="center"/>
            </w:pPr>
            <w:r/>
            <w:r>
              <w:rPr>
                <w:rFonts w:ascii="Times New Roman" w:hAnsi="Times New Roman"/>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 xml:space="preserve">Fig. 11. The containment-versus-Jaccard geometry behind Table </w:t>
      </w:r>
      <w:r>
        <w:rPr>
          <w:i/>
          <w:sz w:val="19"/>
        </w:rPr>
        <w:t>X</w:t>
      </w:r>
      <w:r>
        <w:rPr>
          <w:sz w:val="19"/>
        </w:rPr>
        <w:t>.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w:t>
      </w:r>
      <w:r>
        <w:rPr>
          <w:i/>
        </w:rPr>
        <w:t>m</w:t>
      </w:r>
      <w:r>
        <w:t xml:space="preserve"> pitch n-gram model mixed with a per-note copy operator at probability </w:t>
      </w:r>
      <w:r>
        <w:rPr>
          <w:i/>
        </w:rPr>
        <w:t>λ</w:t>
      </w:r>
      <w:r>
        <w:t xml:space="preserve">, sweeping </w:t>
      </w:r>
      <w:r>
        <w:rPr>
          <w:i/>
        </w:rPr>
        <w:t>m</w:t>
      </w:r>
      <w:r>
        <w:t xml:space="preserve">∈{2,4,8} and </w:t>
      </w:r>
      <w:r>
        <w:rPr>
          <w:i/>
        </w:rPr>
        <w:t>λ</w:t>
      </w:r>
      <w:r>
        <w:t xml:space="preserve">∈{0, 0.25, ..., 1}; 750 generated pieces are screened with the production cascade. Detection (Fig. 12, Table XI) rises monotonically: 26-34% at </w:t>
      </w:r>
      <w:r>
        <w:rPr>
          <w:i/>
        </w:rPr>
        <w:t>λ</w:t>
      </w:r>
      <w:r>
        <w:t xml:space="preserve">=0—these residual hits are style-level shared structures, attributed to the source piece in only 2-4% of cases—through 44-56% at </w:t>
      </w:r>
      <w:r>
        <w:rPr>
          <w:i/>
        </w:rPr>
        <w:t>λ</w:t>
      </w:r>
      <w:r>
        <w:t xml:space="preserve">=0.5, to 100% at </w:t>
      </w:r>
      <w:r>
        <w:rPr>
          <w:i/>
        </w:rPr>
        <w:t>λ</w:t>
      </w:r>
      <w:r>
        <w:t xml:space="preserve">=1 with 96-100% correct source attribution. </w:t>
      </w:r>
    </w:p>
    <w:p>
      <w:pPr>
        <w:spacing w:after="0"/>
        <w:ind w:firstLine="204"/>
        <w:jc w:val="both"/>
      </w:pPr>
      <w:r>
        <w:t>Fragmented partial memorization (</w:t>
      </w:r>
      <w:r>
        <w:rPr>
          <w:i/>
        </w:rPr>
        <w:t>λ</w:t>
      </w:r>
      <w:r>
        <w:t>=0.25,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w:t>
      </w:r>
      <w:r>
        <w:rPr>
          <w:i/>
        </w:rPr>
        <w:t>m</w:t>
      </w:r>
      <w:r>
        <w:t xml:space="preserve"> pitch n-gram mixed with per-note copy at probability </w:t>
      </w:r>
      <w:r>
        <w:rPr>
          <w:i/>
        </w:rPr>
        <w:t>λ</w:t>
      </w:r>
      <w:r>
        <w:t>).</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i/>
                <w:sz w:val="16"/>
              </w:rPr>
              <w:t>m</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0.25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0.75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1</w:t>
            </w:r>
          </w:p>
        </w:tc>
      </w:tr>
      <w:tr>
        <w:trPr>
          <w:cantSplit/>
        </w:trPr>
        <w:tc>
          <w:tcPr>
            <w:tcW w:type="dxa" w:w="1728"/>
          </w:tcPr>
          <w:p>
            <w:pPr>
              <w:keepNext/>
              <w:jc w:val="left"/>
            </w:pPr>
            <w:r/>
            <w:r>
              <w:rPr>
                <w:rFonts w:ascii="Times New Roman" w:hAnsi="Times New Roman"/>
                <w:sz w:val="16"/>
              </w:rPr>
              <w:t>2</w:t>
            </w:r>
          </w:p>
        </w:tc>
        <w:tc>
          <w:tcPr>
            <w:tcW w:type="dxa" w:w="1728"/>
          </w:tcPr>
          <w:p>
            <w:pPr>
              <w:keepNext/>
              <w:jc w:val="center"/>
            </w:pPr>
            <w:r/>
            <w:r>
              <w:rPr>
                <w:rFonts w:ascii="Times New Roman" w:hAnsi="Times New Roman"/>
                <w:sz w:val="16"/>
              </w:rPr>
              <w:t>26 / 4</w:t>
            </w:r>
          </w:p>
        </w:tc>
        <w:tc>
          <w:tcPr>
            <w:tcW w:type="dxa" w:w="1728"/>
          </w:tcPr>
          <w:p>
            <w:pPr>
              <w:keepNext/>
              <w:jc w:val="center"/>
            </w:pPr>
            <w:r/>
            <w:r>
              <w:rPr>
                <w:rFonts w:ascii="Times New Roman" w:hAnsi="Times New Roman"/>
                <w:sz w:val="16"/>
              </w:rPr>
              <w:t>30 / 0</w:t>
            </w:r>
          </w:p>
        </w:tc>
        <w:tc>
          <w:tcPr>
            <w:tcW w:type="dxa" w:w="1728"/>
          </w:tcPr>
          <w:p>
            <w:pPr>
              <w:keepNext/>
              <w:jc w:val="center"/>
            </w:pPr>
            <w:r/>
            <w:r>
              <w:rPr>
                <w:rFonts w:ascii="Times New Roman" w:hAnsi="Times New Roman"/>
                <w:sz w:val="16"/>
              </w:rPr>
              <w:t>44 / 18</w:t>
            </w:r>
          </w:p>
        </w:tc>
        <w:tc>
          <w:tcPr>
            <w:tcW w:type="dxa" w:w="1728"/>
          </w:tcPr>
          <w:p>
            <w:pPr>
              <w:keepNext/>
              <w:jc w:val="center"/>
            </w:pPr>
            <w:r/>
            <w:r>
              <w:rPr>
                <w:rFonts w:ascii="Times New Roman" w:hAnsi="Times New Roman"/>
                <w:sz w:val="16"/>
              </w:rPr>
              <w:t>96 / 90</w:t>
            </w:r>
          </w:p>
        </w:tc>
        <w:tc>
          <w:tcPr>
            <w:tcW w:type="dxa" w:w="1728"/>
          </w:tcPr>
          <w:p>
            <w:pPr>
              <w:keepNext/>
              <w:jc w:val="center"/>
            </w:pPr>
            <w:r/>
            <w:r>
              <w:rPr>
                <w:rFonts w:ascii="Times New Roman" w:hAnsi="Times New Roman"/>
                <w:sz w:val="16"/>
              </w:rPr>
              <w:t>100 / 100</w:t>
            </w:r>
          </w:p>
        </w:tc>
      </w:tr>
      <w:tr>
        <w:trPr>
          <w:cantSplit/>
        </w:trPr>
        <w:tc>
          <w:tcPr>
            <w:tcW w:type="dxa" w:w="1728"/>
          </w:tcPr>
          <w:p>
            <w:pPr>
              <w:keepNext/>
              <w:jc w:val="left"/>
            </w:pPr>
            <w:r/>
            <w:r>
              <w:rPr>
                <w:rFonts w:ascii="Times New Roman" w:hAnsi="Times New Roman"/>
                <w:sz w:val="16"/>
              </w:rPr>
              <w:t>4</w:t>
            </w:r>
          </w:p>
        </w:tc>
        <w:tc>
          <w:tcPr>
            <w:tcW w:type="dxa" w:w="1728"/>
          </w:tcPr>
          <w:p>
            <w:pPr>
              <w:keepNext/>
              <w:jc w:val="center"/>
            </w:pPr>
            <w:r/>
            <w:r>
              <w:rPr>
                <w:rFonts w:ascii="Times New Roman" w:hAnsi="Times New Roman"/>
                <w:sz w:val="16"/>
              </w:rPr>
              <w:t>34 / 2</w:t>
            </w:r>
          </w:p>
        </w:tc>
        <w:tc>
          <w:tcPr>
            <w:tcW w:type="dxa" w:w="1728"/>
          </w:tcPr>
          <w:p>
            <w:pPr>
              <w:keepNext/>
              <w:jc w:val="center"/>
            </w:pPr>
            <w:r/>
            <w:r>
              <w:rPr>
                <w:rFonts w:ascii="Times New Roman" w:hAnsi="Times New Roman"/>
                <w:sz w:val="16"/>
              </w:rPr>
              <w:t>24 / 0</w:t>
            </w:r>
          </w:p>
        </w:tc>
        <w:tc>
          <w:tcPr>
            <w:tcW w:type="dxa" w:w="1728"/>
          </w:tcPr>
          <w:p>
            <w:pPr>
              <w:keepNext/>
              <w:jc w:val="center"/>
            </w:pPr>
            <w:r/>
            <w:r>
              <w:rPr>
                <w:rFonts w:ascii="Times New Roman" w:hAnsi="Times New Roman"/>
                <w:sz w:val="16"/>
              </w:rPr>
              <w:t>54 / 36</w:t>
            </w:r>
          </w:p>
        </w:tc>
        <w:tc>
          <w:tcPr>
            <w:tcW w:type="dxa" w:w="1728"/>
          </w:tcPr>
          <w:p>
            <w:pPr>
              <w:keepNext/>
              <w:jc w:val="center"/>
            </w:pPr>
            <w:r/>
            <w:r>
              <w:rPr>
                <w:rFonts w:ascii="Times New Roman" w:hAnsi="Times New Roman"/>
                <w:sz w:val="16"/>
              </w:rPr>
              <w:t>100 / 94</w:t>
            </w:r>
          </w:p>
        </w:tc>
        <w:tc>
          <w:tcPr>
            <w:tcW w:type="dxa" w:w="1728"/>
          </w:tcPr>
          <w:p>
            <w:pPr>
              <w:keepNext/>
              <w:jc w:val="center"/>
            </w:pPr>
            <w:r/>
            <w:r>
              <w:rPr>
                <w:rFonts w:ascii="Times New Roman" w:hAnsi="Times New Roman"/>
                <w:sz w:val="16"/>
              </w:rPr>
              <w:t>100 / 96</w:t>
            </w:r>
          </w:p>
        </w:tc>
      </w:tr>
      <w:tr>
        <w:trPr>
          <w:cantSplit/>
        </w:trPr>
        <w:tc>
          <w:tcPr>
            <w:tcW w:type="dxa" w:w="1728"/>
            <w:tcBorders>
              <w:bottom w:val="single" w:sz="12" w:color="000000"/>
            </w:tcBorders>
          </w:tcPr>
          <w:p>
            <w:pPr>
              <w:jc w:val="left"/>
            </w:pPr>
            <w:r/>
            <w:r>
              <w:rPr>
                <w:rFonts w:ascii="Times New Roman" w:hAnsi="Times New Roman"/>
                <w:sz w:val="16"/>
              </w:rPr>
              <w:t>8</w:t>
            </w:r>
          </w:p>
        </w:tc>
        <w:tc>
          <w:tcPr>
            <w:tcW w:type="dxa" w:w="1728"/>
            <w:tcBorders>
              <w:bottom w:val="single" w:sz="12" w:color="000000"/>
            </w:tcBorders>
          </w:tcPr>
          <w:p>
            <w:pPr>
              <w:jc w:val="center"/>
            </w:pPr>
            <w:r/>
            <w:r>
              <w:rPr>
                <w:rFonts w:ascii="Times New Roman" w:hAnsi="Times New Roman"/>
                <w:sz w:val="16"/>
              </w:rPr>
              <w:t>32 / 2</w:t>
            </w:r>
          </w:p>
        </w:tc>
        <w:tc>
          <w:tcPr>
            <w:tcW w:type="dxa" w:w="1728"/>
            <w:tcBorders>
              <w:bottom w:val="single" w:sz="12" w:color="000000"/>
            </w:tcBorders>
          </w:tcPr>
          <w:p>
            <w:pPr>
              <w:jc w:val="center"/>
            </w:pPr>
            <w:r/>
            <w:r>
              <w:rPr>
                <w:rFonts w:ascii="Times New Roman" w:hAnsi="Times New Roman"/>
                <w:sz w:val="16"/>
              </w:rPr>
              <w:t>38 / 4</w:t>
            </w:r>
          </w:p>
        </w:tc>
        <w:tc>
          <w:tcPr>
            <w:tcW w:type="dxa" w:w="1728"/>
            <w:tcBorders>
              <w:bottom w:val="single" w:sz="12" w:color="000000"/>
            </w:tcBorders>
          </w:tcPr>
          <w:p>
            <w:pPr>
              <w:jc w:val="center"/>
            </w:pPr>
            <w:r/>
            <w:r>
              <w:rPr>
                <w:rFonts w:ascii="Times New Roman" w:hAnsi="Times New Roman"/>
                <w:sz w:val="16"/>
              </w:rPr>
              <w:t>56 / 38</w:t>
            </w:r>
          </w:p>
        </w:tc>
        <w:tc>
          <w:tcPr>
            <w:tcW w:type="dxa" w:w="1728"/>
            <w:tcBorders>
              <w:bottom w:val="single" w:sz="12" w:color="000000"/>
            </w:tcBorders>
          </w:tcPr>
          <w:p>
            <w:pPr>
              <w:jc w:val="center"/>
            </w:pPr>
            <w:r/>
            <w:r>
              <w:rPr>
                <w:rFonts w:ascii="Times New Roman" w:hAnsi="Times New Roman"/>
                <w:sz w:val="16"/>
              </w:rPr>
              <w:t>100 / 96</w:t>
            </w:r>
          </w:p>
        </w:tc>
        <w:tc>
          <w:tcPr>
            <w:tcW w:type="dxa" w:w="1728"/>
            <w:tcBorders>
              <w:bottom w:val="single" w:sz="12" w:color="000000"/>
            </w:tcBorders>
          </w:tcPr>
          <w:p>
            <w:pPr>
              <w:jc w:val="center"/>
            </w:pPr>
            <w:r/>
            <w:r>
              <w:rPr>
                <w:rFonts w:ascii="Times New Roman" w:hAnsi="Times New Roman"/>
                <w:sz w:val="16"/>
              </w:rPr>
              <w:t>100 / 98</w:t>
            </w:r>
          </w:p>
        </w:tc>
      </w:tr>
    </w:tbl>
    <w:p>
      <w:pPr>
        <w:spacing w:after="40"/>
      </w:pPr>
    </w:p>
    <w:p>
      <w:pPr>
        <w:pStyle w:val="Heading2"/>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sz w:val="16"/>
              </w:rPr>
              <w:t>Identical transcription pair</w:t>
            </w:r>
          </w:p>
        </w:tc>
        <w:tc>
          <w:tcPr>
            <w:tcW w:type="dxa" w:w="2592"/>
          </w:tcPr>
          <w:p>
            <w:pPr>
              <w:keepNext/>
              <w:jc w:val="center"/>
            </w:pPr>
            <w:r/>
            <w:r>
              <w:rPr>
                <w:rFonts w:ascii="Times New Roman" w:hAnsi="Times New Roman"/>
                <w:sz w:val="16"/>
              </w:rPr>
              <w:t>3,200 / 3,200 notes</w:t>
            </w:r>
          </w:p>
        </w:tc>
        <w:tc>
          <w:tcPr>
            <w:tcW w:type="dxa" w:w="2592"/>
          </w:tcPr>
          <w:p>
            <w:pPr>
              <w:keepNext/>
              <w:jc w:val="center"/>
            </w:pPr>
            <w:r/>
            <w:r>
              <w:rPr>
                <w:rFonts w:ascii="Times New Roman" w:hAnsi="Times New Roman"/>
                <w:sz w:val="16"/>
              </w:rPr>
              <w:t>3,200</w:t>
            </w:r>
          </w:p>
        </w:tc>
        <w:tc>
          <w:tcPr>
            <w:tcW w:type="dxa" w:w="2592"/>
          </w:tcPr>
          <w:p>
            <w:pPr>
              <w:keepNext/>
              <w:jc w:val="center"/>
            </w:pPr>
            <w:r/>
            <w:r>
              <w:rPr>
                <w:rFonts w:ascii="Times New Roman" w:hAnsi="Times New Roman"/>
                <w:sz w:val="16"/>
              </w:rPr>
              <w:t>confirmed copy</w:t>
            </w:r>
          </w:p>
        </w:tc>
      </w:tr>
      <w:tr>
        <w:trPr>
          <w:cantSplit/>
        </w:trPr>
        <w:tc>
          <w:tcPr>
            <w:tcW w:type="dxa" w:w="2592"/>
          </w:tcPr>
          <w:p>
            <w:pPr>
              <w:keepNext/>
              <w:jc w:val="left"/>
            </w:pPr>
            <w:r/>
            <w:r>
              <w:rPr>
                <w:rFonts w:ascii="Times New Roman" w:hAnsi="Times New Roman"/>
                <w:sz w:val="16"/>
              </w:rPr>
              <w:t>Transposed cover (+3 st, synth.)</w:t>
            </w:r>
          </w:p>
        </w:tc>
        <w:tc>
          <w:tcPr>
            <w:tcW w:type="dxa" w:w="2592"/>
          </w:tcPr>
          <w:p>
            <w:pPr>
              <w:keepNext/>
              <w:jc w:val="center"/>
            </w:pPr>
            <w:r/>
            <w:r>
              <w:rPr>
                <w:rFonts w:ascii="Times New Roman" w:hAnsi="Times New Roman"/>
                <w:sz w:val="16"/>
              </w:rPr>
              <w:t>3,200 / 3,200</w:t>
            </w:r>
          </w:p>
        </w:tc>
        <w:tc>
          <w:tcPr>
            <w:tcW w:type="dxa" w:w="2592"/>
          </w:tcPr>
          <w:p>
            <w:pPr>
              <w:keepNext/>
              <w:jc w:val="center"/>
            </w:pPr>
            <w:r/>
            <w:r>
              <w:rPr>
                <w:rFonts w:ascii="Times New Roman" w:hAnsi="Times New Roman"/>
                <w:sz w:val="16"/>
              </w:rPr>
              <w:t>3,200 (</w:t>
            </w:r>
            <w:r>
              <w:rPr>
                <w:rFonts w:ascii="Times New Roman" w:hAnsi="Times New Roman"/>
                <w:i/>
                <w:sz w:val="16"/>
              </w:rPr>
              <w:t>Δ</w:t>
            </w:r>
            <w:r>
              <w:rPr>
                <w:rFonts w:ascii="Times New Roman" w:hAnsi="Times New Roman"/>
                <w:sz w:val="16"/>
              </w:rPr>
              <w:t>=−3 st)</w:t>
            </w:r>
          </w:p>
        </w:tc>
        <w:tc>
          <w:tcPr>
            <w:tcW w:type="dxa" w:w="2592"/>
          </w:tcPr>
          <w:p>
            <w:pPr>
              <w:keepNext/>
              <w:jc w:val="center"/>
            </w:pPr>
            <w:r/>
            <w:r>
              <w:rPr>
                <w:rFonts w:ascii="Times New Roman" w:hAnsi="Times New Roman"/>
                <w:sz w:val="16"/>
              </w:rPr>
              <w:t>confirmed, transposition estimated correctly</w:t>
            </w:r>
          </w:p>
        </w:tc>
      </w:tr>
      <w:tr>
        <w:trPr>
          <w:cantSplit/>
        </w:trPr>
        <w:tc>
          <w:tcPr>
            <w:tcW w:type="dxa" w:w="2592"/>
          </w:tcPr>
          <w:p>
            <w:pPr>
              <w:keepNext/>
              <w:jc w:val="left"/>
            </w:pPr>
            <w:r/>
            <w:r>
              <w:rPr>
                <w:rFonts w:ascii="Times New Roman" w:hAnsi="Times New Roman"/>
                <w:sz w:val="16"/>
              </w:rPr>
              <w:t>Spliced 30 s span (synth.)</w:t>
            </w:r>
          </w:p>
        </w:tc>
        <w:tc>
          <w:tcPr>
            <w:tcW w:type="dxa" w:w="2592"/>
          </w:tcPr>
          <w:p>
            <w:pPr>
              <w:keepNext/>
              <w:jc w:val="center"/>
            </w:pPr>
            <w:r/>
            <w:r>
              <w:rPr>
                <w:rFonts w:ascii="Times New Roman" w:hAnsi="Times New Roman"/>
                <w:sz w:val="16"/>
              </w:rPr>
              <w:t>1,680</w:t>
            </w:r>
          </w:p>
        </w:tc>
        <w:tc>
          <w:tcPr>
            <w:tcW w:type="dxa" w:w="2592"/>
          </w:tcPr>
          <w:p>
            <w:pPr>
              <w:keepNext/>
              <w:jc w:val="center"/>
            </w:pPr>
            <w:r/>
            <w:r>
              <w:rPr>
                <w:rFonts w:ascii="Times New Roman" w:hAnsi="Times New Roman"/>
                <w:sz w:val="16"/>
              </w:rPr>
              <w:t>1,593</w:t>
            </w:r>
          </w:p>
        </w:tc>
        <w:tc>
          <w:tcPr>
            <w:tcW w:type="dxa" w:w="2592"/>
          </w:tcPr>
          <w:p>
            <w:pPr>
              <w:keepNext/>
              <w:jc w:val="center"/>
            </w:pPr>
            <w:r/>
            <w:r>
              <w:rPr>
                <w:rFonts w:ascii="Times New Roman" w:hAnsi="Times New Roman"/>
                <w:sz w:val="16"/>
              </w:rPr>
              <w:t>confirmed partial reuse</w:t>
            </w:r>
          </w:p>
        </w:tc>
      </w:tr>
      <w:tr>
        <w:trPr>
          <w:cantSplit/>
        </w:trPr>
        <w:tc>
          <w:tcPr>
            <w:tcW w:type="dxa" w:w="2592"/>
            <w:tcBorders>
              <w:bottom w:val="single" w:sz="12" w:color="000000"/>
            </w:tcBorders>
          </w:tcPr>
          <w:p>
            <w:pPr>
              <w:jc w:val="left"/>
            </w:pPr>
            <w:r/>
            <w:r>
              <w:rPr>
                <w:rFonts w:ascii="Times New Roman" w:hAnsi="Times New Roman"/>
                <w:sz w:val="16"/>
              </w:rPr>
              <w:t>Style-similar negative</w:t>
            </w:r>
          </w:p>
        </w:tc>
        <w:tc>
          <w:tcPr>
            <w:tcW w:type="dxa" w:w="2592"/>
            <w:tcBorders>
              <w:bottom w:val="single" w:sz="12" w:color="000000"/>
            </w:tcBorders>
          </w:tcPr>
          <w:p>
            <w:pPr>
              <w:jc w:val="center"/>
            </w:pPr>
            <w:r/>
            <w:r>
              <w:rPr>
                <w:rFonts w:ascii="Times New Roman" w:hAnsi="Times New Roman"/>
                <w:sz w:val="16"/>
              </w:rPr>
              <w:t>31</w:t>
            </w:r>
          </w:p>
        </w:tc>
        <w:tc>
          <w:tcPr>
            <w:tcW w:type="dxa" w:w="2592"/>
            <w:tcBorders>
              <w:bottom w:val="single" w:sz="12" w:color="000000"/>
            </w:tcBorders>
          </w:tcPr>
          <w:p>
            <w:pPr>
              <w:jc w:val="center"/>
            </w:pPr>
            <w:r/>
            <w:r>
              <w:rPr>
                <w:rFonts w:ascii="Times New Roman" w:hAnsi="Times New Roman"/>
                <w:sz w:val="16"/>
              </w:rPr>
              <w:t>1</w:t>
            </w:r>
          </w:p>
        </w:tc>
        <w:tc>
          <w:tcPr>
            <w:tcW w:type="dxa" w:w="2592"/>
            <w:tcBorders>
              <w:bottom w:val="single" w:sz="12" w:color="000000"/>
            </w:tcBorders>
          </w:tcPr>
          <w:p>
            <w:pPr>
              <w:jc w:val="center"/>
            </w:pPr>
            <w:r/>
            <w:r>
              <w:rPr>
                <w:rFonts w:ascii="Times New Roman" w:hAnsi="Times New Roman"/>
                <w:sz w:val="16"/>
              </w:rPr>
              <w:t>rejected</w:t>
            </w:r>
          </w:p>
        </w:tc>
      </w:tr>
    </w:tbl>
    <w:p>
      <w:pPr>
        <w:spacing w:after="40"/>
      </w:pPr>
    </w:p>
    <w:p>
      <w:pPr>
        <w:pStyle w:val="Heading2"/>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w:t>
      </w:r>
      <w:r>
        <w:rPr>
          <w:i/>
        </w:rPr>
        <w:t>k</w:t>
      </w:r>
      <w:r>
        <w:t xml:space="preserve">=0).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0.70–0.90</w:t>
            </w:r>
          </w:p>
        </w:tc>
        <w:tc>
          <w:tcPr>
            <w:tcW w:type="dxa" w:w="2074"/>
          </w:tcPr>
          <w:p>
            <w:pPr>
              <w:keepNext/>
              <w:jc w:val="center"/>
            </w:pPr>
            <w:r/>
            <w:r>
              <w:rPr>
                <w:rFonts w:ascii="Times New Roman" w:hAnsi="Times New Roman"/>
                <w:sz w:val="16"/>
              </w:rPr>
              <w:t>269,109</w:t>
            </w:r>
          </w:p>
        </w:tc>
        <w:tc>
          <w:tcPr>
            <w:tcW w:type="dxa" w:w="2074"/>
          </w:tcPr>
          <w:p>
            <w:pPr>
              <w:keepNext/>
              <w:jc w:val="center"/>
            </w:pPr>
            <w:r/>
            <w:r>
              <w:rPr>
                <w:rFonts w:ascii="Times New Roman" w:hAnsi="Times New Roman"/>
                <w:sz w:val="16"/>
              </w:rPr>
              <w:t>47.5 [32.9, 62.5]</w:t>
            </w:r>
          </w:p>
        </w:tc>
        <w:tc>
          <w:tcPr>
            <w:tcW w:type="dxa" w:w="2074"/>
          </w:tcPr>
          <w:p>
            <w:pPr>
              <w:keepNext/>
              <w:jc w:val="center"/>
            </w:pPr>
            <w:r/>
            <w:r>
              <w:rPr>
                <w:rFonts w:ascii="Times New Roman" w:hAnsi="Times New Roman"/>
                <w:sz w:val="16"/>
              </w:rPr>
              <w:t>1.02M</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≥0.90</w:t>
            </w:r>
          </w:p>
        </w:tc>
        <w:tc>
          <w:tcPr>
            <w:tcW w:type="dxa" w:w="2074"/>
          </w:tcPr>
          <w:p>
            <w:pPr>
              <w:keepNext/>
              <w:jc w:val="center"/>
            </w:pPr>
            <w:r/>
            <w:r>
              <w:rPr>
                <w:rFonts w:ascii="Times New Roman" w:hAnsi="Times New Roman"/>
                <w:sz w:val="16"/>
              </w:rPr>
              <w:t>14,926</w:t>
            </w:r>
          </w:p>
        </w:tc>
        <w:tc>
          <w:tcPr>
            <w:tcW w:type="dxa" w:w="2074"/>
          </w:tcPr>
          <w:p>
            <w:pPr>
              <w:keepNext/>
              <w:jc w:val="center"/>
            </w:pPr>
            <w:r/>
            <w:r>
              <w:rPr>
                <w:rFonts w:ascii="Times New Roman" w:hAnsi="Times New Roman"/>
                <w:sz w:val="16"/>
              </w:rPr>
              <w:t>90.0 [76.9, 96.0]</w:t>
            </w:r>
          </w:p>
        </w:tc>
        <w:tc>
          <w:tcPr>
            <w:tcW w:type="dxa" w:w="2074"/>
          </w:tcPr>
          <w:p>
            <w:pPr>
              <w:keepNext/>
              <w:jc w:val="center"/>
            </w:pPr>
            <w:r/>
            <w:r>
              <w:rPr>
                <w:rFonts w:ascii="Times New Roman" w:hAnsi="Times New Roman"/>
                <w:sz w:val="16"/>
              </w:rPr>
              <w:t>107k</w:t>
            </w:r>
          </w:p>
        </w:tc>
      </w:tr>
      <w:tr>
        <w:trPr>
          <w:cantSplit/>
        </w:trPr>
        <w:tc>
          <w:tcPr>
            <w:tcW w:type="dxa" w:w="2074"/>
            <w:tcBorders>
              <w:bottom w:val="single" w:sz="12" w:color="000000"/>
            </w:tcBorders>
          </w:tcPr>
          <w:p>
            <w:pPr>
              <w:jc w:val="left"/>
            </w:pPr>
            <w:r/>
            <w:r>
              <w:rPr>
                <w:rFonts w:ascii="Times New Roman" w:hAnsi="Times New Roman"/>
                <w:sz w:val="16"/>
              </w:rPr>
              <w:t>sketch</w:t>
            </w:r>
          </w:p>
        </w:tc>
        <w:tc>
          <w:tcPr>
            <w:tcW w:type="dxa" w:w="2074"/>
            <w:tcBorders>
              <w:bottom w:val="single" w:sz="12" w:color="000000"/>
            </w:tcBorders>
          </w:tcPr>
          <w:p>
            <w:pPr>
              <w:jc w:val="center"/>
            </w:pPr>
            <w:r/>
            <w:r>
              <w:rPr>
                <w:rFonts w:ascii="Times New Roman" w:hAnsi="Times New Roman"/>
                <w:sz w:val="16"/>
              </w:rPr>
              <w:t>≥0.90</w:t>
            </w:r>
          </w:p>
        </w:tc>
        <w:tc>
          <w:tcPr>
            <w:tcW w:type="dxa" w:w="2074"/>
            <w:tcBorders>
              <w:bottom w:val="single" w:sz="12" w:color="000000"/>
            </w:tcBorders>
          </w:tcPr>
          <w:p>
            <w:pPr>
              <w:jc w:val="center"/>
            </w:pPr>
            <w:r/>
            <w:r>
              <w:rPr>
                <w:rFonts w:ascii="Times New Roman" w:hAnsi="Times New Roman"/>
                <w:sz w:val="16"/>
              </w:rPr>
              <w:t>525,756</w:t>
            </w:r>
          </w:p>
        </w:tc>
        <w:tc>
          <w:tcPr>
            <w:tcW w:type="dxa" w:w="2074"/>
            <w:tcBorders>
              <w:bottom w:val="single" w:sz="12" w:color="000000"/>
            </w:tcBorders>
          </w:tcPr>
          <w:p>
            <w:pPr>
              <w:jc w:val="center"/>
            </w:pPr>
            <w:r/>
            <w:r>
              <w:rPr>
                <w:rFonts w:ascii="Times New Roman" w:hAnsi="Times New Roman"/>
                <w:sz w:val="16"/>
              </w:rPr>
              <w:t>40.0 [26.3, 55.4]</w:t>
            </w:r>
          </w:p>
        </w:tc>
        <w:tc>
          <w:tcPr>
            <w:tcW w:type="dxa" w:w="2074"/>
            <w:tcBorders>
              <w:bottom w:val="single" w:sz="12" w:color="000000"/>
            </w:tcBorders>
          </w:tcPr>
          <w:p>
            <w:pPr>
              <w:jc w:val="center"/>
            </w:pPr>
            <w:r/>
            <w:r>
              <w:rPr>
                <w:rFonts w:ascii="Times New Roman" w:hAnsi="Times New Roman"/>
                <w:sz w:val="16"/>
              </w:rPr>
              <w:t>1.68M</w:t>
            </w:r>
          </w:p>
        </w:tc>
      </w:tr>
    </w:tbl>
    <w:p>
      <w:pPr>
        <w:spacing w:after="40"/>
      </w:pPr>
    </w:p>
    <w:p>
      <w:pPr>
        <w:pStyle w:val="Heading2"/>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w:t>
      </w:r>
      <w:r>
        <w:rPr>
          <w:i/>
        </w:rPr>
        <w:t>i</w:t>
      </w:r>
      <w:r>
        <w:t xml:space="preserve">.e.,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w:t>
      </w:r>
      <w:r>
        <w:rPr>
          <w:i/>
        </w:rPr>
        <w:t>λ</w:t>
      </w:r>
      <w:r>
        <w:t xml:space="preserve"> = 0) cells of Table XI. </w:t>
      </w:r>
    </w:p>
    <w:p>
      <w:pPr>
        <w:spacing w:after="0"/>
        <w:ind w:firstLine="204"/>
        <w:jc w:val="both"/>
      </w:pPr>
      <w:r>
        <w:t xml:space="preserve">In other words, a real overfit transformer at this scale behaves, from the detector's viewpoint, like the </w:t>
      </w:r>
      <w:r>
        <w:rPr>
          <w:i/>
        </w:rPr>
        <w:t>λ</w:t>
      </w:r>
      <w:r>
        <w:t xml:space="preserve"> = 0 corner of the emulated spectrum—and unlike </w:t>
      </w:r>
      <w:r>
        <w:rPr>
          <w:i/>
        </w:rPr>
        <w:t>λ</w:t>
      </w:r>
      <w:r>
        <w:t xml:space="preserve">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 xml:space="preserve">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w:t>
      </w:r>
      <w:r>
        <w:rPr>
          <w:i/>
          <w:sz w:val="19"/>
        </w:rPr>
        <w:t>λ</w:t>
      </w:r>
      <w:r>
        <w:rPr>
          <w:sz w:val="19"/>
        </w:rPr>
        <w:t xml:space="preserve"> = 0 / </w:t>
      </w:r>
      <w:r>
        <w:rPr>
          <w:i/>
          <w:sz w:val="19"/>
        </w:rPr>
        <w:t>λ</w:t>
      </w:r>
      <w:r>
        <w:rPr>
          <w:sz w:val="19"/>
        </w:rPr>
        <w:t xml:space="preserve">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 xml:space="preserve">Trained-generator audit against the E6.2 emulation anchors: the overfit transformer confirms in the </w:t>
      </w:r>
      <w:r>
        <w:rPr>
          <w:i/>
        </w:rPr>
        <w:t>λ</w:t>
      </w:r>
      <w:r>
        <w:t xml:space="preserve">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w:t>
            </w:r>
            <w:r>
              <w:rPr>
                <w:rFonts w:ascii="Times New Roman" w:hAnsi="Times New Roman"/>
                <w:b/>
                <w:i/>
                <w:sz w:val="16"/>
              </w:rPr>
              <w:t>C</w:t>
            </w:r>
            <w:r>
              <w:rPr>
                <w:rFonts w:ascii="Times New Roman" w:hAnsi="Times New Roman"/>
                <w:b/>
                <w:sz w:val="16"/>
              </w:rPr>
              <w:t xml:space="preserve"> %</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=0</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32</w:t>
            </w:r>
          </w:p>
        </w:tc>
        <w:tc>
          <w:tcPr>
            <w:tcW w:type="dxa" w:w="1728"/>
          </w:tcPr>
          <w:p>
            <w:pPr>
              <w:keepNext/>
              <w:jc w:val="center"/>
            </w:pPr>
            <w:r/>
            <w:r>
              <w:rPr>
                <w:rFonts w:ascii="Times New Roman" w:hAnsi="Times New Roman"/>
                <w:sz w:val="16"/>
              </w:rPr>
              <w:t>2</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=1</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100</w:t>
            </w:r>
          </w:p>
        </w:tc>
        <w:tc>
          <w:tcPr>
            <w:tcW w:type="dxa" w:w="1728"/>
          </w:tcPr>
          <w:p>
            <w:pPr>
              <w:keepNext/>
              <w:jc w:val="center"/>
            </w:pPr>
            <w:r/>
            <w:r>
              <w:rPr>
                <w:rFonts w:ascii="Times New Roman" w:hAnsi="Times New Roman"/>
                <w:sz w:val="16"/>
              </w:rPr>
              <w:t>98</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memorized sources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5</w:t>
            </w:r>
          </w:p>
        </w:tc>
        <w:tc>
          <w:tcPr>
            <w:tcW w:type="dxa" w:w="1728"/>
          </w:tcPr>
          <w:p>
            <w:pPr>
              <w:keepNext/>
              <w:jc w:val="center"/>
            </w:pPr>
            <w:r/>
            <w:r>
              <w:rPr>
                <w:rFonts w:ascii="Times New Roman" w:hAnsi="Times New Roman"/>
                <w:sz w:val="16"/>
              </w:rPr>
              <w:t>5</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untrained controls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10</w:t>
            </w:r>
          </w:p>
        </w:tc>
        <w:tc>
          <w:tcPr>
            <w:tcW w:type="dxa" w:w="1728"/>
          </w:tcPr>
          <w:p>
            <w:pPr>
              <w:keepNext/>
              <w:jc w:val="center"/>
            </w:pPr>
            <w:r/>
            <w:r>
              <w:rPr>
                <w:rFonts w:ascii="Times New Roman" w:hAnsi="Times New Roman"/>
                <w:sz w:val="16"/>
              </w:rPr>
              <w:t>15</w:t>
            </w:r>
          </w:p>
        </w:tc>
      </w:tr>
      <w:tr>
        <w:trPr>
          <w:cantSplit/>
        </w:trPr>
        <w:tc>
          <w:tcPr>
            <w:tcW w:type="dxa" w:w="1728"/>
            <w:tcBorders>
              <w:bottom w:val="single" w:sz="12" w:color="000000"/>
            </w:tcBorders>
          </w:tcPr>
          <w:p>
            <w:pPr>
              <w:jc w:val="left"/>
            </w:pPr>
            <w:r/>
            <w:r>
              <w:rPr>
                <w:rFonts w:ascii="Times New Roman" w:hAnsi="Times New Roman"/>
                <w:sz w:val="16"/>
              </w:rPr>
              <w:t>transformer (E6.4)</w:t>
            </w:r>
          </w:p>
        </w:tc>
        <w:tc>
          <w:tcPr>
            <w:tcW w:type="dxa" w:w="1728"/>
            <w:tcBorders>
              <w:bottom w:val="single" w:sz="12" w:color="000000"/>
            </w:tcBorders>
          </w:tcPr>
          <w:p>
            <w:pPr>
              <w:jc w:val="center"/>
            </w:pPr>
            <w:r/>
            <w:r>
              <w:rPr>
                <w:rFonts w:ascii="Times New Roman" w:hAnsi="Times New Roman"/>
                <w:sz w:val="16"/>
              </w:rPr>
              <w:t>random trained</w:t>
            </w:r>
          </w:p>
        </w:tc>
        <w:tc>
          <w:tcPr>
            <w:tcW w:type="dxa" w:w="1728"/>
            <w:tcBorders>
              <w:bottom w:val="single" w:sz="12" w:color="000000"/>
            </w:tcBorders>
          </w:tcPr>
          <w:p>
            <w:pPr>
              <w:jc w:val="center"/>
            </w:pPr>
            <w:r/>
            <w:r>
              <w:rPr>
                <w:rFonts w:ascii="Times New Roman" w:hAnsi="Times New Roman"/>
                <w:sz w:val="16"/>
              </w:rPr>
              <w:t>20</w:t>
            </w:r>
          </w:p>
        </w:tc>
        <w:tc>
          <w:tcPr>
            <w:tcW w:type="dxa" w:w="1728"/>
            <w:tcBorders>
              <w:bottom w:val="single" w:sz="12" w:color="000000"/>
            </w:tcBorders>
          </w:tcPr>
          <w:p>
            <w:pPr>
              <w:jc w:val="center"/>
            </w:pPr>
            <w:r/>
            <w:r>
              <w:rPr>
                <w:rFonts w:ascii="Times New Roman" w:hAnsi="Times New Roman"/>
                <w:sz w:val="16"/>
              </w:rPr>
              <w:t>35</w:t>
            </w:r>
          </w:p>
        </w:tc>
        <w:tc>
          <w:tcPr>
            <w:tcW w:type="dxa" w:w="1728"/>
            <w:tcBorders>
              <w:bottom w:val="single" w:sz="12" w:color="000000"/>
            </w:tcBorders>
          </w:tcPr>
          <w:p>
            <w:pPr>
              <w:jc w:val="center"/>
            </w:pPr>
            <w:r/>
            <w:r>
              <w:rPr>
                <w:rFonts w:ascii="Times New Roman" w:hAnsi="Times New Roman"/>
                <w:sz w:val="16"/>
              </w:rPr>
              <w:t>0</w:t>
            </w:r>
          </w:p>
        </w:tc>
        <w:tc>
          <w:tcPr>
            <w:tcW w:type="dxa" w:w="1728"/>
            <w:tcBorders>
              <w:bottom w:val="single" w:sz="12" w:color="000000"/>
            </w:tcBorders>
          </w:tcPr>
          <w:p>
            <w:pPr>
              <w:jc w:val="center"/>
            </w:pPr>
            <w:r/>
            <w:r>
              <w:rPr>
                <w:rFonts w:ascii="Times New Roman" w:hAnsi="Times New Roman"/>
                <w:sz w:val="16"/>
              </w:rPr>
              <w:t>25</w:t>
            </w:r>
          </w:p>
        </w:tc>
      </w:tr>
    </w:tbl>
    <w:p>
      <w:pPr>
        <w:spacing w:after="40"/>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w:t>
      </w:r>
      <w:r>
        <w:rPr>
          <w:i/>
        </w:rPr>
        <w:t>ρ</w:t>
      </w:r>
      <w:r>
        <w:t xml:space="preserve">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 xml:space="preserve">The memorization study spans both a transparent n-gram/copy emulation and an actually trained generator, but the latter is a 0.9M-parameter CPU-scale transformer whose memorization is non-extractive—larger generators that regurgitate verbatim would move samples toward the </w:t>
      </w:r>
      <w:r>
        <w:rPr>
          <w:i/>
        </w:rPr>
        <w:t>λ</w:t>
      </w:r>
      <w:r>
        <w:t xml:space="preserve">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[20], [30].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[23],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