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(174,300 pieces) is encoded once offline into a rare-first item-set index (1.05 GB peak memory, 24.7 s build, 41.9 ms query p50); the inset plots the anytime evidence bound, lowest at every budget under rare-first ordering. Center: the L1 tolerant screen (tolerance k = (2, 1, 1)) enumerates 1.66 M candidate pairs under an anytime budget B (dotted line) with a per-prefix recall floor (Thm 1); the bars show top-C donor retention on 233 hard negatives (96.6 % at C = 50). Right: L3 structural confirmation aligns ordered note chains—invariant to pitch ±Δ, tempo ×τ, and splicing—and certifies the copied span (score ρ = 0.62 ≥ θ; FP 2.1 %, recall 83.9 %), shipping as a publisher-readable verdict. The bottom banner states the recall floor (337 adversarial cells, zero violations); the lower-right mini-panel previews the memorization spectrum (26–34 → 100 % detection, 96–100 % attribution) and the 1,658,993 in-the-wild duplicate pairs.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50448"/>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550448"/>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600074"/>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5760000" cy="1600074"/>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