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top-k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score_u(P) + (q − u)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the length of the evidence and with the vocabulary mass inside the query's tolerance neighborhood, and grows with corpus size only through longer posting lists; the open set is maintained in a Fenwick structure over piece IDs, giving O(log N) updates and an exact |O_u|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 xml:space="preserve">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j − i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and Fig. 9 place the full cascade against its single-layer ablations. The cascade's remaining bottleneck is candidate retention: verbatim top-C keeps 93.1% (C=20) and 96.6% (C=50) of donors; the union of tolerant and verbatim top-C feeds—adopted in the final system—lifts retention above 99%.</w:t>
      </w:r>
    </w:p>
    <w:p>
      <w:pPr>
        <w:spacing w:after="0"/>
        <w:ind w:firstLine="204"/>
        <w:jc w:val="both"/>
      </w:pPr>
      <w:r>
        <w:t>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ρ = 0.5 (2.1% FP, 83.9% recall) is the decision-grade operating point, at which a confirmed flag can be acted on directly; ρ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spacing w:after="0"/>
        <w:ind w:firstLine="204"/>
        <w:jc w:val="both"/>
      </w:pPr>
      <w:r>
        <w:t>Could containment-aware LSH close this gap? Containment estimators [35], [36] replace resemblance with the ratio |A ∩ B| / min(|A|, |B|),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 xml:space="preserve">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w:t>
      </w:r>
    </w:p>
    <w:p>
      <w:pPr>
        <w:spacing w:after="0"/>
        <w:ind w:firstLine="204"/>
        <w:jc w:val="both"/>
      </w:pPr>
      <w:r>
        <w:t>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 xml:space="preserve">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w:t>
      </w:r>
    </w:p>
    <w:p>
      <w:pPr>
        <w:spacing w:after="0"/>
        <w:ind w:firstLine="204"/>
        <w:jc w:val="both"/>
      </w:pPr>
      <w:r>
        <w:t>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