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0.045/0.099/0.201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9"/>
        </w:rPr>
        <w:t>ρ</w:t>
      </w:r>
      <w:r>
        <w:rPr>
          <w:sz w:val="19"/>
        </w:rPr>
        <w:t xml:space="preserve">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w:t>
      </w:r>
      <w:r>
        <w:rPr>
          <w:i/>
        </w:rPr>
        <w:t>score_u(P)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9"/>
        </w:rPr>
        <w:t>ρ</w:t>
      </w:r>
      <w:r>
        <w:rPr>
          <w:sz w:val="19"/>
        </w:rPr>
        <w:t xml:space="preserve">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e_n</w:t>
      </w:r>
      <w:r>
        <w:t xml:space="preserve">) is a sequence of note events </w:t>
      </w:r>
      <w:r>
        <w:rPr>
          <w:i/>
        </w:rPr>
        <w:t>e_i</w:t>
      </w:r>
      <w:r>
        <w:t xml:space="preserve"> = (</w:t>
      </w:r>
      <w:r>
        <w:rPr>
          <w:i/>
        </w:rPr>
        <w:t>t_i</w:t>
      </w:r>
      <w:r>
        <w:t xml:space="preserve">, </w:t>
      </w:r>
      <w:r>
        <w:rPr>
          <w:i/>
        </w:rPr>
        <w:t>p_i</w:t>
      </w:r>
      <w:r>
        <w:t xml:space="preserve">, </w:t>
      </w:r>
      <w:r>
        <w:rPr>
          <w:i/>
        </w:rPr>
        <w:t>d_i</w:t>
      </w:r>
      <w:r>
        <w:t xml:space="preserve">, </w:t>
      </w:r>
      <w:r>
        <w:rPr>
          <w:i/>
        </w:rPr>
        <w:t>v_i</w:t>
      </w:r>
      <w:r>
        <w:t xml:space="preserve">): onset time, MIDI pitch, duration, and velocity. An encoding </w:t>
      </w:r>
      <w:r>
        <w:rPr>
          <w:i/>
        </w:rPr>
        <w:t>φ</w:t>
      </w:r>
      <w:r>
        <w:t xml:space="preserve"> maps each event to an item, a tuple of quantized features (Section III-B); the item set </w:t>
      </w:r>
      <w:r>
        <w:rPr>
          <w:i/>
        </w:rPr>
        <w:t>S(P)</w:t>
      </w:r>
      <w:r>
        <w:t xml:space="preserve"> = ∪_i {</w:t>
      </w:r>
      <w:r>
        <w:rPr>
          <w:i/>
        </w:rPr>
        <w:t>φ</w:t>
      </w:r>
      <w:r>
        <w:t>(</w:t>
      </w:r>
      <w:r>
        <w:rPr>
          <w:i/>
        </w:rPr>
        <w:t>e_i</w:t>
      </w:r>
      <w:r>
        <w:t xml:space="preserve">)}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N_k(x)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P_N}</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score_u(P)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score_u(P)</w:t>
      </w:r>
      <w:r>
        <w:t xml:space="preserve"> + (</w:t>
      </w:r>
      <w:r>
        <w:rPr>
          <w:i/>
        </w:rPr>
        <w:t>q</w:t>
      </w:r>
      <w:r>
        <w:t xml:space="preserve"> − </w:t>
      </w:r>
      <w:r>
        <w:rPr>
          <w:i/>
        </w:rPr>
        <w:t>u</w:t>
      </w:r>
      <w:r>
        <w:t xml:space="preserve">) ≥ </w:t>
      </w:r>
      <w:r>
        <w:rPr>
          <w:i/>
        </w:rPr>
        <w:t>score_q(P)</w:t>
      </w:r>
      <w:r>
        <w:t xml:space="preserve">, and the open set </w:t>
      </w:r>
      <w:r>
        <w:rPr>
          <w:i/>
        </w:rPr>
        <w:t>O_u</w:t>
      </w:r>
      <w:r>
        <w:t xml:space="preserve"> = {</w:t>
      </w:r>
      <w:r>
        <w:rPr>
          <w:i/>
        </w:rPr>
        <w:t>P</w:t>
      </w:r>
      <w:r>
        <w:t xml:space="preserve"> : </w:t>
      </w:r>
      <w:r>
        <w:rPr>
          <w:i/>
        </w:rPr>
        <w:t>score_u(P)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N_k</w:t>
      </w:r>
      <w:r>
        <w:t xml:space="preserve">, so each position of a true copy contributes at least as much as a verbatim position; unprocessed positions can contribute at most one each. Hence a piece outside </w:t>
      </w:r>
      <w:r>
        <w:rPr>
          <w:i/>
        </w:rPr>
        <w:t>O_u</w:t>
      </w:r>
      <w:r>
        <w:t xml:space="preserve"> cannot be a copy, and no piece inside </w:t>
      </w:r>
      <w:r>
        <w:rPr>
          <w:i/>
        </w:rPr>
        <w:t>O_u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O_u</w:t>
      </w:r>
      <w:r>
        <w:t xml:space="preserve"> is a complete description of the search state, so interruption never loses a certified answer. Rare-first ordering greedily minimizes the growth of </w:t>
      </w:r>
      <w:r>
        <w:rPr>
          <w:i/>
        </w:rPr>
        <w:t>|O_u|</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N_k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|O_u|</w:t>
      </w:r>
      <w:r>
        <w:t xml:space="preserve">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 xml:space="preserve">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w:t>
      </w:r>
      <w:r>
        <w:rPr>
          <w:i/>
        </w:rPr>
        <w:t>N</w:t>
      </w:r>
      <w:r>
        <w:t>=300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 xml:space="preserve">Fig. 8. Confirmation operating curves: donor recall versus fragment-level FP over </w:t>
      </w:r>
      <w:r>
        <w:rPr>
          <w:i/>
          <w:sz w:val="19"/>
        </w:rPr>
        <w:t>ρ</w:t>
      </w:r>
      <w:r>
        <w:rPr>
          <w:sz w:val="19"/>
        </w:rPr>
        <w:t>,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w:t>
      </w:r>
      <w:r>
        <w:rPr>
          <w:i/>
          <w:sz w:val="19"/>
        </w:rPr>
        <w:t>C</w:t>
      </w:r>
      <w:r>
        <w:rPr>
          <w:sz w:val="19"/>
        </w:rPr>
        <w:t xml:space="preserve">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w:t>
      </w:r>
      <w:r>
        <w:rPr>
          <w:i/>
        </w:rPr>
        <w:t>X</w:t>
      </w:r>
      <w:r>
        <w:t xml:space="preserve">):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|A ∩ </w:t>
      </w:r>
      <w:r>
        <w:rPr>
          <w:i/>
        </w:rPr>
        <w:t>B</w:t>
      </w:r>
      <w:r>
        <w:t>| / min(|A|, |</w:t>
      </w:r>
      <w:r>
        <w:rPr>
          <w:i/>
        </w:rPr>
        <w:t>B</w:t>
      </w:r>
      <w:r>
        <w:t xml:space="preserve">|),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w:t>
      </w:r>
      <w:r>
        <w:rPr>
          <w:i/>
        </w:rPr>
        <w:t>X</w:t>
      </w:r>
      <w:r>
        <w:t xml:space="preserve"> is that no re-tuning of Jaccard-band geometry reaches the screen's recall, and containment estimators trade that impasse for variance rather than resolving it.</w:t>
      </w:r>
    </w:p>
    <w:p>
      <w:pPr>
        <w:pStyle w:val="TableTitle"/>
        <w:keepNext/>
      </w:pPr>
      <w:r>
        <w:t xml:space="preserve">TABLE </w:t>
      </w:r>
      <w:r>
        <w:rPr>
          <w:i/>
        </w:rPr>
        <w:t>X</w:t>
      </w:r>
      <w:r>
        <w:t>.</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 xml:space="preserve">Fig. 11. The containment-versus-Jaccard geometry behind Table </w:t>
      </w:r>
      <w:r>
        <w:rPr>
          <w:i/>
          <w:sz w:val="19"/>
        </w:rPr>
        <w:t>X</w:t>
      </w:r>
      <w:r>
        <w:rPr>
          <w:sz w:val="19"/>
        </w:rPr>
        <w:t>.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9"/>
        </w:rPr>
        <w:t>λ</w:t>
      </w:r>
      <w:r>
        <w:rPr>
          <w:sz w:val="19"/>
        </w:rPr>
        <w:t xml:space="preserve"> = 0 / </w:t>
      </w:r>
      <w:r>
        <w:rPr>
          <w:i/>
          <w:sz w:val="19"/>
        </w:rPr>
        <w:t>λ</w:t>
      </w:r>
      <w:r>
        <w:rPr>
          <w:sz w:val="19"/>
        </w:rPr>
        <w:t xml:space="preserve">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