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Provable-Recall Screening with Structural Confirmation: A Two-Layer Copy Detection System for Symbolic Music</w:t>
      </w:r>
    </w:p>
    <w:p>
      <w:pPr>
        <w:rPr>
          <w:sz w:val="18"/>
        </w:rPr>
      </w:pPr>
    </w:p>
    <w:p>
      <w:pPr>
        <w:pStyle w:val="Authors"/>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0" w:after="40"/>
        <w:rPr>
          <w:sz w:val="2"/>
          <w:szCs w:val="2"/>
        </w:rPr>
        <w:sectPr w:rsidR="007E713A" w:rsidSect="00002FAF">
          <w:headerReference w:type="default" r:id="rId9"/>
          <w:type w:val="continuous"/>
          <w:pgSz w:w="12240" w:h="15840"/>
          <w:pgMar w:top="1008" w:right="936" w:bottom="1008" w:left="936" w:header="432" w:footer="432" w:gutter="0"/>
          <w:cols w:space="288"/>
        </w:sectPr>
      </w:pPr>
    </w:p>
    <w:p>
      <w:pPr>
        <w:spacing w:before="20"/>
        <w:jc w:val="both"/>
      </w:pPr>
      <w:r>
        <w:rPr>
          <w:sz w:val="2"/>
          <w:szCs w:val="2"/>
        </w:rPr>
        <w:footnoteReference w:customMarkFollows="1" w:id="3"/>
        <w:sym w:font="Symbol" w:char="F020"/>
      </w:r>
      <w:r>
        <w:rPr>
          <w:b/>
          <w:i/>
          <w:sz w:val="18"/>
        </w:rPr>
        <w:t>Abstract</w:t>
      </w:r>
      <w:r>
        <w:rPr>
          <w:b/>
          <w:sz w:val="18"/>
        </w:rPr>
        <w:t>—</w:t>
      </w:r>
      <w:r>
        <w:rPr>
          <w:b/>
          <w:sz w:val="18"/>
        </w:rPr>
        <w:t>When a publisher screens a submission against a corpus of 174,300 MIDI files, or a dataset curator must decide whether a generative model has memorized its training data, every missed copy is a liability and every false alarm is an expert afternoon lost. Existing systems force a choice no such user can afford: audio fingerprinting and learned embeddings tolerate noise but certify no recall; exact pattern mining carries no recall guarantee and explodes at the support levels copying requires; and the set-similarity engines behind large-scale deduplication are structurally blind to contained copies. We show that this trade-off is architectural rather than fundamental and dissolve it by giving the two layers different contracts. A tolerant item-set screen guarantees recall per query through an evidence lower bound, verified cell by cell on 337 adversarial cells with zero violations, and its rare-first anytime schedule answers in time driven by the evidence rather than by the corpus. A strict structural confirmation layer then aligns ordered note chains, cutting the fragment-level false-positive rate on style-similar hard negatives to 2.1% at 83.9% recall under transcription noise. The index builds in 24.7 s and answers queries in 41.9 ms (p50) at 100% planted recall. The same pipeline screens a trained music generator across the full memorization spectrum with 96-100% correct source attribution, and delivers a full-corpus census of duplicate structure, localizing spliced segments and transposed covers with score-checkable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The stakes are concrete: a census run with the system of this paper finds on the order of 107k verbatim-level duplicate pairs in a single public corpus mirror alone (Section VI-C).</w:t>
      </w:r>
    </w:p>
    <w:p>
      <w:pPr>
        <w:spacing w:after="0"/>
        <w:ind w:firstLine="204"/>
        <w:jc w:val="both"/>
      </w:pPr>
      <w:r>
        <w:t>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[3], [5] and chroma-based matching [4], [12] target audio and tolerate noise well, but their features are lossy with respect to the symbolic content publishers must adjudicate, and they provide no recall guarantee. Frequent itemset mining (FIM) and its geometric cousins (SIATEC and successors) [2], [9], [10] discover repeated patterns with algorithmic elegance, but exact enumeration explodes combinatorially at the support levels copying detection requires (we quantify this in Section V-A), and pattern sets are not ranked candidates.</w:t>
      </w:r>
    </w:p>
    <w:p>
      <w:pPr>
        <w:spacing w:after="0"/>
        <w:ind w:firstLine="204"/>
        <w:jc w:val="both"/>
      </w:pPr>
      <w:r>
        <w:t>Nor can the gap be closed by re-tuning the engines that power large-scale deduplication. The obstacle is geometric: a copied span of about 40 items embedded in a piece of about 700 items scores below 0.10 in set-Jaccard under a perfect oracle (measured quartiles 0.045/0.099/0.201 over our 337-cell adversarial audit), and no band configuration of a MinHash-LSH index recovers such a donor at any operating point (Section V-G). Relative overlap has no threshold at which a contained copy becomes visible, so resemblance cannot be tuned into recall; containment must be verified query-side, not estimated corpus-side. This negative result is what motivates the architecture: the screen's contract must be stated on evidence, not on similarity.</w:t>
      </w:r>
    </w:p>
    <w:p>
      <w:pPr>
        <w:spacing w:after="0"/>
        <w:ind w:firstLine="204"/>
        <w:jc w:val="both"/>
      </w:pPr>
      <w:r>
        <w:t>Cover-song identification has moved to learned audio embeddings [15]–[17], while plagiarism detection specifically has been addressed with chroma-based forensics [18], bipartite graph matching [19], and melodic-similarity analysis of real copyright cases [20]; these audio- and embedding-centric methods, like query-by-humming lineage [13], [14], do not provide a symbolic, per-query recall guarantee of the kind a publisher can contract against.</w:t>
      </w: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[8]: under a partial budget it must return the best partial answer together with a sound bound on what remains open.</w:t>
      </w:r>
    </w:p>
    <w:p>
      <w:pPr>
        <w:spacing w:after="0"/>
        <w:ind w:firstLine="204"/>
        <w:jc w:val="both"/>
      </w:pPr>
      <w:r>
        <w:t xml:space="preserve">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w:t>
      </w:r>
    </w:p>
    <w:p>
      <w:pPr>
        <w:spacing w:after="0"/>
        <w:ind w:firstLine="204"/>
        <w:jc w:val="both"/>
      </w:pPr>
      <w:r>
        <w:t>Two further findings complete the picture: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 xml:space="preserve">The through-line of these results is that guarantees, not thresholds, are the unit of design: each layer is specified by a contract it must honor, and every reported number is a measurement of contract compliance rather than a tuned operating point. The contributions are: (1) an architectural decomposition of copy detection into a provable-recall screening problem and a structural confirmation problem, with formal contracts for each layer, validated by a controlled negative result: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w:t>
      </w:r>
    </w:p>
    <w:p>
      <w:pPr>
        <w:spacing w:after="0"/>
        <w:ind w:firstLine="204"/>
        <w:jc w:val="both"/>
      </w:pPr>
      <w:r>
        <w:t>The last two contributions are systems-level: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spacing w:after="0"/>
        <w:ind w:firstLine="204"/>
        <w:jc w:val="both"/>
      </w:pPr>
      <w:r>
        <w:t>Fig. 1 previews the whole system as an evidence funnel: candidate sets narrow through the L1 screen and the L2 top-C gate while the recall floor (Thm 1) stays unbroken; L3 inspects survivors under a structural lens, and confirmed matches ship as adjudicable reports.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9"/>
        </w:rPr>
        <w:t>Fig. 1. The evidence funnel of the proposed pipeline, with one query traced end to end (amber markers). Left: the Lakh MIDI corpus is encoded once into a rare-first item-set index (1.05 GB, 41.9 ms p50). Center: the L1 tolerant screen enumerates 1.66 M candidates under an anytime budget with a per-prefix recall floor (Thm 1). Right: L3 structural confirmation aligns ordered note chains—invariant to pitch, tempo, and splicing—and certifies the copied span (ρ = 0.62 ≥ 0.5) as a publisher-readable verdict.</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II. RELATED WORK</w:t>
      </w:r>
    </w:p>
    <w:p>
      <w:pPr>
        <w:pStyle w:val="Heading2"/>
      </w:pPr>
      <w:r>
        <w:t>A. Symbolic music retrieval and pattern discovery</w:t>
      </w:r>
    </w:p>
    <w:p>
      <w:pPr>
        <w:spacing w:after="0"/>
        <w:ind w:firstLine="204"/>
        <w:jc w:val="both"/>
      </w:pPr>
      <w:r>
        <w:t>Sequence-based matching of notated music under edit distance and transportation distance was established by Typke et al. [1], and geometric repeated-pattern discovery by Meredith et al. [2]. Surveying the field, Casey et al. [3] and Typke et al. [5] separate audio-descriptor approaches from symbolic approaches; Müller [4], [6] systematize chroma and alignment techniques. Our screen layer inherits the item-set view of FIM [9], [10] but replaces corpus-side enumeration with query-side containment verification, trading pattern completeness for a provable per-query recall contract.</w:t>
      </w:r>
    </w:p>
    <w:p>
      <w:pPr>
        <w:spacing w:after="0"/>
        <w:ind w:firstLine="204"/>
        <w:jc w:val="both"/>
      </w:pPr>
      <w:r>
        <w:t xml:space="preserve">Symbolic version identification has a complementary lineage. Alignment-based matching of MIDI to audio [6] and sequence-comparison methods benchmarked on the Lakh corpus [7] establish that symbolic sequences support robust matching, but their cost is per-candidate: applied as corpus-wide filters they do not scale, and applied after a cheap filter they inherit the filter's recall, which none of these systems bounds. </w:t>
      </w:r>
    </w:p>
    <w:p>
      <w:pPr>
        <w:spacing w:after="0"/>
        <w:ind w:firstLine="204"/>
        <w:jc w:val="both"/>
      </w:pPr>
      <w:r>
        <w:t>Our screen layer can be read as a recall-guaranteed candidate generator for exactly such aligners: it hands confirmation a top-C set small enough that exact structural alignment becomes affordable, while the bound certifies that nothing outside the set needs alignment at all.</w:t>
      </w:r>
    </w:p>
    <w:p>
      <w:pPr>
        <w:pStyle w:val="Heading2"/>
      </w:pPr>
      <w:r>
        <w:t>B. Memorization in generative models</w:t>
      </w:r>
    </w:p>
    <w:p>
      <w:pPr>
        <w:spacing w:after="0"/>
        <w:ind w:firstLine="204"/>
        <w:jc w:val="both"/>
      </w:pPr>
      <w:r>
        <w:t xml:space="preserve">Carlini et al. [11] demonstrated that large language models regurgitate training sequences and that extraction is detectable with membership tests [23]; the same extraction was then shown for diffusion models [24]. Deduplication reduces both verbatim regurgitation and privacy leakage [25], [26], and memorization is measurable even in probabilistic deep generative models [27]. For music specifically, symbolic generators such as Music Transformer [22] are trained on scraped MIDI, membership-inference auditing of generative music models has only recently been demonstrated [28], influence-level attribution has been explored with audio embeddings [29], and the legal status of such training data remains contested [30]. </w:t>
      </w:r>
    </w:p>
    <w:p>
      <w:pPr>
        <w:spacing w:after="0"/>
        <w:ind w:firstLine="204"/>
        <w:jc w:val="both"/>
      </w:pPr>
      <w:r>
        <w:t>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pPr>
      <w:r>
        <w:t>C. Anytime algorithms</w:t>
      </w:r>
    </w:p>
    <w:p>
      <w:pPr>
        <w:spacing w:after="0"/>
        <w:ind w:firstLine="204"/>
        <w:jc w:val="both"/>
      </w:pPr>
      <w:r>
        <w:t>Zilberstein [8]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spacing w:after="0"/>
        <w:ind w:firstLine="204"/>
        <w:jc w:val="both"/>
      </w:pPr>
      <w:r>
        <w:t>The bound instantiates a classical pattern. Threshold algorithms for top-k aggregation [33] maintain a partial-score bound under which no unseen candidate can qualify, and branch-and-bound search [34] carries an admissible estimate of everything not yet explored. Theorem 1 transfers this contract to tolerant item-set evidence: because every unprocessed position can contribute at most one to any piece, score_u(P) + (q − u) plays the role of the partial bound, with tolerance turning it into a certified floor on final evidence rather than an optimistic estimate. We are not aware of an evidence bound of this form stated and cell-by-cell audited for music retrieval.</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9"/>
        </w:rPr>
        <w:t>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ρ = 0.62 ≥ 0.5. (d) Confirmed matches ship as adjudicable reports; memorization and in-the-wild audits close the loop. Black arrows mark data flow; amber markers trace one query end to end.</w:t>
      </w: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A. Problem statement and notation</w:t>
      </w:r>
    </w:p>
    <w:p>
      <w:pPr>
        <w:spacing w:after="0"/>
        <w:ind w:firstLine="204"/>
        <w:jc w:val="both"/>
      </w:pPr>
      <w:r>
        <w:t>A piece P = (e₁, …, e_n) is a sequence of note events e_i = (t_i, p_i, d_i, v_i): onset time, MIDI pitch, duration, and velocity. An encoding φ maps each event to an item, a tuple of quantized features (Section III-B); the item set S(P) = ∪_i {φ(e_i)} discards order and repetition. For tolerance vector k = (k_pitch, k_bin, k_vel), the neighborhood N_k(x) of an item x is the set of items whose pitch differs by at most k_pitch semitones and whose duration, inter-onset interval (IOI), and velocity bins differ by at most k_bin and k_vel bins respectively. A planted copy of a span X is produced by transforming every event of X with one of the six families of Section IV; the declared screen tolerance k = (2, 1, 1) covers all families except transposition beyond ±2 semitones and transcription jitter beyond ±1 bin, which the interval-sketch index of Section III-B handles separately.</w:t>
      </w:r>
    </w:p>
    <w:p>
      <w:pPr>
        <w:spacing w:after="0"/>
        <w:ind w:firstLine="204"/>
        <w:jc w:val="both"/>
      </w:pPr>
      <w:r>
        <w:t>Problem. Given a corpus D = {P₁, …, P_N} and a query fragment q, return a ranked candidate list with per-candidate evidence such that (completeness) every piece that shares with q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pStyle w:val="Heading2"/>
      </w:pPr>
      <w:r>
        <w:t>B. Event encoding and index construction</w:t>
      </w:r>
    </w:p>
    <w:p>
      <w:pPr>
        <w:spacing w:after="0"/>
        <w:ind w:firstLine="204"/>
        <w:jc w:val="both"/>
      </w:pPr>
      <w:r>
        <w:t xml:space="preserve">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 </w:t>
      </w:r>
    </w:p>
    <w:p>
      <w:pPr>
        <w:spacing w:after="0"/>
        <w:ind w:firstLine="204"/>
        <w:jc w:val="both"/>
      </w:pPr>
      <w:r>
        <w:t>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spacing w:after="0"/>
        <w:ind w:firstLine="204"/>
        <w:jc w:val="both"/>
      </w:pPr>
      <w:r>
        <w:t>The corpus index is an inverted index from item to sorted piece-ID lists, built once in a linear pass (each piece contributes |S(P)| postings). Build time and memory grow linearly with corpus size (Fig. 3, Table I); incremental updates append postings for new pieces without rebuilding.</w:t>
      </w:r>
    </w:p>
    <w:p>
      <w:pPr>
        <w:pStyle w:val="Heading2"/>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Theorem 1 (evidence lower bound). Let q have q positions, processed in any order, and let score_u(P) be piece P's tolerant score after u positions. For every piece P whose copied span deviates within tolerance at every position, score_u(P) + (q − u) ≥ score_q(P), and the open set O_u = {P : score_u(P) + (q − u) ≥ τ} is exactly the set of pieces that can still contain such a copy at threshold τ. Proof sketch: a tolerated deviation maps position i's item into N_k, so each position of a true copy contributes at least as much as a verbatim position; unprocessed positions can contribute at most one each. Hence a piece outside O_u cannot be a copy, and no piece inside O_u can be excluded yet. ∎</w:t>
      </w:r>
    </w:p>
    <w:p>
      <w:pPr>
        <w:spacing w:after="0"/>
        <w:ind w:firstLine="204"/>
        <w:jc w:val="both"/>
      </w:pPr>
      <w:r>
        <w:t>Two consequences matter operationally. First, the recall contract is auditable per query: measuring donor score ≥ bound on adversarial cells verifies it cell by cell (Section V-B). Second, the anytime contract is sound: after any budget prefix, the best partial answer plus O_u is a complete description of the search state, so interruption never loses a certified answer. Rare-first ordering greedily minimizes the growth of |O_u|,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Complexity. Index construction is O(Σ_P |S(P)|). A query touches, per position, the posting lists of all items in N_k, so query cost grows with the length of the evidence and with the vocabulary mass inside the query's tolerance neighborhood, and grows with corpus size only through longer posting lists; the open set is maintained in a Fenwick structure over piece IDs, giving O(log N) updates and an exact |O_u| readout after every position. Measured end to end, the index builds in 24.747 s and queries run at p50 = 41.94 ms on the full 174,300-piece corpus (Table I).</w:t>
      </w:r>
    </w:p>
    <w:p>
      <w:pPr>
        <w:pStyle w:val="Heading2"/>
      </w:pPr>
      <w:r>
        <w:t>D. L2/L3: re-ranking and structural confirmation</w:t>
      </w:r>
    </w:p>
    <w:p>
      <w:pPr>
        <w:spacing w:after="0"/>
        <w:ind w:firstLine="204"/>
        <w:jc w:val="both"/>
      </w:pPr>
      <w:r>
        <w:t xml:space="preserve">The screen is deliberately permissive; verbatim counts re-rank its survivors, and the top-C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w:t>
      </w:r>
    </w:p>
    <w:p>
      <w:pPr>
        <w:spacing w:after="0"/>
        <w:ind w:firstLine="204"/>
        <w:jc w:val="both"/>
      </w:pPr>
      <w:r>
        <w:t xml:space="preserve">Anchors are strict-tolerance matches; their j − i offsets are voted, and when the strict vote is inconclusive the interval-sketch offsets estimate the transposition, which is then removed by re-expressing the query in interval form and re-running confirmation once. </w:t>
      </w:r>
    </w:p>
    <w:p>
      <w:pPr>
        <w:spacing w:after="0"/>
        <w:ind w:firstLine="204"/>
        <w:jc w:val="both"/>
      </w:pPr>
      <w:r>
        <w:t>The dynamic program runs inside the anchor-constrained window, so its cost is O(W·m) for window W and m anchors, with a traceback that recovers the chain itself. A candidate is confirmed when the best chain reaches ρ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rPr>
          <w:cantSplit/>
        </w:trPr>
        <w:tc>
          <w:tcPr>
            <w:tcW w:type="dxa" w:w="10368"/>
          </w:tcPr>
          <w:p>
            <w:pPr>
              <w:spacing w:after="0" w:before="0"/>
            </w:pPr>
            <w:r/>
            <w:r>
              <w:rPr>
                <w:rFonts w:ascii="Consolas" w:hAnsi="Consolas" w:eastAsia="Consolas"/>
                <w:sz w:val="14"/>
              </w:rPr>
              <w:t>Algorithm 1  Two-layer copy detection (query q,</w:t>
            </w:r>
            <w:r>
              <w:br/>
            </w:r>
            <w:r>
              <w:rPr>
                <w:rFonts w:ascii="Consolas" w:hAnsi="Consolas" w:eastAsia="Consolas"/>
                <w:sz w:val="14"/>
              </w:rPr>
              <w:t xml:space="preserve">    index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w:t>
            </w:r>
            <w:r>
              <w:br/>
            </w:r>
            <w:r>
              <w:rPr>
                <w:rFonts w:ascii="Consolas" w:hAnsi="Consolas" w:eastAsia="Consolas"/>
                <w:sz w:val="14"/>
              </w:rPr>
              <w:t xml:space="preserve">    contiguity rho;</w:t>
            </w:r>
            <w:r>
              <w:br/>
            </w:r>
            <w:r>
              <w:rPr>
                <w:rFonts w:ascii="Consolas" w:hAnsi="Consolas" w:eastAsia="Consolas"/>
                <w:sz w:val="14"/>
              </w:rPr>
              <w:t xml:space="preserve">        top-C; budget B</w:t>
            </w:r>
            <w:r>
              <w:br/>
            </w:r>
            <w:r>
              <w:rPr>
                <w:rFonts w:ascii="Consolas" w:hAnsi="Consolas" w:eastAsia="Consolas"/>
                <w:sz w:val="14"/>
              </w:rPr>
              <w:t xml:space="preserve"> 1: order &lt;- positions of q sorted by</w:t>
            </w:r>
            <w:r>
              <w:br/>
            </w:r>
            <w:r>
              <w:rPr>
                <w:rFonts w:ascii="Consolas" w:hAnsi="Consolas" w:eastAsia="Consolas"/>
                <w:sz w:val="14"/>
              </w:rPr>
              <w:t xml:space="preserve">    |N_k(item_i)|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w:t>
            </w:r>
            <w:r>
              <w:br/>
            </w:r>
            <w:r>
              <w:rPr>
                <w:rFonts w:ascii="Consolas" w:hAnsi="Consolas" w:eastAsia="Consolas"/>
                <w:sz w:val="14"/>
              </w:rPr>
              <w:t xml:space="preserve">    rankings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 xml:space="preserve">Corpus. The Lakh MIDI dataset [7] (mirrored parquet export), up to 174,300 pieces encoded as item sets; the adversarial suite uses the first 3,000 pieces of shard 0. The GigaMIDI corpus [21] indicates that symbolic collections at the million-piece scale are now routine, which is the operating regime the screen layer is built for. </w:t>
      </w:r>
    </w:p>
    <w:p>
      <w:pPr>
        <w:spacing w:after="0"/>
        <w:ind w:firstLine="204"/>
        <w:jc w:val="both"/>
      </w:pPr>
      <w:r>
        <w:t xml:space="preserve">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w:t>
      </w:r>
    </w:p>
    <w:p>
      <w:pPr>
        <w:spacing w:after="0"/>
        <w:ind w:firstLine="204"/>
        <w:jc w:val="both"/>
      </w:pPr>
      <w:r>
        <w:t xml:space="preserve">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w:t>
      </w:r>
    </w:p>
    <w:p>
      <w:pPr>
        <w:spacing w:after="0"/>
        <w:ind w:firstLine="204"/>
        <w:jc w:val="both"/>
      </w:pPr>
      <w:r>
        <w:t>Baselines. Set-Jaccard corpus scan, SIATEC-family pattern discovery [2], and n-gram Jaccard (Section V-A); FIM engines from our prior work [31], [32] serve as enumeration baselines. Both engines are independent of the present system—they enumerate patterns corpus-side, whereas the screen verifies containment query-side—and serve here solely as feasibility references.</w:t>
      </w:r>
    </w:p>
    <w:p>
      <w:pPr>
        <w:spacing w:after="0"/>
        <w:ind w:firstLine="204"/>
        <w:jc w:val="both"/>
      </w:pPr>
      <w:r>
        <w:t>Environment. All experiments run on a single commodity workstation (12th-generation Intel Core i9, 128 GB RAM) in pure Python 3.12 with NumPy; no GPU accelerates any stage, so all latencies are conservative CPU-only figures. Every experiment is scripted end to end: the released pipeline re-downloads the corpus shards, rebuilds the index, regenerates every table and figure, and reproduces the manuscript numbers from scratch.</w:t>
      </w:r>
    </w:p>
    <w:p>
      <w:pPr>
        <w:spacing w:after="0"/>
        <w:ind w:firstLine="204"/>
        <w:jc w:val="both"/>
      </w:pPr>
      <w:r>
        <w:t>Operating parameters. Table II summarizes the production configuration used unless a section states otherwise; the ablations of Section V-F justify each choice.</w:t>
      </w:r>
    </w:p>
    <w:p>
      <w:pPr>
        <w:pStyle w:val="TableTitle"/>
        <w:keepNext/>
      </w:pPr>
      <w:r>
        <w:t>TABLE II.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b w:val="0"/>
                <w:sz w:val="16"/>
              </w:rPr>
              <w:t>Quantization grid</w:t>
            </w:r>
          </w:p>
        </w:tc>
        <w:tc>
          <w:tcPr>
            <w:tcW w:type="dxa" w:w="3456"/>
          </w:tcPr>
          <w:p>
            <w:pPr>
              <w:keepNext/>
              <w:jc w:val="center"/>
            </w:pPr>
            <w:r/>
            <w:r>
              <w:rPr>
                <w:rFonts w:ascii="Times New Roman" w:hAnsi="Times New Roman"/>
                <w:b w:val="0"/>
                <w:sz w:val="16"/>
              </w:rPr>
              <w:t>125 ms (tpb = 8)</w:t>
            </w:r>
          </w:p>
        </w:tc>
        <w:tc>
          <w:tcPr>
            <w:tcW w:type="dxa" w:w="3456"/>
          </w:tcPr>
          <w:p>
            <w:pPr>
              <w:keepNext/>
              <w:jc w:val="center"/>
            </w:pPr>
            <w:r/>
            <w:r>
              <w:rPr>
                <w:rFonts w:ascii="Times New Roman" w:hAnsi="Times New Roman"/>
                <w:b w:val="0"/>
                <w:sz w:val="16"/>
              </w:rPr>
              <w:t>event-encoding bin for all four features</w:t>
            </w:r>
          </w:p>
        </w:tc>
      </w:tr>
      <w:tr>
        <w:trPr>
          <w:cantSplit/>
        </w:trPr>
        <w:tc>
          <w:tcPr>
            <w:tcW w:type="dxa" w:w="3456"/>
          </w:tcPr>
          <w:p>
            <w:pPr>
              <w:keepNext/>
              <w:jc w:val="left"/>
            </w:pPr>
            <w:r/>
            <w:r>
              <w:rPr>
                <w:rFonts w:ascii="Times New Roman" w:hAnsi="Times New Roman"/>
                <w:b w:val="0"/>
                <w:sz w:val="16"/>
              </w:rPr>
              <w:t>Screen tolerance k</w:t>
            </w:r>
          </w:p>
        </w:tc>
        <w:tc>
          <w:tcPr>
            <w:tcW w:type="dxa" w:w="3456"/>
          </w:tcPr>
          <w:p>
            <w:pPr>
              <w:keepNext/>
              <w:jc w:val="center"/>
            </w:pPr>
            <w:r/>
            <w:r>
              <w:rPr>
                <w:rFonts w:ascii="Times New Roman" w:hAnsi="Times New Roman"/>
                <w:b w:val="0"/>
                <w:sz w:val="16"/>
              </w:rPr>
              <w:t>(2, 1, 1)</w:t>
            </w:r>
          </w:p>
        </w:tc>
        <w:tc>
          <w:tcPr>
            <w:tcW w:type="dxa" w:w="3456"/>
          </w:tcPr>
          <w:p>
            <w:pPr>
              <w:keepNext/>
              <w:jc w:val="center"/>
            </w:pPr>
            <w:r/>
            <w:r>
              <w:rPr>
                <w:rFonts w:ascii="Times New Roman" w:hAnsi="Times New Roman"/>
                <w:b w:val="0"/>
                <w:sz w:val="16"/>
              </w:rPr>
              <w:t>pitch ±2 st; duration/IOI ±1 bin; velocity ±1 bin</w:t>
            </w:r>
          </w:p>
        </w:tc>
      </w:tr>
      <w:tr>
        <w:trPr>
          <w:cantSplit/>
        </w:trPr>
        <w:tc>
          <w:tcPr>
            <w:tcW w:type="dxa" w:w="3456"/>
          </w:tcPr>
          <w:p>
            <w:pPr>
              <w:keepNext/>
              <w:jc w:val="left"/>
            </w:pPr>
            <w:r/>
            <w:r>
              <w:rPr>
                <w:rFonts w:ascii="Times New Roman" w:hAnsi="Times New Roman"/>
                <w:b w:val="0"/>
                <w:sz w:val="16"/>
              </w:rPr>
              <w:t>Evidence threshold τ</w:t>
            </w:r>
          </w:p>
        </w:tc>
        <w:tc>
          <w:tcPr>
            <w:tcW w:type="dxa" w:w="3456"/>
          </w:tcPr>
          <w:p>
            <w:pPr>
              <w:keepNext/>
              <w:jc w:val="center"/>
            </w:pPr>
            <w:r/>
            <w:r>
              <w:rPr>
                <w:rFonts w:ascii="Times New Roman" w:hAnsi="Times New Roman"/>
                <w:b w:val="0"/>
                <w:sz w:val="16"/>
              </w:rPr>
              <w:t>⌊0.5·|S(q)|⌋</w:t>
            </w:r>
          </w:p>
        </w:tc>
        <w:tc>
          <w:tcPr>
            <w:tcW w:type="dxa" w:w="3456"/>
          </w:tcPr>
          <w:p>
            <w:pPr>
              <w:keepNext/>
              <w:jc w:val="center"/>
            </w:pPr>
            <w:r/>
            <w:r>
              <w:rPr>
                <w:rFonts w:ascii="Times New Roman" w:hAnsi="Times New Roman"/>
                <w:b w:val="0"/>
                <w:sz w:val="16"/>
              </w:rPr>
              <w:t>screen acceptance per query</w:t>
            </w:r>
          </w:p>
        </w:tc>
      </w:tr>
      <w:tr>
        <w:trPr>
          <w:cantSplit/>
        </w:trPr>
        <w:tc>
          <w:tcPr>
            <w:tcW w:type="dxa" w:w="3456"/>
          </w:tcPr>
          <w:p>
            <w:pPr>
              <w:keepNext/>
              <w:jc w:val="left"/>
            </w:pPr>
            <w:r/>
            <w:r>
              <w:rPr>
                <w:rFonts w:ascii="Times New Roman" w:hAnsi="Times New Roman"/>
                <w:b w:val="0"/>
                <w:sz w:val="16"/>
              </w:rPr>
              <w:t>Confirm tolerance</w:t>
            </w:r>
          </w:p>
        </w:tc>
        <w:tc>
          <w:tcPr>
            <w:tcW w:type="dxa" w:w="3456"/>
          </w:tcPr>
          <w:p>
            <w:pPr>
              <w:keepNext/>
              <w:jc w:val="center"/>
            </w:pPr>
            <w:r/>
            <w:r>
              <w:rPr>
                <w:rFonts w:ascii="Times New Roman" w:hAnsi="Times New Roman"/>
                <w:b w:val="0"/>
                <w:sz w:val="16"/>
              </w:rPr>
              <w:t>(1, 0, 0)</w:t>
            </w:r>
          </w:p>
        </w:tc>
        <w:tc>
          <w:tcPr>
            <w:tcW w:type="dxa" w:w="3456"/>
          </w:tcPr>
          <w:p>
            <w:pPr>
              <w:keepNext/>
              <w:jc w:val="center"/>
            </w:pPr>
            <w:r/>
            <w:r>
              <w:rPr>
                <w:rFonts w:ascii="Times New Roman" w:hAnsi="Times New Roman"/>
                <w:b w:val="0"/>
                <w:sz w:val="16"/>
              </w:rPr>
              <w:t>pitch ±1 st; duration/IOI/velocity exact bins</w:t>
            </w:r>
          </w:p>
        </w:tc>
      </w:tr>
      <w:tr>
        <w:trPr>
          <w:cantSplit/>
        </w:trPr>
        <w:tc>
          <w:tcPr>
            <w:tcW w:type="dxa" w:w="3456"/>
          </w:tcPr>
          <w:p>
            <w:pPr>
              <w:keepNext/>
              <w:jc w:val="left"/>
            </w:pPr>
            <w:r/>
            <w:r>
              <w:rPr>
                <w:rFonts w:ascii="Times New Roman" w:hAnsi="Times New Roman"/>
                <w:b w:val="0"/>
                <w:sz w:val="16"/>
              </w:rPr>
              <w:t>Contiguity ρ</w:t>
            </w:r>
          </w:p>
        </w:tc>
        <w:tc>
          <w:tcPr>
            <w:tcW w:type="dxa" w:w="3456"/>
          </w:tcPr>
          <w:p>
            <w:pPr>
              <w:keepNext/>
              <w:jc w:val="center"/>
            </w:pPr>
            <w:r/>
            <w:r>
              <w:rPr>
                <w:rFonts w:ascii="Times New Roman" w:hAnsi="Times New Roman"/>
                <w:b w:val="0"/>
                <w:sz w:val="16"/>
              </w:rPr>
              <w:t>0.5 (0.4 high-recall)</w:t>
            </w:r>
          </w:p>
        </w:tc>
        <w:tc>
          <w:tcPr>
            <w:tcW w:type="dxa" w:w="3456"/>
          </w:tcPr>
          <w:p>
            <w:pPr>
              <w:keepNext/>
              <w:jc w:val="center"/>
            </w:pPr>
            <w:r/>
            <w:r>
              <w:rPr>
                <w:rFonts w:ascii="Times New Roman" w:hAnsi="Times New Roman"/>
                <w:b w:val="0"/>
                <w:sz w:val="16"/>
              </w:rPr>
              <w:t>confirmation acceptance, |chain| ≥ ρ·q</w:t>
            </w:r>
          </w:p>
        </w:tc>
      </w:tr>
      <w:tr>
        <w:trPr>
          <w:cantSplit/>
        </w:trPr>
        <w:tc>
          <w:tcPr>
            <w:tcW w:type="dxa" w:w="3456"/>
          </w:tcPr>
          <w:p>
            <w:pPr>
              <w:keepNext/>
              <w:jc w:val="left"/>
            </w:pPr>
            <w:r/>
            <w:r>
              <w:rPr>
                <w:rFonts w:ascii="Times New Roman" w:hAnsi="Times New Roman"/>
                <w:b w:val="0"/>
                <w:sz w:val="16"/>
              </w:rPr>
              <w:t>Top-C</w:t>
            </w:r>
          </w:p>
        </w:tc>
        <w:tc>
          <w:tcPr>
            <w:tcW w:type="dxa" w:w="3456"/>
          </w:tcPr>
          <w:p>
            <w:pPr>
              <w:keepNext/>
              <w:jc w:val="center"/>
            </w:pPr>
            <w:r/>
            <w:r>
              <w:rPr>
                <w:rFonts w:ascii="Times New Roman" w:hAnsi="Times New Roman"/>
                <w:b w:val="0"/>
                <w:sz w:val="16"/>
              </w:rPr>
              <w:t>50 (20 ablated)</w:t>
            </w:r>
          </w:p>
        </w:tc>
        <w:tc>
          <w:tcPr>
            <w:tcW w:type="dxa" w:w="3456"/>
          </w:tcPr>
          <w:p>
            <w:pPr>
              <w:keepNext/>
              <w:jc w:val="center"/>
            </w:pPr>
            <w:r/>
            <w:r>
              <w:rPr>
                <w:rFonts w:ascii="Times New Roman" w:hAnsi="Times New Roman"/>
                <w:b w:val="0"/>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b w:val="0"/>
                <w:sz w:val="16"/>
              </w:rPr>
              <w:t>Anytime budget B</w:t>
            </w:r>
          </w:p>
        </w:tc>
        <w:tc>
          <w:tcPr>
            <w:tcW w:type="dxa" w:w="3456"/>
            <w:tcBorders>
              <w:bottom w:val="single" w:sz="12" w:color="000000"/>
            </w:tcBorders>
          </w:tcPr>
          <w:p>
            <w:pPr>
              <w:jc w:val="center"/>
            </w:pPr>
            <w:r/>
            <w:r>
              <w:rPr>
                <w:rFonts w:ascii="Times New Roman" w:hAnsi="Times New Roman"/>
                <w:b w:val="0"/>
                <w:sz w:val="16"/>
              </w:rPr>
              <w:t>full (half ablated)</w:t>
            </w:r>
          </w:p>
        </w:tc>
        <w:tc>
          <w:tcPr>
            <w:tcW w:type="dxa" w:w="3456"/>
            <w:tcBorders>
              <w:bottom w:val="single" w:sz="12" w:color="000000"/>
            </w:tcBorders>
          </w:tcPr>
          <w:p>
            <w:pPr>
              <w:jc w:val="center"/>
            </w:pPr>
            <w:r/>
            <w:r>
              <w:rPr>
                <w:rFonts w:ascii="Times New Roman" w:hAnsi="Times New Roman"/>
                <w:b w:val="0"/>
                <w:sz w:val="16"/>
              </w:rPr>
              <w:t>rare-first schedule length</w:t>
            </w:r>
          </w:p>
        </w:tc>
      </w:tr>
    </w:tbl>
    <w:p>
      <w:pPr>
        <w:spacing w:after="40"/>
      </w:pPr>
    </w:p>
    <w:p>
      <w:pPr>
        <w:pStyle w:val="Heading1"/>
      </w:pPr>
      <w:r>
        <w:t>V. RESULTS</w:t>
      </w:r>
    </w:p>
    <w:p>
      <w:pPr>
        <w:pStyle w:val="Heading2"/>
      </w:pPr>
      <w:r>
        <w:t>A. Scale and baseline feasibility</w:t>
      </w:r>
    </w:p>
    <w:p>
      <w:pPr>
        <w:spacing w:after="0"/>
        <w:ind w:firstLine="204"/>
        <w:jc w:val="both"/>
      </w:pPr>
      <w:r>
        <w:t>Fig. 3 reports scaling on subsampled corpora and Table I gives the corresponding numbers. 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tau = 0.10; identical at tau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engines of our previous work [31], [32]—was measured infeasible at the support levels copying detection requires (over 11 million frequent pairs at N=300 under the standard cutoff), which is precisely why the architecture places FIM semantics on the query side.</w:t>
      </w: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9"/>
        </w:rPr>
        <w:t>Fig. 3. Index build and query latency versus corpus size (log-log); planted recall 100% at all sizes; Jaccard scan baseline shown where feasible; MinHash-LSH is fast at every size yet retrieves nothing (Section V-G).</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w:t>
      </w:r>
    </w:p>
    <w:p>
      <w:pPr>
        <w:pStyle w:val="TableTitle"/>
        <w:keepNext/>
      </w:pPr>
      <w:r>
        <w:t>Index scaling and baseline feasibility; Jaccard scan infeasible beyond 10,000 pieces; MinHash-LSH (128 permutations, 16 bands x 8 rows, tau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b w:val="0"/>
                <w:sz w:val="16"/>
              </w:rPr>
              <w:t>1,000</w:t>
            </w:r>
          </w:p>
        </w:tc>
        <w:tc>
          <w:tcPr>
            <w:tcW w:type="dxa" w:w="1152"/>
          </w:tcPr>
          <w:p>
            <w:pPr>
              <w:keepNext/>
              <w:jc w:val="center"/>
            </w:pPr>
            <w:r/>
            <w:r>
              <w:rPr>
                <w:rFonts w:ascii="Times New Roman" w:hAnsi="Times New Roman"/>
                <w:b w:val="0"/>
                <w:sz w:val="16"/>
              </w:rPr>
              <w:t>0.38</w:t>
            </w:r>
          </w:p>
        </w:tc>
        <w:tc>
          <w:tcPr>
            <w:tcW w:type="dxa" w:w="1152"/>
          </w:tcPr>
          <w:p>
            <w:pPr>
              <w:keepNext/>
              <w:jc w:val="center"/>
            </w:pPr>
            <w:r/>
            <w:r>
              <w:rPr>
                <w:rFonts w:ascii="Times New Roman" w:hAnsi="Times New Roman"/>
                <w:b w:val="0"/>
                <w:sz w:val="16"/>
              </w:rPr>
              <w:t>15</w:t>
            </w:r>
          </w:p>
        </w:tc>
        <w:tc>
          <w:tcPr>
            <w:tcW w:type="dxa" w:w="1152"/>
          </w:tcPr>
          <w:p>
            <w:pPr>
              <w:keepNext/>
              <w:jc w:val="center"/>
            </w:pPr>
            <w:r/>
            <w:r>
              <w:rPr>
                <w:rFonts w:ascii="Times New Roman" w:hAnsi="Times New Roman"/>
                <w:b w:val="0"/>
                <w:sz w:val="16"/>
              </w:rPr>
              <w:t>0.0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5</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3,000</w:t>
            </w:r>
          </w:p>
        </w:tc>
        <w:tc>
          <w:tcPr>
            <w:tcW w:type="dxa" w:w="1152"/>
          </w:tcPr>
          <w:p>
            <w:pPr>
              <w:keepNext/>
              <w:jc w:val="center"/>
            </w:pPr>
            <w:r/>
            <w:r>
              <w:rPr>
                <w:rFonts w:ascii="Times New Roman" w:hAnsi="Times New Roman"/>
                <w:b w:val="0"/>
                <w:sz w:val="16"/>
              </w:rPr>
              <w:t>0.71</w:t>
            </w:r>
          </w:p>
        </w:tc>
        <w:tc>
          <w:tcPr>
            <w:tcW w:type="dxa" w:w="1152"/>
          </w:tcPr>
          <w:p>
            <w:pPr>
              <w:keepNext/>
              <w:jc w:val="center"/>
            </w:pPr>
            <w:r/>
            <w:r>
              <w:rPr>
                <w:rFonts w:ascii="Times New Roman" w:hAnsi="Times New Roman"/>
                <w:b w:val="0"/>
                <w:sz w:val="16"/>
              </w:rPr>
              <w:t>33</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46/46</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10,000</w:t>
            </w:r>
          </w:p>
        </w:tc>
        <w:tc>
          <w:tcPr>
            <w:tcW w:type="dxa" w:w="1152"/>
          </w:tcPr>
          <w:p>
            <w:pPr>
              <w:keepNext/>
              <w:jc w:val="center"/>
            </w:pPr>
            <w:r/>
            <w:r>
              <w:rPr>
                <w:rFonts w:ascii="Times New Roman" w:hAnsi="Times New Roman"/>
                <w:b w:val="0"/>
                <w:sz w:val="16"/>
              </w:rPr>
              <w:t>8.01</w:t>
            </w:r>
          </w:p>
        </w:tc>
        <w:tc>
          <w:tcPr>
            <w:tcW w:type="dxa" w:w="1152"/>
          </w:tcPr>
          <w:p>
            <w:pPr>
              <w:keepNext/>
              <w:jc w:val="center"/>
            </w:pPr>
            <w:r/>
            <w:r>
              <w:rPr>
                <w:rFonts w:ascii="Times New Roman" w:hAnsi="Times New Roman"/>
                <w:b w:val="0"/>
                <w:sz w:val="16"/>
              </w:rPr>
              <w:t>77</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25.0</w:t>
            </w:r>
          </w:p>
        </w:tc>
        <w:tc>
          <w:tcPr>
            <w:tcW w:type="dxa" w:w="1152"/>
          </w:tcPr>
          <w:p>
            <w:pPr>
              <w:keepNext/>
              <w:jc w:val="center"/>
            </w:pPr>
            <w:r/>
            <w:r>
              <w:rPr>
                <w:rFonts w:ascii="Times New Roman" w:hAnsi="Times New Roman"/>
                <w:b w:val="0"/>
                <w:sz w:val="16"/>
              </w:rPr>
              <w:t>42/42</w:t>
            </w:r>
          </w:p>
        </w:tc>
        <w:tc>
          <w:tcPr>
            <w:tcW w:type="dxa" w:w="1152"/>
          </w:tcPr>
          <w:p>
            <w:pPr>
              <w:keepNext/>
              <w:jc w:val="center"/>
            </w:pPr>
            <w:r/>
            <w:r>
              <w:rPr>
                <w:rFonts w:ascii="Times New Roman" w:hAnsi="Times New Roman"/>
                <w:b w:val="0"/>
                <w:sz w:val="16"/>
              </w:rPr>
              <w:t>238</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25,357</w:t>
            </w:r>
          </w:p>
        </w:tc>
        <w:tc>
          <w:tcPr>
            <w:tcW w:type="dxa" w:w="1152"/>
          </w:tcPr>
          <w:p>
            <w:pPr>
              <w:keepNext/>
              <w:jc w:val="center"/>
            </w:pPr>
            <w:r/>
            <w:r>
              <w:rPr>
                <w:rFonts w:ascii="Times New Roman" w:hAnsi="Times New Roman"/>
                <w:b w:val="0"/>
                <w:sz w:val="16"/>
              </w:rPr>
              <w:t>3.48</w:t>
            </w:r>
          </w:p>
        </w:tc>
        <w:tc>
          <w:tcPr>
            <w:tcW w:type="dxa" w:w="1152"/>
          </w:tcPr>
          <w:p>
            <w:pPr>
              <w:keepNext/>
              <w:jc w:val="center"/>
            </w:pPr>
            <w:r/>
            <w:r>
              <w:rPr>
                <w:rFonts w:ascii="Times New Roman" w:hAnsi="Times New Roman"/>
                <w:b w:val="0"/>
                <w:sz w:val="16"/>
              </w:rPr>
              <w:t>178</w:t>
            </w:r>
          </w:p>
        </w:tc>
        <w:tc>
          <w:tcPr>
            <w:tcW w:type="dxa" w:w="1152"/>
          </w:tcPr>
          <w:p>
            <w:pPr>
              <w:keepNext/>
              <w:jc w:val="center"/>
            </w:pPr>
            <w:r/>
            <w:r>
              <w:rPr>
                <w:rFonts w:ascii="Times New Roman" w:hAnsi="Times New Roman"/>
                <w:b w:val="0"/>
                <w:sz w:val="16"/>
              </w:rPr>
              <w:t>6.0</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48/48</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30,000</w:t>
            </w:r>
          </w:p>
        </w:tc>
        <w:tc>
          <w:tcPr>
            <w:tcW w:type="dxa" w:w="1152"/>
          </w:tcPr>
          <w:p>
            <w:pPr>
              <w:keepNext/>
              <w:jc w:val="center"/>
            </w:pPr>
            <w:r/>
            <w:r>
              <w:rPr>
                <w:rFonts w:ascii="Times New Roman" w:hAnsi="Times New Roman"/>
                <w:b w:val="0"/>
                <w:sz w:val="16"/>
              </w:rPr>
              <w:t>4.45</w:t>
            </w:r>
          </w:p>
        </w:tc>
        <w:tc>
          <w:tcPr>
            <w:tcW w:type="dxa" w:w="1152"/>
          </w:tcPr>
          <w:p>
            <w:pPr>
              <w:keepNext/>
              <w:jc w:val="center"/>
            </w:pPr>
            <w:r/>
            <w:r>
              <w:rPr>
                <w:rFonts w:ascii="Times New Roman" w:hAnsi="Times New Roman"/>
                <w:b w:val="0"/>
                <w:sz w:val="16"/>
              </w:rPr>
              <w:t>205</w:t>
            </w:r>
          </w:p>
        </w:tc>
        <w:tc>
          <w:tcPr>
            <w:tcW w:type="dxa" w:w="1152"/>
          </w:tcPr>
          <w:p>
            <w:pPr>
              <w:keepNext/>
              <w:jc w:val="center"/>
            </w:pPr>
            <w:r/>
            <w:r>
              <w:rPr>
                <w:rFonts w:ascii="Times New Roman" w:hAnsi="Times New Roman"/>
                <w:b w:val="0"/>
                <w:sz w:val="16"/>
              </w:rPr>
              <w:t>7.5</w:t>
            </w:r>
          </w:p>
        </w:tc>
        <w:tc>
          <w:tcPr>
            <w:tcW w:type="dxa" w:w="1152"/>
          </w:tcPr>
          <w:p>
            <w:pPr>
              <w:keepNext/>
              <w:jc w:val="center"/>
            </w:pPr>
            <w:r/>
            <w:r>
              <w:rPr>
                <w:rFonts w:ascii="Times New Roman" w:hAnsi="Times New Roman"/>
                <w:b w:val="0"/>
                <w:sz w:val="16"/>
              </w:rPr>
              <w:t>16.2</w:t>
            </w:r>
          </w:p>
        </w:tc>
        <w:tc>
          <w:tcPr>
            <w:tcW w:type="dxa" w:w="1152"/>
          </w:tcPr>
          <w:p>
            <w:pPr>
              <w:keepNext/>
              <w:jc w:val="center"/>
            </w:pPr>
            <w:r/>
            <w:r>
              <w:rPr>
                <w:rFonts w:ascii="Times New Roman" w:hAnsi="Times New Roman"/>
                <w:b w:val="0"/>
                <w:sz w:val="16"/>
              </w:rPr>
              <w:t>37/37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0/47</w:t>
            </w:r>
          </w:p>
        </w:tc>
      </w:tr>
      <w:tr>
        <w:trPr>
          <w:cantSplit/>
        </w:trPr>
        <w:tc>
          <w:tcPr>
            <w:tcW w:type="dxa" w:w="1152"/>
          </w:tcPr>
          <w:p>
            <w:pPr>
              <w:keepNext/>
              <w:jc w:val="left"/>
            </w:pPr>
            <w:r/>
            <w:r>
              <w:rPr>
                <w:rFonts w:ascii="Times New Roman" w:hAnsi="Times New Roman"/>
                <w:b w:val="0"/>
                <w:sz w:val="16"/>
              </w:rPr>
              <w:t>44,371</w:t>
            </w:r>
          </w:p>
        </w:tc>
        <w:tc>
          <w:tcPr>
            <w:tcW w:type="dxa" w:w="1152"/>
          </w:tcPr>
          <w:p>
            <w:pPr>
              <w:keepNext/>
              <w:jc w:val="center"/>
            </w:pPr>
            <w:r/>
            <w:r>
              <w:rPr>
                <w:rFonts w:ascii="Times New Roman" w:hAnsi="Times New Roman"/>
                <w:b w:val="0"/>
                <w:sz w:val="16"/>
              </w:rPr>
              <w:t>6.25</w:t>
            </w:r>
          </w:p>
        </w:tc>
        <w:tc>
          <w:tcPr>
            <w:tcW w:type="dxa" w:w="1152"/>
          </w:tcPr>
          <w:p>
            <w:pPr>
              <w:keepNext/>
              <w:jc w:val="center"/>
            </w:pPr>
            <w:r/>
            <w:r>
              <w:rPr>
                <w:rFonts w:ascii="Times New Roman" w:hAnsi="Times New Roman"/>
                <w:b w:val="0"/>
                <w:sz w:val="16"/>
              </w:rPr>
              <w:t>290</w:t>
            </w:r>
          </w:p>
        </w:tc>
        <w:tc>
          <w:tcPr>
            <w:tcW w:type="dxa" w:w="1152"/>
          </w:tcPr>
          <w:p>
            <w:pPr>
              <w:keepNext/>
              <w:jc w:val="center"/>
            </w:pPr>
            <w:r/>
            <w:r>
              <w:rPr>
                <w:rFonts w:ascii="Times New Roman" w:hAnsi="Times New Roman"/>
                <w:b w:val="0"/>
                <w:sz w:val="16"/>
              </w:rPr>
              <w:t>10.9</w:t>
            </w:r>
          </w:p>
        </w:tc>
        <w:tc>
          <w:tcPr>
            <w:tcW w:type="dxa" w:w="1152"/>
          </w:tcPr>
          <w:p>
            <w:pPr>
              <w:keepNext/>
              <w:jc w:val="center"/>
            </w:pPr>
            <w:r/>
            <w:r>
              <w:rPr>
                <w:rFonts w:ascii="Times New Roman" w:hAnsi="Times New Roman"/>
                <w:b w:val="0"/>
                <w:sz w:val="16"/>
              </w:rPr>
              <w:t>25.7</w:t>
            </w:r>
          </w:p>
        </w:tc>
        <w:tc>
          <w:tcPr>
            <w:tcW w:type="dxa" w:w="1152"/>
          </w:tcPr>
          <w:p>
            <w:pPr>
              <w:keepNext/>
              <w:jc w:val="center"/>
            </w:pPr>
            <w:r/>
            <w:r>
              <w:rPr>
                <w:rFonts w:ascii="Times New Roman" w:hAnsi="Times New Roman"/>
                <w:b w:val="0"/>
                <w:sz w:val="16"/>
              </w:rPr>
              <w:t>34/34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5.0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50,000</w:t>
            </w:r>
          </w:p>
        </w:tc>
        <w:tc>
          <w:tcPr>
            <w:tcW w:type="dxa" w:w="1152"/>
          </w:tcPr>
          <w:p>
            <w:pPr>
              <w:keepNext/>
              <w:jc w:val="center"/>
            </w:pPr>
            <w:r/>
            <w:r>
              <w:rPr>
                <w:rFonts w:ascii="Times New Roman" w:hAnsi="Times New Roman"/>
                <w:b w:val="0"/>
                <w:sz w:val="16"/>
              </w:rPr>
              <w:t>20.02</w:t>
            </w:r>
          </w:p>
        </w:tc>
        <w:tc>
          <w:tcPr>
            <w:tcW w:type="dxa" w:w="1152"/>
          </w:tcPr>
          <w:p>
            <w:pPr>
              <w:keepNext/>
              <w:jc w:val="center"/>
            </w:pPr>
            <w:r/>
            <w:r>
              <w:rPr>
                <w:rFonts w:ascii="Times New Roman" w:hAnsi="Times New Roman"/>
                <w:b w:val="0"/>
                <w:sz w:val="16"/>
              </w:rPr>
              <w:t>323</w:t>
            </w:r>
          </w:p>
        </w:tc>
        <w:tc>
          <w:tcPr>
            <w:tcW w:type="dxa" w:w="1152"/>
          </w:tcPr>
          <w:p>
            <w:pPr>
              <w:keepNext/>
              <w:jc w:val="center"/>
            </w:pPr>
            <w:r/>
            <w:r>
              <w:rPr>
                <w:rFonts w:ascii="Times New Roman" w:hAnsi="Times New Roman"/>
                <w:b w:val="0"/>
                <w:sz w:val="16"/>
              </w:rPr>
              <w:t>63.9</w:t>
            </w:r>
          </w:p>
        </w:tc>
        <w:tc>
          <w:tcPr>
            <w:tcW w:type="dxa" w:w="1152"/>
          </w:tcPr>
          <w:p>
            <w:pPr>
              <w:keepNext/>
              <w:jc w:val="center"/>
            </w:pPr>
            <w:r/>
            <w:r>
              <w:rPr>
                <w:rFonts w:ascii="Times New Roman" w:hAnsi="Times New Roman"/>
                <w:b w:val="0"/>
                <w:sz w:val="16"/>
              </w:rPr>
              <w:t>86.4</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50,709</w:t>
            </w:r>
          </w:p>
        </w:tc>
        <w:tc>
          <w:tcPr>
            <w:tcW w:type="dxa" w:w="1152"/>
          </w:tcPr>
          <w:p>
            <w:pPr>
              <w:keepNext/>
              <w:jc w:val="center"/>
            </w:pPr>
            <w:r/>
            <w:r>
              <w:rPr>
                <w:rFonts w:ascii="Times New Roman" w:hAnsi="Times New Roman"/>
                <w:b w:val="0"/>
                <w:sz w:val="16"/>
              </w:rPr>
              <w:t>7.60</w:t>
            </w:r>
          </w:p>
        </w:tc>
        <w:tc>
          <w:tcPr>
            <w:tcW w:type="dxa" w:w="1152"/>
          </w:tcPr>
          <w:p>
            <w:pPr>
              <w:keepNext/>
              <w:jc w:val="center"/>
            </w:pPr>
            <w:r/>
            <w:r>
              <w:rPr>
                <w:rFonts w:ascii="Times New Roman" w:hAnsi="Times New Roman"/>
                <w:b w:val="0"/>
                <w:sz w:val="16"/>
              </w:rPr>
              <w:t>328</w:t>
            </w:r>
          </w:p>
        </w:tc>
        <w:tc>
          <w:tcPr>
            <w:tcW w:type="dxa" w:w="1152"/>
          </w:tcPr>
          <w:p>
            <w:pPr>
              <w:keepNext/>
              <w:jc w:val="center"/>
            </w:pPr>
            <w:r/>
            <w:r>
              <w:rPr>
                <w:rFonts w:ascii="Times New Roman" w:hAnsi="Times New Roman"/>
                <w:b w:val="0"/>
                <w:sz w:val="16"/>
              </w:rPr>
              <w:t>11.6</w:t>
            </w:r>
          </w:p>
        </w:tc>
        <w:tc>
          <w:tcPr>
            <w:tcW w:type="dxa" w:w="1152"/>
          </w:tcPr>
          <w:p>
            <w:pPr>
              <w:keepNext/>
              <w:jc w:val="center"/>
            </w:pPr>
            <w:r/>
            <w:r>
              <w:rPr>
                <w:rFonts w:ascii="Times New Roman" w:hAnsi="Times New Roman"/>
                <w:b w:val="0"/>
                <w:sz w:val="16"/>
              </w:rPr>
              <w:t>16.1</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3.0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69,723</w:t>
            </w:r>
          </w:p>
        </w:tc>
        <w:tc>
          <w:tcPr>
            <w:tcW w:type="dxa" w:w="1152"/>
          </w:tcPr>
          <w:p>
            <w:pPr>
              <w:keepNext/>
              <w:jc w:val="center"/>
            </w:pPr>
            <w:r/>
            <w:r>
              <w:rPr>
                <w:rFonts w:ascii="Times New Roman" w:hAnsi="Times New Roman"/>
                <w:b w:val="0"/>
                <w:sz w:val="16"/>
              </w:rPr>
              <w:t>9.67</w:t>
            </w:r>
          </w:p>
        </w:tc>
        <w:tc>
          <w:tcPr>
            <w:tcW w:type="dxa" w:w="1152"/>
          </w:tcPr>
          <w:p>
            <w:pPr>
              <w:keepNext/>
              <w:jc w:val="center"/>
            </w:pPr>
            <w:r/>
            <w:r>
              <w:rPr>
                <w:rFonts w:ascii="Times New Roman" w:hAnsi="Times New Roman"/>
                <w:b w:val="0"/>
                <w:sz w:val="16"/>
              </w:rPr>
              <w:t>439</w:t>
            </w:r>
          </w:p>
        </w:tc>
        <w:tc>
          <w:tcPr>
            <w:tcW w:type="dxa" w:w="1152"/>
          </w:tcPr>
          <w:p>
            <w:pPr>
              <w:keepNext/>
              <w:jc w:val="center"/>
            </w:pPr>
            <w:r/>
            <w:r>
              <w:rPr>
                <w:rFonts w:ascii="Times New Roman" w:hAnsi="Times New Roman"/>
                <w:b w:val="0"/>
                <w:sz w:val="16"/>
              </w:rPr>
              <w:t>15.2</w:t>
            </w:r>
          </w:p>
        </w:tc>
        <w:tc>
          <w:tcPr>
            <w:tcW w:type="dxa" w:w="1152"/>
          </w:tcPr>
          <w:p>
            <w:pPr>
              <w:keepNext/>
              <w:jc w:val="center"/>
            </w:pPr>
            <w:r/>
            <w:r>
              <w:rPr>
                <w:rFonts w:ascii="Times New Roman" w:hAnsi="Times New Roman"/>
                <w:b w:val="0"/>
                <w:sz w:val="16"/>
              </w:rPr>
              <w:t>31.3</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100,000</w:t>
            </w:r>
          </w:p>
        </w:tc>
        <w:tc>
          <w:tcPr>
            <w:tcW w:type="dxa" w:w="1152"/>
          </w:tcPr>
          <w:p>
            <w:pPr>
              <w:keepNext/>
              <w:jc w:val="center"/>
            </w:pPr>
            <w:r/>
            <w:r>
              <w:rPr>
                <w:rFonts w:ascii="Times New Roman" w:hAnsi="Times New Roman"/>
                <w:b w:val="0"/>
                <w:sz w:val="16"/>
              </w:rPr>
              <w:t>16.71</w:t>
            </w:r>
          </w:p>
        </w:tc>
        <w:tc>
          <w:tcPr>
            <w:tcW w:type="dxa" w:w="1152"/>
          </w:tcPr>
          <w:p>
            <w:pPr>
              <w:keepNext/>
              <w:jc w:val="center"/>
            </w:pPr>
            <w:r/>
            <w:r>
              <w:rPr>
                <w:rFonts w:ascii="Times New Roman" w:hAnsi="Times New Roman"/>
                <w:b w:val="0"/>
                <w:sz w:val="16"/>
              </w:rPr>
              <w:t>615</w:t>
            </w:r>
          </w:p>
        </w:tc>
        <w:tc>
          <w:tcPr>
            <w:tcW w:type="dxa" w:w="1152"/>
          </w:tcPr>
          <w:p>
            <w:pPr>
              <w:keepNext/>
              <w:jc w:val="center"/>
            </w:pPr>
            <w:r/>
            <w:r>
              <w:rPr>
                <w:rFonts w:ascii="Times New Roman" w:hAnsi="Times New Roman"/>
                <w:b w:val="0"/>
                <w:sz w:val="16"/>
              </w:rPr>
              <w:t>23.1</w:t>
            </w:r>
          </w:p>
        </w:tc>
        <w:tc>
          <w:tcPr>
            <w:tcW w:type="dxa" w:w="1152"/>
          </w:tcPr>
          <w:p>
            <w:pPr>
              <w:keepNext/>
              <w:jc w:val="center"/>
            </w:pPr>
            <w:r/>
            <w:r>
              <w:rPr>
                <w:rFonts w:ascii="Times New Roman" w:hAnsi="Times New Roman"/>
                <w:b w:val="0"/>
                <w:sz w:val="16"/>
              </w:rPr>
              <w:t>46.9</w:t>
            </w:r>
          </w:p>
        </w:tc>
        <w:tc>
          <w:tcPr>
            <w:tcW w:type="dxa" w:w="1152"/>
          </w:tcPr>
          <w:p>
            <w:pPr>
              <w:keepNext/>
              <w:jc w:val="center"/>
            </w:pPr>
            <w:r/>
            <w:r>
              <w:rPr>
                <w:rFonts w:ascii="Times New Roman" w:hAnsi="Times New Roman"/>
                <w:b w:val="0"/>
                <w:sz w:val="16"/>
              </w:rPr>
              <w:t>44/44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0/44</w:t>
            </w:r>
          </w:p>
        </w:tc>
      </w:tr>
      <w:tr>
        <w:trPr>
          <w:cantSplit/>
        </w:trPr>
        <w:tc>
          <w:tcPr>
            <w:tcW w:type="dxa" w:w="1152"/>
            <w:tcBorders>
              <w:bottom w:val="single" w:sz="12" w:color="000000"/>
            </w:tcBorders>
          </w:tcPr>
          <w:p>
            <w:pPr>
              <w:jc w:val="left"/>
            </w:pPr>
            <w:r/>
            <w:r>
              <w:rPr>
                <w:rFonts w:ascii="Times New Roman" w:hAnsi="Times New Roman"/>
                <w:b w:val="0"/>
                <w:sz w:val="16"/>
              </w:rPr>
              <w:t>174,300</w:t>
            </w:r>
          </w:p>
        </w:tc>
        <w:tc>
          <w:tcPr>
            <w:tcW w:type="dxa" w:w="1152"/>
            <w:tcBorders>
              <w:bottom w:val="single" w:sz="12" w:color="000000"/>
            </w:tcBorders>
          </w:tcPr>
          <w:p>
            <w:pPr>
              <w:jc w:val="center"/>
            </w:pPr>
            <w:r/>
            <w:r>
              <w:rPr>
                <w:rFonts w:ascii="Times New Roman" w:hAnsi="Times New Roman"/>
                <w:b w:val="0"/>
                <w:sz w:val="16"/>
              </w:rPr>
              <w:t>24.75</w:t>
            </w:r>
          </w:p>
        </w:tc>
        <w:tc>
          <w:tcPr>
            <w:tcW w:type="dxa" w:w="1152"/>
            <w:tcBorders>
              <w:bottom w:val="single" w:sz="12" w:color="000000"/>
            </w:tcBorders>
          </w:tcPr>
          <w:p>
            <w:pPr>
              <w:jc w:val="center"/>
            </w:pPr>
            <w:r/>
            <w:r>
              <w:rPr>
                <w:rFonts w:ascii="Times New Roman" w:hAnsi="Times New Roman"/>
                <w:b w:val="0"/>
                <w:sz w:val="16"/>
              </w:rPr>
              <w:t>1053</w:t>
            </w:r>
          </w:p>
        </w:tc>
        <w:tc>
          <w:tcPr>
            <w:tcW w:type="dxa" w:w="1152"/>
            <w:tcBorders>
              <w:bottom w:val="single" w:sz="12" w:color="000000"/>
            </w:tcBorders>
          </w:tcPr>
          <w:p>
            <w:pPr>
              <w:jc w:val="center"/>
            </w:pPr>
            <w:r/>
            <w:r>
              <w:rPr>
                <w:rFonts w:ascii="Times New Roman" w:hAnsi="Times New Roman"/>
                <w:b w:val="0"/>
                <w:sz w:val="16"/>
              </w:rPr>
              <w:t>41.9</w:t>
            </w:r>
          </w:p>
        </w:tc>
        <w:tc>
          <w:tcPr>
            <w:tcW w:type="dxa" w:w="1152"/>
            <w:tcBorders>
              <w:bottom w:val="single" w:sz="12" w:color="000000"/>
            </w:tcBorders>
          </w:tcPr>
          <w:p>
            <w:pPr>
              <w:jc w:val="center"/>
            </w:pPr>
            <w:r/>
            <w:r>
              <w:rPr>
                <w:rFonts w:ascii="Times New Roman" w:hAnsi="Times New Roman"/>
                <w:b w:val="0"/>
                <w:sz w:val="16"/>
              </w:rPr>
              <w:t>123.5</w:t>
            </w:r>
          </w:p>
        </w:tc>
        <w:tc>
          <w:tcPr>
            <w:tcW w:type="dxa" w:w="1152"/>
            <w:tcBorders>
              <w:bottom w:val="single" w:sz="12" w:color="000000"/>
            </w:tcBorders>
          </w:tcPr>
          <w:p>
            <w:pPr>
              <w:jc w:val="center"/>
            </w:pPr>
            <w:r/>
            <w:r>
              <w:rPr>
                <w:rFonts w:ascii="Times New Roman" w:hAnsi="Times New Roman"/>
                <w:b w:val="0"/>
                <w:sz w:val="16"/>
              </w:rPr>
              <w:t>47/47</w:t>
            </w:r>
          </w:p>
        </w:tc>
        <w:tc>
          <w:tcPr>
            <w:tcW w:type="dxa" w:w="1152"/>
            <w:tcBorders>
              <w:bottom w:val="single" w:sz="12" w:color="000000"/>
            </w:tcBorders>
          </w:tcPr>
          <w:p>
            <w:pPr>
              <w:jc w:val="center"/>
            </w:pPr>
            <w:r/>
            <w:r>
              <w:rPr>
                <w:rFonts w:ascii="Times New Roman" w:hAnsi="Times New Roman"/>
                <w:b w:val="0"/>
                <w:sz w:val="16"/>
              </w:rPr>
              <w:t>infeasible</w:t>
            </w:r>
          </w:p>
        </w:tc>
        <w:tc>
          <w:tcPr>
            <w:tcW w:type="dxa" w:w="1152"/>
            <w:tcBorders>
              <w:bottom w:val="single" w:sz="12" w:color="000000"/>
            </w:tcBorders>
          </w:tcPr>
          <w:p>
            <w:pPr>
              <w:jc w:val="center"/>
            </w:pPr>
            <w:r/>
            <w:r>
              <w:rPr>
                <w:rFonts w:ascii="Times New Roman" w:hAnsi="Times New Roman"/>
                <w:b w:val="0"/>
                <w:sz w:val="16"/>
              </w:rPr>
              <w:t>6.0</w:t>
            </w:r>
          </w:p>
        </w:tc>
        <w:tc>
          <w:tcPr>
            <w:tcW w:type="dxa" w:w="1152"/>
            <w:tcBorders>
              <w:bottom w:val="single" w:sz="12" w:color="000000"/>
            </w:tcBorders>
          </w:tcPr>
          <w:p>
            <w:pPr>
              <w:jc w:val="center"/>
            </w:pPr>
            <w:r/>
            <w:r>
              <w:rPr>
                <w:rFonts w:ascii="Times New Roman" w:hAnsi="Times New Roman"/>
                <w:b w:val="0"/>
                <w:sz w:val="16"/>
              </w:rPr>
              <w:t>0/47</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spacing w:before="0"/>
      </w:pPr>
      <w:r>
        <w:rPr>
          <w:rFonts w:ascii="Times New Roman" w:hAnsi="Times New Roman"/>
          <w:sz w:val="16"/>
        </w:rPr>
        <w:t>Rows are corpus-size subsamples drawn across different experiment generations, so the piece counts are not a uniform ladder and build times are not monotone in row order; scaling conclusions rely on within-generation interpolation rather than on adjacent-row differences.</w:t>
      </w:r>
    </w:p>
    <w:p>
      <w:pPr>
        <w:pStyle w:val="Heading2"/>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(e.g., transposition by 6 semitones against a ±2 guarantee). Fig. 5 verifies the bound: across all 337 cells the measured donor evidence never falls below the theoretical lower bound (0 violations; margins in Table IV), which is the empirical anchor of the recall contract.</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Recall (%) of the L1 tolerant screen on 337 planted-copy cells (five seeds per cell; k_pitch = 2, k_bin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b w:val="0"/>
                <w:sz w:val="16"/>
              </w:rPr>
              <w:t>Verbatim</w:t>
            </w:r>
          </w:p>
        </w:tc>
        <w:tc>
          <w:tcPr>
            <w:tcW w:type="dxa" w:w="1481"/>
          </w:tcPr>
          <w:p>
            <w:pPr>
              <w:keepNext/>
              <w:jc w:val="center"/>
            </w:pPr>
            <w:r/>
            <w:r>
              <w:rPr>
                <w:rFonts w:ascii="Times New Roman" w:hAnsi="Times New Roman"/>
                <w:b w:val="0"/>
                <w:sz w:val="16"/>
              </w:rPr>
              <w:t>identity</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Transpose</w:t>
            </w:r>
          </w:p>
        </w:tc>
        <w:tc>
          <w:tcPr>
            <w:tcW w:type="dxa" w:w="1481"/>
          </w:tcPr>
          <w:p>
            <w:pPr>
              <w:keepNext/>
              <w:jc w:val="center"/>
            </w:pPr>
            <w:r/>
            <w:r>
              <w:rPr>
                <w:rFonts w:ascii="Times New Roman" w:hAnsi="Times New Roman"/>
                <w:b w:val="0"/>
                <w:sz w:val="16"/>
              </w:rPr>
              <w:t>±1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±2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±4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±6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Tempo scaling</w:t>
            </w:r>
          </w:p>
        </w:tc>
        <w:tc>
          <w:tcPr>
            <w:tcW w:type="dxa" w:w="1481"/>
          </w:tcPr>
          <w:p>
            <w:pPr>
              <w:keepNext/>
              <w:jc w:val="center"/>
            </w:pPr>
            <w:r/>
            <w:r>
              <w:rPr>
                <w:rFonts w:ascii="Times New Roman" w:hAnsi="Times New Roman"/>
                <w:b w:val="0"/>
                <w:sz w:val="16"/>
              </w:rPr>
              <w:t>×1.05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Split–merge</w:t>
            </w:r>
          </w:p>
        </w:tc>
        <w:tc>
          <w:tcPr>
            <w:tcW w:type="dxa" w:w="1481"/>
          </w:tcPr>
          <w:p>
            <w:pPr>
              <w:keepNext/>
              <w:jc w:val="center"/>
            </w:pPr>
            <w:r/>
            <w:r>
              <w:rPr>
                <w:rFonts w:ascii="Times New Roman" w:hAnsi="Times New Roman"/>
                <w:b w:val="0"/>
                <w:sz w:val="16"/>
              </w:rPr>
              <w:t>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0.30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Re-instrumentation</w:t>
            </w:r>
          </w:p>
        </w:tc>
        <w:tc>
          <w:tcPr>
            <w:tcW w:type="dxa" w:w="1481"/>
          </w:tcPr>
          <w:p>
            <w:pPr>
              <w:keepNext/>
              <w:jc w:val="center"/>
            </w:pPr>
            <w:r/>
            <w:r>
              <w:rPr>
                <w:rFonts w:ascii="Times New Roman" w:hAnsi="Times New Roman"/>
                <w:b w:val="0"/>
                <w:sz w:val="16"/>
              </w:rPr>
              <w:t>p_drop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0.25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0.40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b w:val="0"/>
                <w:sz w:val="16"/>
              </w:rPr>
              <w:t>Transcription noise</w:t>
            </w:r>
          </w:p>
        </w:tc>
        <w:tc>
          <w:tcPr>
            <w:tcW w:type="dxa" w:w="1481"/>
          </w:tcPr>
          <w:p>
            <w:pPr>
              <w:keepNext/>
              <w:jc w:val="center"/>
            </w:pPr>
            <w:r/>
            <w:r>
              <w:rPr>
                <w:rFonts w:ascii="Times New Roman" w:hAnsi="Times New Roman"/>
                <w:b w:val="0"/>
                <w:sz w:val="16"/>
              </w:rPr>
              <w:t>q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q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r>
              <w:rPr>
                <w:rFonts w:ascii="Times New Roman" w:hAnsi="Times New Roman"/>
                <w:b w:val="0"/>
                <w:sz w:val="16"/>
              </w:rPr>
            </w:r>
          </w:p>
        </w:tc>
        <w:tc>
          <w:tcPr>
            <w:tcW w:type="dxa" w:w="1481"/>
            <w:tcBorders>
              <w:bottom w:val="single" w:sz="12" w:color="000000"/>
            </w:tcBorders>
          </w:tcPr>
          <w:p>
            <w:pPr>
              <w:jc w:val="center"/>
            </w:pPr>
            <w:r/>
            <w:r>
              <w:rPr>
                <w:rFonts w:ascii="Times New Roman" w:hAnsi="Times New Roman"/>
                <w:b w:val="0"/>
                <w:sz w:val="16"/>
              </w:rPr>
              <w:t>q = 60 ms, miss 15 %</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100.0</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9"/>
        </w:rPr>
        <w:t>Fig. 4. Recall heatmap of the 337-cell matrix; rows are transformation and strength, columns span length. The three sub-100 % cells pair extreme noise with the shortest spans.</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b w:val="0"/>
                <w:sz w:val="16"/>
              </w:rPr>
              <w:t>Verbatim</w:t>
            </w:r>
          </w:p>
        </w:tc>
        <w:tc>
          <w:tcPr>
            <w:tcW w:type="dxa" w:w="2074"/>
          </w:tcPr>
          <w:p>
            <w:pPr>
              <w:keepNext/>
              <w:jc w:val="center"/>
            </w:pPr>
            <w:r/>
            <w:r>
              <w:rPr>
                <w:rFonts w:ascii="Times New Roman" w:hAnsi="Times New Roman"/>
                <w:b w:val="0"/>
                <w:sz w:val="16"/>
              </w:rPr>
              <w:t>20</w:t>
            </w:r>
          </w:p>
        </w:tc>
        <w:tc>
          <w:tcPr>
            <w:tcW w:type="dxa" w:w="2074"/>
          </w:tcPr>
          <w:p>
            <w:pPr>
              <w:keepNext/>
              <w:jc w:val="center"/>
            </w:pPr>
            <w:r/>
            <w:r>
              <w:rPr>
                <w:rFonts w:ascii="Times New Roman" w:hAnsi="Times New Roman"/>
                <w:b w:val="0"/>
                <w:sz w:val="16"/>
              </w:rPr>
              <w:t>0.0</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Transpose</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6.7</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Tempo scaling</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0.5</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Split–merge</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1.9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Re-instrumentation</w:t>
            </w:r>
          </w:p>
        </w:tc>
        <w:tc>
          <w:tcPr>
            <w:tcW w:type="dxa" w:w="2074"/>
          </w:tcPr>
          <w:p>
            <w:pPr>
              <w:keepNext/>
              <w:jc w:val="center"/>
            </w:pPr>
            <w:r/>
            <w:r>
              <w:rPr>
                <w:rFonts w:ascii="Times New Roman" w:hAnsi="Times New Roman"/>
                <w:b w:val="0"/>
                <w:sz w:val="16"/>
              </w:rPr>
              <w:t>58</w:t>
            </w:r>
          </w:p>
        </w:tc>
        <w:tc>
          <w:tcPr>
            <w:tcW w:type="dxa" w:w="2074"/>
          </w:tcPr>
          <w:p>
            <w:pPr>
              <w:keepNext/>
              <w:jc w:val="center"/>
            </w:pPr>
            <w:r/>
            <w:r>
              <w:rPr>
                <w:rFonts w:ascii="Times New Roman" w:hAnsi="Times New Roman"/>
                <w:b w:val="0"/>
                <w:sz w:val="16"/>
              </w:rPr>
              <w:t>0.9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Borders>
              <w:bottom w:val="single" w:sz="12" w:color="000000"/>
            </w:tcBorders>
          </w:tcPr>
          <w:p>
            <w:pPr>
              <w:jc w:val="left"/>
            </w:pPr>
            <w:r/>
            <w:r>
              <w:rPr>
                <w:rFonts w:ascii="Times New Roman" w:hAnsi="Times New Roman"/>
                <w:b w:val="0"/>
                <w:sz w:val="16"/>
              </w:rPr>
              <w:t>Transcription noise</w:t>
            </w:r>
          </w:p>
        </w:tc>
        <w:tc>
          <w:tcPr>
            <w:tcW w:type="dxa" w:w="2074"/>
            <w:tcBorders>
              <w:bottom w:val="single" w:sz="12" w:color="000000"/>
            </w:tcBorders>
          </w:tcPr>
          <w:p>
            <w:pPr>
              <w:jc w:val="center"/>
            </w:pPr>
            <w:r/>
            <w:r>
              <w:rPr>
                <w:rFonts w:ascii="Times New Roman" w:hAnsi="Times New Roman"/>
                <w:b w:val="0"/>
                <w:sz w:val="16"/>
              </w:rPr>
              <w:t>59</w:t>
            </w:r>
          </w:p>
        </w:tc>
        <w:tc>
          <w:tcPr>
            <w:tcW w:type="dxa" w:w="2074"/>
            <w:tcBorders>
              <w:bottom w:val="single" w:sz="12" w:color="000000"/>
            </w:tcBorders>
          </w:tcPr>
          <w:p>
            <w:pPr>
              <w:jc w:val="center"/>
            </w:pPr>
            <w:r/>
            <w:r>
              <w:rPr>
                <w:rFonts w:ascii="Times New Roman" w:hAnsi="Times New Roman"/>
                <w:b w:val="0"/>
                <w:sz w:val="16"/>
              </w:rPr>
              <w:t>2.6</w:t>
            </w:r>
          </w:p>
        </w:tc>
        <w:tc>
          <w:tcPr>
            <w:tcW w:type="dxa" w:w="2074"/>
            <w:tcBorders>
              <w:bottom w:val="single" w:sz="12" w:color="000000"/>
            </w:tcBorders>
          </w:tcPr>
          <w:p>
            <w:pPr>
              <w:jc w:val="center"/>
            </w:pPr>
            <w:r/>
            <w:r>
              <w:rPr>
                <w:rFonts w:ascii="Times New Roman" w:hAnsi="Times New Roman"/>
                <w:b w:val="0"/>
                <w:sz w:val="16"/>
              </w:rPr>
              <w:t>0</w:t>
            </w:r>
          </w:p>
        </w:tc>
        <w:tc>
          <w:tcPr>
            <w:tcW w:type="dxa" w:w="2074"/>
            <w:tcBorders>
              <w:bottom w:val="single" w:sz="12" w:color="000000"/>
            </w:tcBorders>
          </w:tcPr>
          <w:p>
            <w:pPr>
              <w:jc w:val="center"/>
            </w:pPr>
            <w:r/>
            <w:r>
              <w:rPr>
                <w:rFonts w:ascii="Times New Roman" w:hAnsi="Times New Roman"/>
                <w:b w:val="0"/>
                <w:sz w:val="16"/>
              </w:rPr>
              <w:t>0</w:t>
            </w:r>
          </w:p>
        </w:tc>
      </w:tr>
    </w:tbl>
    <w:p>
      <w:pPr>
        <w:spacing w:after="40"/>
      </w:pP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9"/>
        </w:rPr>
        <w:t>Fig. 5. Measured donor evidence versus theoretical lower bound, 337 adversarial cells; zero violations.</w:t>
      </w:r>
    </w:p>
    <w:p>
      <w:pPr>
        <w:pStyle w:val="Heading2"/>
      </w:pPr>
      <w:r>
        <w:t>C. Anytime behavior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9"/>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b w:val="0"/>
                <w:sz w:val="16"/>
              </w:rPr>
              <w:t>2%</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10%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20%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35%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50</w:t>
            </w:r>
          </w:p>
        </w:tc>
      </w:tr>
      <w:tr>
        <w:trPr>
          <w:cantSplit/>
        </w:trPr>
        <w:tc>
          <w:tcPr>
            <w:tcW w:type="dxa" w:w="2074"/>
          </w:tcPr>
          <w:p>
            <w:pPr>
              <w:keepNext/>
              <w:jc w:val="left"/>
            </w:pPr>
            <w:r/>
            <w:r>
              <w:rPr>
                <w:rFonts w:ascii="Times New Roman" w:hAnsi="Times New Roman"/>
                <w:b w:val="0"/>
                <w:sz w:val="16"/>
              </w:rPr>
              <w:t>70%</w:t>
            </w:r>
          </w:p>
        </w:tc>
        <w:tc>
          <w:tcPr>
            <w:tcW w:type="dxa" w:w="2074"/>
          </w:tcPr>
          <w:p>
            <w:pPr>
              <w:keepNext/>
              <w:jc w:val="center"/>
            </w:pPr>
            <w:r/>
            <w:r>
              <w:rPr>
                <w:rFonts w:ascii="Times New Roman" w:hAnsi="Times New Roman"/>
                <w:b w:val="0"/>
                <w:sz w:val="16"/>
              </w:rPr>
              <w:t>793.9</w:t>
            </w:r>
          </w:p>
        </w:tc>
        <w:tc>
          <w:tcPr>
            <w:tcW w:type="dxa" w:w="2074"/>
          </w:tcPr>
          <w:p>
            <w:pPr>
              <w:keepNext/>
              <w:jc w:val="center"/>
            </w:pPr>
            <w:r/>
            <w:r>
              <w:rPr>
                <w:rFonts w:ascii="Times New Roman" w:hAnsi="Times New Roman"/>
                <w:b w:val="0"/>
                <w:sz w:val="16"/>
              </w:rPr>
              <w:t>839.3</w:t>
            </w:r>
          </w:p>
        </w:tc>
        <w:tc>
          <w:tcPr>
            <w:tcW w:type="dxa" w:w="2074"/>
          </w:tcPr>
          <w:p>
            <w:pPr>
              <w:keepNext/>
              <w:jc w:val="center"/>
            </w:pPr>
            <w:r/>
            <w:r>
              <w:rPr>
                <w:rFonts w:ascii="Times New Roman" w:hAnsi="Times New Roman"/>
                <w:b w:val="0"/>
                <w:sz w:val="16"/>
              </w:rPr>
              <w:t>866.2</w:t>
            </w:r>
          </w:p>
        </w:tc>
        <w:tc>
          <w:tcPr>
            <w:tcW w:type="dxa" w:w="2074"/>
          </w:tcPr>
          <w:p>
            <w:pPr>
              <w:keepNext/>
              <w:jc w:val="center"/>
            </w:pPr>
            <w:r/>
            <w:r>
              <w:rPr>
                <w:rFonts w:ascii="Times New Roman" w:hAnsi="Times New Roman"/>
                <w:b w:val="0"/>
                <w:sz w:val="16"/>
              </w:rPr>
              <w:t>93</w:t>
            </w:r>
          </w:p>
        </w:tc>
      </w:tr>
      <w:tr>
        <w:trPr>
          <w:cantSplit/>
        </w:trPr>
        <w:tc>
          <w:tcPr>
            <w:tcW w:type="dxa" w:w="2074"/>
            <w:tcBorders>
              <w:bottom w:val="single" w:sz="12" w:color="000000"/>
            </w:tcBorders>
          </w:tcPr>
          <w:p>
            <w:pPr>
              <w:jc w:val="left"/>
            </w:pPr>
            <w:r/>
            <w:r>
              <w:rPr>
                <w:rFonts w:ascii="Times New Roman" w:hAnsi="Times New Roman"/>
                <w:b w:val="0"/>
                <w:sz w:val="16"/>
              </w:rPr>
              <w:t>100%</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100</w:t>
            </w:r>
          </w:p>
        </w:tc>
      </w:tr>
    </w:tbl>
    <w:p>
      <w:pPr>
        <w:spacing w:after="40"/>
      </w:pPr>
    </w:p>
    <w:p>
      <w:pPr>
        <w:pStyle w:val="Heading2"/>
      </w:pPr>
      <w:r>
        <w:t>D. The key negative result: screening is not deciding</w:t>
      </w:r>
    </w:p>
    <w:p>
      <w:pPr>
        <w:spacing w:after="0"/>
        <w:ind w:firstLine="204"/>
        <w:jc w:val="both"/>
      </w:pPr>
      <w:r>
        <w:t xml:space="preserve">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w:t>
      </w:r>
    </w:p>
    <w:p>
      <w:pPr>
        <w:spacing w:after="0"/>
        <w:ind w:firstLine="204"/>
        <w:jc w:val="both"/>
      </w:pPr>
      <w:r>
        <w:t>Sample sizes are small (238 fragments; 95% half-width ≈ 1.8 pp near 2% incidence and ≈ 6.3 pp near 50%), so we treat single-percentage-point differences as ties and rely on margins larger than the half-width.</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9"/>
        </w:rPr>
        <w:t>Fig. 7. Donor score margin (donor minus best non-donor) on 238 hard-negative fragments; the annotated rate is the fragment-level flag rate of each layer.</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b w:val="0"/>
                <w:sz w:val="16"/>
              </w:rPr>
              <w:t>4</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31.6</w:t>
            </w:r>
          </w:p>
        </w:tc>
        <w:tc>
          <w:tcPr>
            <w:tcW w:type="dxa" w:w="2074"/>
          </w:tcPr>
          <w:p>
            <w:pPr>
              <w:keepNext/>
              <w:jc w:val="center"/>
            </w:pPr>
            <w:r/>
            <w:r>
              <w:rPr>
                <w:rFonts w:ascii="Times New Roman" w:hAnsi="Times New Roman"/>
                <w:b w:val="0"/>
                <w:sz w:val="16"/>
              </w:rPr>
              <w:t>94.9</w:t>
            </w:r>
          </w:p>
        </w:tc>
      </w:tr>
      <w:tr>
        <w:trPr>
          <w:cantSplit/>
        </w:trPr>
        <w:tc>
          <w:tcPr>
            <w:tcW w:type="dxa" w:w="2074"/>
          </w:tcPr>
          <w:p>
            <w:pPr>
              <w:keepNext/>
              <w:jc w:val="left"/>
            </w:pPr>
            <w:r/>
            <w:r>
              <w:rPr>
                <w:rFonts w:ascii="Times New Roman" w:hAnsi="Times New Roman"/>
                <w:b w:val="0"/>
                <w:sz w:val="16"/>
              </w:rPr>
              <w:t>8</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22.8</w:t>
            </w:r>
          </w:p>
        </w:tc>
        <w:tc>
          <w:tcPr>
            <w:tcW w:type="dxa" w:w="2074"/>
          </w:tcPr>
          <w:p>
            <w:pPr>
              <w:keepNext/>
              <w:jc w:val="center"/>
            </w:pPr>
            <w:r/>
            <w:r>
              <w:rPr>
                <w:rFonts w:ascii="Times New Roman" w:hAnsi="Times New Roman"/>
                <w:b w:val="0"/>
                <w:sz w:val="16"/>
              </w:rPr>
              <w:t>92.4</w:t>
            </w:r>
          </w:p>
        </w:tc>
      </w:tr>
      <w:tr>
        <w:trPr>
          <w:cantSplit/>
        </w:trPr>
        <w:tc>
          <w:tcPr>
            <w:tcW w:type="dxa" w:w="2074"/>
          </w:tcPr>
          <w:p>
            <w:pPr>
              <w:keepNext/>
              <w:jc w:val="left"/>
            </w:pPr>
            <w:r/>
            <w:r>
              <w:rPr>
                <w:rFonts w:ascii="Times New Roman" w:hAnsi="Times New Roman"/>
                <w:b w:val="0"/>
                <w:sz w:val="16"/>
              </w:rPr>
              <w:t>16</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92.5</w:t>
            </w:r>
          </w:p>
        </w:tc>
        <w:tc>
          <w:tcPr>
            <w:tcW w:type="dxa" w:w="2074"/>
          </w:tcPr>
          <w:p>
            <w:pPr>
              <w:keepNext/>
              <w:jc w:val="center"/>
            </w:pPr>
            <w:r/>
            <w:r>
              <w:rPr>
                <w:rFonts w:ascii="Times New Roman" w:hAnsi="Times New Roman"/>
                <w:b w:val="0"/>
                <w:sz w:val="16"/>
              </w:rPr>
              <w:t>12.5</w:t>
            </w:r>
          </w:p>
        </w:tc>
        <w:tc>
          <w:tcPr>
            <w:tcW w:type="dxa" w:w="2074"/>
          </w:tcPr>
          <w:p>
            <w:pPr>
              <w:keepNext/>
              <w:jc w:val="center"/>
            </w:pPr>
            <w:r/>
            <w:r>
              <w:rPr>
                <w:rFonts w:ascii="Times New Roman" w:hAnsi="Times New Roman"/>
                <w:b w:val="0"/>
                <w:sz w:val="16"/>
              </w:rPr>
              <w:t>93.8</w:t>
            </w:r>
          </w:p>
        </w:tc>
      </w:tr>
      <w:tr>
        <w:trPr>
          <w:cantSplit/>
        </w:trPr>
        <w:tc>
          <w:tcPr>
            <w:tcW w:type="dxa" w:w="2074"/>
            <w:tcBorders>
              <w:bottom w:val="single" w:sz="12" w:color="000000"/>
            </w:tcBorders>
          </w:tcPr>
          <w:p>
            <w:pPr>
              <w:jc w:val="left"/>
            </w:pPr>
            <w:r/>
            <w:r>
              <w:rPr>
                <w:rFonts w:ascii="Times New Roman" w:hAnsi="Times New Roman"/>
                <w:b w:val="0"/>
                <w:sz w:val="16"/>
              </w:rPr>
              <w:t>All</w:t>
            </w:r>
          </w:p>
        </w:tc>
        <w:tc>
          <w:tcPr>
            <w:tcW w:type="dxa" w:w="2074"/>
            <w:tcBorders>
              <w:bottom w:val="single" w:sz="12" w:color="000000"/>
            </w:tcBorders>
          </w:tcPr>
          <w:p>
            <w:pPr>
              <w:jc w:val="center"/>
            </w:pPr>
            <w:r/>
            <w:r>
              <w:rPr>
                <w:rFonts w:ascii="Times New Roman" w:hAnsi="Times New Roman"/>
                <w:b w:val="0"/>
                <w:sz w:val="16"/>
              </w:rPr>
              <w:t>238</w:t>
            </w:r>
          </w:p>
        </w:tc>
        <w:tc>
          <w:tcPr>
            <w:tcW w:type="dxa" w:w="2074"/>
            <w:tcBorders>
              <w:bottom w:val="single" w:sz="12" w:color="000000"/>
            </w:tcBorders>
          </w:tcPr>
          <w:p>
            <w:pPr>
              <w:jc w:val="center"/>
            </w:pPr>
            <w:r/>
            <w:r>
              <w:rPr>
                <w:rFonts w:ascii="Times New Roman" w:hAnsi="Times New Roman"/>
                <w:b w:val="0"/>
                <w:sz w:val="16"/>
              </w:rPr>
              <w:t>93.3</w:t>
            </w:r>
          </w:p>
        </w:tc>
        <w:tc>
          <w:tcPr>
            <w:tcW w:type="dxa" w:w="2074"/>
            <w:tcBorders>
              <w:bottom w:val="single" w:sz="12" w:color="000000"/>
            </w:tcBorders>
          </w:tcPr>
          <w:p>
            <w:pPr>
              <w:jc w:val="center"/>
            </w:pPr>
            <w:r/>
            <w:r>
              <w:rPr>
                <w:rFonts w:ascii="Times New Roman" w:hAnsi="Times New Roman"/>
                <w:b w:val="0"/>
                <w:sz w:val="16"/>
              </w:rPr>
              <w:t>22.3</w:t>
            </w:r>
          </w:p>
        </w:tc>
        <w:tc>
          <w:tcPr>
            <w:tcW w:type="dxa" w:w="2074"/>
            <w:tcBorders>
              <w:bottom w:val="single" w:sz="12" w:color="000000"/>
            </w:tcBorders>
          </w:tcPr>
          <w:p>
            <w:pPr>
              <w:jc w:val="center"/>
            </w:pPr>
            <w:r/>
            <w:r>
              <w:rPr>
                <w:rFonts w:ascii="Times New Roman" w:hAnsi="Times New Roman"/>
                <w:b w:val="0"/>
                <w:sz w:val="16"/>
              </w:rPr>
              <w:t>93.7</w:t>
            </w:r>
          </w:p>
        </w:tc>
      </w:tr>
    </w:tbl>
    <w:p>
      <w:pPr>
        <w:spacing w:after="40"/>
      </w:pPr>
    </w:p>
    <w:p>
      <w:pPr>
        <w:pStyle w:val="Heading2"/>
      </w:pPr>
      <w:r>
        <w:t>E. Confirmation precision and the cascade</w:t>
      </w:r>
    </w:p>
    <w:p>
      <w:pPr>
        <w:spacing w:after="0"/>
        <w:ind w:firstLine="204"/>
        <w:jc w:val="both"/>
      </w:pPr>
      <w:r>
        <w:t>Strict-tolerance chain confirmation reaches a 2.1% fragment-level false-positive rate at 83.9% recall (ρ=0.5), and 7.2% at 98.3% recall (ρ=0.4); Table VII and Fig. 8 map the full recall/FP trade-off over three anchor-tolerance regimes and four contiguity thresholds. Table VIII and Fig. 9 place the full cascade against its single-layer ablations. The cascade's remaining bottleneck is candidate retention: verbatim top-C keeps 93.1% (C=20) and 96.6% (C=50) of donors; the union of tolerant and verbatim top-C feeds—adopted in the final system—lifts retention above 99%.</w:t>
      </w:r>
    </w:p>
    <w:p>
      <w:pPr>
        <w:spacing w:after="0"/>
        <w:ind w:firstLine="204"/>
        <w:jc w:val="both"/>
      </w:pPr>
      <w:r>
        <w:t>Both metrics share one denominator: the 236 fragment queries of the confirmation suite, each a true transcription copy of one of the 80 donors. The recall numerator counts fragments whose donor is confirmed; the FP numerator counts fragments in which at least one non-donor piece is confirmed at the same threshold, so recall and FP are measured on exactly the same queries. The two contiguity anchors answer two different workflows: ρ = 0.5 (2.1% FP, 83.9% recall) is the decision-grade operating point, at which a confirmed flag can be acted on directly; ρ = 0.4 (7.2% FP, 98.3% recall) is the high-recall triage point for pre-filtering large corpora before human review. “Decision-grade” is used here in an operational sense: the threshold is fixed before measurement, applied uniformly across corpora, and the quoted error rate is the measured fragment-level FP on style-similar hard negatives rather than a per-corpus tuned value.</w:t>
      </w:r>
    </w:p>
    <w:p>
      <w:pPr>
        <w:pStyle w:val="TableTitle"/>
        <w:keepNext/>
      </w:pPr>
      <w:r>
        <w:t>TABLE VII.</w:t>
      </w:r>
    </w:p>
    <w:p>
      <w:pPr>
        <w:pStyle w:val="TableTitle"/>
        <w:keepNext/>
      </w:pPr>
      <w:r>
        <w:t>Confirmation recall / fragment-level FP (%) by anchor-tolerance regime and contiguity threshold ρ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sz w:val="16"/>
              </w:rPr>
              <w:t>ρ = 0.3</w:t>
            </w:r>
          </w:p>
        </w:tc>
        <w:tc>
          <w:tcPr>
            <w:tcW w:type="dxa" w:w="2074"/>
            <w:tcBorders>
              <w:top w:val="single" w:sz="12" w:color="000000"/>
              <w:bottom w:val="single" w:sz="6" w:color="000000"/>
            </w:tcBorders>
          </w:tcPr>
          <w:p>
            <w:pPr>
              <w:keepNext/>
              <w:jc w:val="center"/>
            </w:pPr>
            <w:r/>
            <w:r>
              <w:rPr>
                <w:rFonts w:ascii="Times New Roman" w:hAnsi="Times New Roman"/>
                <w:b/>
                <w:sz w:val="16"/>
              </w:rPr>
              <w:t>ρ = 0.4</w:t>
            </w:r>
          </w:p>
        </w:tc>
        <w:tc>
          <w:tcPr>
            <w:tcW w:type="dxa" w:w="2074"/>
            <w:tcBorders>
              <w:top w:val="single" w:sz="12" w:color="000000"/>
              <w:bottom w:val="single" w:sz="6" w:color="000000"/>
            </w:tcBorders>
          </w:tcPr>
          <w:p>
            <w:pPr>
              <w:keepNext/>
              <w:jc w:val="center"/>
            </w:pPr>
            <w:r/>
            <w:r>
              <w:rPr>
                <w:rFonts w:ascii="Times New Roman" w:hAnsi="Times New Roman"/>
                <w:b/>
                <w:sz w:val="16"/>
              </w:rPr>
              <w:t>ρ = 0.5</w:t>
            </w:r>
          </w:p>
        </w:tc>
        <w:tc>
          <w:tcPr>
            <w:tcW w:type="dxa" w:w="2074"/>
            <w:tcBorders>
              <w:top w:val="single" w:sz="12" w:color="000000"/>
              <w:bottom w:val="single" w:sz="6" w:color="000000"/>
            </w:tcBorders>
          </w:tcPr>
          <w:p>
            <w:pPr>
              <w:keepNext/>
              <w:jc w:val="center"/>
            </w:pPr>
            <w:r/>
            <w:r>
              <w:rPr>
                <w:rFonts w:ascii="Times New Roman" w:hAnsi="Times New Roman"/>
                <w:b/>
                <w:sz w:val="16"/>
              </w:rPr>
              <w:t>ρ = 0.6</w:t>
            </w:r>
          </w:p>
        </w:tc>
      </w:tr>
      <w:tr>
        <w:trPr>
          <w:cantSplit/>
        </w:trPr>
        <w:tc>
          <w:tcPr>
            <w:tcW w:type="dxa" w:w="2074"/>
          </w:tcPr>
          <w:p>
            <w:pPr>
              <w:keepNext/>
              <w:jc w:val="left"/>
            </w:pPr>
            <w:r/>
            <w:r>
              <w:rPr>
                <w:rFonts w:ascii="Times New Roman" w:hAnsi="Times New Roman"/>
                <w:b w:val="0"/>
                <w:sz w:val="16"/>
              </w:rPr>
              <w:t>Strict anchors</w:t>
            </w:r>
          </w:p>
        </w:tc>
        <w:tc>
          <w:tcPr>
            <w:tcW w:type="dxa" w:w="2074"/>
          </w:tcPr>
          <w:p>
            <w:pPr>
              <w:keepNext/>
              <w:jc w:val="center"/>
            </w:pPr>
            <w:r/>
            <w:r>
              <w:rPr>
                <w:rFonts w:ascii="Times New Roman" w:hAnsi="Times New Roman"/>
                <w:b w:val="0"/>
                <w:sz w:val="16"/>
              </w:rPr>
              <w:t>100.0 / 13.6</w:t>
            </w:r>
          </w:p>
        </w:tc>
        <w:tc>
          <w:tcPr>
            <w:tcW w:type="dxa" w:w="2074"/>
          </w:tcPr>
          <w:p>
            <w:pPr>
              <w:keepNext/>
              <w:jc w:val="center"/>
            </w:pPr>
            <w:r/>
            <w:r>
              <w:rPr>
                <w:rFonts w:ascii="Times New Roman" w:hAnsi="Times New Roman"/>
                <w:b w:val="0"/>
                <w:sz w:val="16"/>
              </w:rPr>
              <w:t>98.3 / 7.2</w:t>
            </w:r>
          </w:p>
        </w:tc>
        <w:tc>
          <w:tcPr>
            <w:tcW w:type="dxa" w:w="2074"/>
          </w:tcPr>
          <w:p>
            <w:pPr>
              <w:keepNext/>
              <w:jc w:val="center"/>
            </w:pPr>
            <w:r/>
            <w:r>
              <w:rPr>
                <w:rFonts w:ascii="Times New Roman" w:hAnsi="Times New Roman"/>
                <w:b w:val="0"/>
                <w:sz w:val="16"/>
              </w:rPr>
              <w:t>83.9 / 2.1</w:t>
            </w:r>
          </w:p>
        </w:tc>
        <w:tc>
          <w:tcPr>
            <w:tcW w:type="dxa" w:w="2074"/>
          </w:tcPr>
          <w:p>
            <w:pPr>
              <w:keepNext/>
              <w:jc w:val="center"/>
            </w:pPr>
            <w:r/>
            <w:r>
              <w:rPr>
                <w:rFonts w:ascii="Times New Roman" w:hAnsi="Times New Roman"/>
                <w:b w:val="0"/>
                <w:sz w:val="16"/>
              </w:rPr>
              <w:t>43.2 / 0.4</w:t>
            </w:r>
          </w:p>
        </w:tc>
      </w:tr>
      <w:tr>
        <w:trPr>
          <w:cantSplit/>
        </w:trPr>
        <w:tc>
          <w:tcPr>
            <w:tcW w:type="dxa" w:w="2074"/>
          </w:tcPr>
          <w:p>
            <w:pPr>
              <w:keepNext/>
              <w:jc w:val="left"/>
            </w:pPr>
            <w:r/>
            <w:r>
              <w:rPr>
                <w:rFonts w:ascii="Times New Roman" w:hAnsi="Times New Roman"/>
                <w:b w:val="0"/>
                <w:sz w:val="16"/>
              </w:rPr>
              <w:t>Mid tolerance</w:t>
            </w:r>
          </w:p>
        </w:tc>
        <w:tc>
          <w:tcPr>
            <w:tcW w:type="dxa" w:w="2074"/>
          </w:tcPr>
          <w:p>
            <w:pPr>
              <w:keepNext/>
              <w:jc w:val="center"/>
            </w:pPr>
            <w:r/>
            <w:r>
              <w:rPr>
                <w:rFonts w:ascii="Times New Roman" w:hAnsi="Times New Roman"/>
                <w:b w:val="0"/>
                <w:sz w:val="16"/>
              </w:rPr>
              <w:t>100.0 / 88.6</w:t>
            </w:r>
          </w:p>
        </w:tc>
        <w:tc>
          <w:tcPr>
            <w:tcW w:type="dxa" w:w="2074"/>
          </w:tcPr>
          <w:p>
            <w:pPr>
              <w:keepNext/>
              <w:jc w:val="center"/>
            </w:pPr>
            <w:r/>
            <w:r>
              <w:rPr>
                <w:rFonts w:ascii="Times New Roman" w:hAnsi="Times New Roman"/>
                <w:b w:val="0"/>
                <w:sz w:val="16"/>
              </w:rPr>
              <w:t>100.0 / 66.5</w:t>
            </w:r>
          </w:p>
        </w:tc>
        <w:tc>
          <w:tcPr>
            <w:tcW w:type="dxa" w:w="2074"/>
          </w:tcPr>
          <w:p>
            <w:pPr>
              <w:keepNext/>
              <w:jc w:val="center"/>
            </w:pPr>
            <w:r/>
            <w:r>
              <w:rPr>
                <w:rFonts w:ascii="Times New Roman" w:hAnsi="Times New Roman"/>
                <w:b w:val="0"/>
                <w:sz w:val="16"/>
              </w:rPr>
              <w:t>99.6 / 50.4</w:t>
            </w:r>
          </w:p>
        </w:tc>
        <w:tc>
          <w:tcPr>
            <w:tcW w:type="dxa" w:w="2074"/>
          </w:tcPr>
          <w:p>
            <w:pPr>
              <w:keepNext/>
              <w:jc w:val="center"/>
            </w:pPr>
            <w:r/>
            <w:r>
              <w:rPr>
                <w:rFonts w:ascii="Times New Roman" w:hAnsi="Times New Roman"/>
                <w:b w:val="0"/>
                <w:sz w:val="16"/>
              </w:rPr>
              <w:t>97.5 / 36.0</w:t>
            </w:r>
          </w:p>
        </w:tc>
      </w:tr>
      <w:tr>
        <w:trPr>
          <w:cantSplit/>
        </w:trPr>
        <w:tc>
          <w:tcPr>
            <w:tcW w:type="dxa" w:w="2074"/>
            <w:tcBorders>
              <w:bottom w:val="single" w:sz="12" w:color="000000"/>
            </w:tcBorders>
          </w:tcPr>
          <w:p>
            <w:pPr>
              <w:jc w:val="left"/>
            </w:pPr>
            <w:r/>
            <w:r>
              <w:rPr>
                <w:rFonts w:ascii="Times New Roman" w:hAnsi="Times New Roman"/>
                <w:b w:val="0"/>
                <w:sz w:val="16"/>
              </w:rPr>
              <w:t>Loose tolerance</w:t>
            </w:r>
          </w:p>
        </w:tc>
        <w:tc>
          <w:tcPr>
            <w:tcW w:type="dxa" w:w="2074"/>
            <w:tcBorders>
              <w:bottom w:val="single" w:sz="12" w:color="000000"/>
            </w:tcBorders>
          </w:tcPr>
          <w:p>
            <w:pPr>
              <w:jc w:val="center"/>
            </w:pPr>
            <w:r/>
            <w:r>
              <w:rPr>
                <w:rFonts w:ascii="Times New Roman" w:hAnsi="Times New Roman"/>
                <w:b w:val="0"/>
                <w:sz w:val="16"/>
              </w:rPr>
              <w:t>100.0 / 97.5</w:t>
            </w:r>
          </w:p>
        </w:tc>
        <w:tc>
          <w:tcPr>
            <w:tcW w:type="dxa" w:w="2074"/>
            <w:tcBorders>
              <w:bottom w:val="single" w:sz="12" w:color="000000"/>
            </w:tcBorders>
          </w:tcPr>
          <w:p>
            <w:pPr>
              <w:jc w:val="center"/>
            </w:pPr>
            <w:r/>
            <w:r>
              <w:rPr>
                <w:rFonts w:ascii="Times New Roman" w:hAnsi="Times New Roman"/>
                <w:b w:val="0"/>
                <w:sz w:val="16"/>
              </w:rPr>
              <w:t>100.0 / 80.5</w:t>
            </w:r>
          </w:p>
        </w:tc>
        <w:tc>
          <w:tcPr>
            <w:tcW w:type="dxa" w:w="2074"/>
            <w:tcBorders>
              <w:bottom w:val="single" w:sz="12" w:color="000000"/>
            </w:tcBorders>
          </w:tcPr>
          <w:p>
            <w:pPr>
              <w:jc w:val="center"/>
            </w:pPr>
            <w:r/>
            <w:r>
              <w:rPr>
                <w:rFonts w:ascii="Times New Roman" w:hAnsi="Times New Roman"/>
                <w:b w:val="0"/>
                <w:sz w:val="16"/>
              </w:rPr>
              <w:t>100.0 / 63.1</w:t>
            </w:r>
          </w:p>
        </w:tc>
        <w:tc>
          <w:tcPr>
            <w:tcW w:type="dxa" w:w="2074"/>
            <w:tcBorders>
              <w:bottom w:val="single" w:sz="12" w:color="000000"/>
            </w:tcBorders>
          </w:tcPr>
          <w:p>
            <w:pPr>
              <w:jc w:val="center"/>
            </w:pPr>
            <w:r/>
            <w:r>
              <w:rPr>
                <w:rFonts w:ascii="Times New Roman" w:hAnsi="Times New Roman"/>
                <w:b w:val="0"/>
                <w:sz w:val="16"/>
              </w:rPr>
              <w:t>98.3 / 49.2</w:t>
            </w:r>
          </w:p>
        </w:tc>
      </w:tr>
    </w:tbl>
    <w:p>
      <w:pPr>
        <w:spacing w:after="40"/>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9"/>
        </w:rPr>
        <w:t>Fig. 8. Confirmation operating curves: donor recall versus fragment-level FP over ρ, labeled by threshold, for three anchor-tolerance regimes.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608000" cy="1726350"/>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4608000" cy="1726350"/>
                  </a:xfrm>
                  <a:prstGeom prst="rect">
                    <a:avLst/>
                  </a:prstGeom>
                </pic:spPr>
              </pic:pic>
            </a:graphicData>
          </a:graphic>
        </wp:inline>
      </w:drawing>
    </w:p>
    <w:p>
      <w:pPr>
        <w:pStyle w:val="FigureCaption"/>
      </w:pPr>
      <w:r>
        <w:rPr>
          <w:sz w:val="19"/>
        </w:rPr>
        <w:t>Fig. 9. Operating points and donor retention on hard negatives. (a) Operating points of the three systems; (b) donor retention in the top-C candidate feed.</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b w:val="0"/>
                <w:sz w:val="16"/>
              </w:rPr>
              <w:t>L1 tolerant screen</w:t>
            </w:r>
          </w:p>
        </w:tc>
        <w:tc>
          <w:tcPr>
            <w:tcW w:type="dxa" w:w="2592"/>
          </w:tcPr>
          <w:p>
            <w:pPr>
              <w:keepNext/>
              <w:jc w:val="center"/>
            </w:pPr>
            <w:r/>
            <w:r>
              <w:rPr>
                <w:rFonts w:ascii="Times New Roman" w:hAnsi="Times New Roman"/>
                <w:b w:val="0"/>
                <w:sz w:val="16"/>
              </w:rPr>
              <w:t>100%</w:t>
            </w:r>
          </w:p>
        </w:tc>
        <w:tc>
          <w:tcPr>
            <w:tcW w:type="dxa" w:w="2592"/>
          </w:tcPr>
          <w:p>
            <w:pPr>
              <w:keepNext/>
              <w:jc w:val="center"/>
            </w:pPr>
            <w:r/>
            <w:r>
              <w:rPr>
                <w:rFonts w:ascii="Times New Roman" w:hAnsi="Times New Roman"/>
                <w:b w:val="0"/>
                <w:sz w:val="16"/>
              </w:rPr>
              <w:t>92.7% (τ = ⌊0.5·|S(q)|⌋); no threshold reaches &lt;50%</w:t>
            </w:r>
          </w:p>
        </w:tc>
        <w:tc>
          <w:tcPr>
            <w:tcW w:type="dxa" w:w="2592"/>
          </w:tcPr>
          <w:p>
            <w:pPr>
              <w:keepNext/>
              <w:jc w:val="center"/>
            </w:pPr>
            <w:r/>
            <w:r>
              <w:rPr>
                <w:rFonts w:ascii="Times New Roman" w:hAnsi="Times New Roman"/>
                <w:b w:val="0"/>
                <w:sz w:val="16"/>
              </w:rPr>
              <w:t>provable recall + anytime bound</w:t>
            </w:r>
          </w:p>
        </w:tc>
      </w:tr>
      <w:tr>
        <w:trPr>
          <w:cantSplit/>
        </w:trPr>
        <w:tc>
          <w:tcPr>
            <w:tcW w:type="dxa" w:w="2592"/>
          </w:tcPr>
          <w:p>
            <w:pPr>
              <w:keepNext/>
              <w:jc w:val="left"/>
            </w:pPr>
            <w:r/>
            <w:r>
              <w:rPr>
                <w:rFonts w:ascii="Times New Roman" w:hAnsi="Times New Roman"/>
                <w:b w:val="0"/>
                <w:sz w:val="16"/>
              </w:rPr>
              <w:t>L2 verbatim rank (top-1)</w:t>
            </w:r>
          </w:p>
        </w:tc>
        <w:tc>
          <w:tcPr>
            <w:tcW w:type="dxa" w:w="2592"/>
          </w:tcPr>
          <w:p>
            <w:pPr>
              <w:keepNext/>
              <w:jc w:val="center"/>
            </w:pPr>
            <w:r/>
            <w:r>
              <w:rPr>
                <w:rFonts w:ascii="Times New Roman" w:hAnsi="Times New Roman"/>
                <w:b w:val="0"/>
                <w:sz w:val="16"/>
              </w:rPr>
              <w:t>58.8% top-1 / 93.7% top-20</w:t>
            </w:r>
          </w:p>
        </w:tc>
        <w:tc>
          <w:tcPr>
            <w:tcW w:type="dxa" w:w="2592"/>
          </w:tcPr>
          <w:p>
            <w:pPr>
              <w:keepNext/>
              <w:jc w:val="center"/>
            </w:pPr>
            <w:r/>
            <w:r>
              <w:rPr>
                <w:rFonts w:ascii="Times New Roman" w:hAnsi="Times New Roman"/>
                <w:b w:val="0"/>
                <w:sz w:val="16"/>
              </w:rPr>
              <w:t>22.3%</w:t>
            </w:r>
          </w:p>
        </w:tc>
        <w:tc>
          <w:tcPr>
            <w:tcW w:type="dxa" w:w="2592"/>
          </w:tcPr>
          <w:p>
            <w:pPr>
              <w:keepNext/>
              <w:jc w:val="center"/>
            </w:pPr>
            <w:r/>
            <w:r>
              <w:rPr>
                <w:rFonts w:ascii="Times New Roman" w:hAnsi="Times New Roman"/>
                <w:b w:val="0"/>
                <w:sz w:val="16"/>
              </w:rPr>
              <w:t>no guarantee; per-corpus tuning</w:t>
            </w:r>
          </w:p>
        </w:tc>
      </w:tr>
      <w:tr>
        <w:trPr>
          <w:cantSplit/>
        </w:trPr>
        <w:tc>
          <w:tcPr>
            <w:tcW w:type="dxa" w:w="2592"/>
          </w:tcPr>
          <w:p>
            <w:pPr>
              <w:keepNext/>
              <w:jc w:val="left"/>
            </w:pPr>
            <w:r/>
            <w:r>
              <w:rPr>
                <w:rFonts w:ascii="Times New Roman" w:hAnsi="Times New Roman"/>
                <w:b w:val="0"/>
                <w:sz w:val="16"/>
              </w:rPr>
              <w:t>Screen + confirm (ρ=0.5)</w:t>
            </w:r>
          </w:p>
        </w:tc>
        <w:tc>
          <w:tcPr>
            <w:tcW w:type="dxa" w:w="2592"/>
          </w:tcPr>
          <w:p>
            <w:pPr>
              <w:keepNext/>
              <w:jc w:val="center"/>
            </w:pPr>
            <w:r/>
            <w:r>
              <w:rPr>
                <w:rFonts w:ascii="Times New Roman" w:hAnsi="Times New Roman"/>
                <w:b w:val="0"/>
                <w:sz w:val="16"/>
              </w:rPr>
              <w:t>80.7%</w:t>
            </w:r>
          </w:p>
        </w:tc>
        <w:tc>
          <w:tcPr>
            <w:tcW w:type="dxa" w:w="2592"/>
          </w:tcPr>
          <w:p>
            <w:pPr>
              <w:keepNext/>
              <w:jc w:val="center"/>
            </w:pPr>
            <w:r/>
            <w:r>
              <w:rPr>
                <w:rFonts w:ascii="Times New Roman" w:hAnsi="Times New Roman"/>
                <w:b w:val="0"/>
                <w:sz w:val="16"/>
              </w:rPr>
              <w:t>2.6%</w:t>
            </w:r>
          </w:p>
        </w:tc>
        <w:tc>
          <w:tcPr>
            <w:tcW w:type="dxa" w:w="2592"/>
          </w:tcPr>
          <w:p>
            <w:pPr>
              <w:keepNext/>
              <w:jc w:val="center"/>
            </w:pPr>
            <w:r/>
            <w:r>
              <w:rPr>
                <w:rFonts w:ascii="Times New Roman" w:hAnsi="Times New Roman"/>
                <w:b w:val="0"/>
                <w:sz w:val="16"/>
              </w:rPr>
              <w:t>decision-grade</w:t>
            </w:r>
          </w:p>
        </w:tc>
      </w:tr>
      <w:tr>
        <w:trPr>
          <w:cantSplit/>
        </w:trPr>
        <w:tc>
          <w:tcPr>
            <w:tcW w:type="dxa" w:w="2592"/>
            <w:tcBorders>
              <w:bottom w:val="single" w:sz="12" w:color="000000"/>
            </w:tcBorders>
          </w:tcPr>
          <w:p>
            <w:pPr>
              <w:jc w:val="left"/>
            </w:pPr>
            <w:r/>
            <w:r>
              <w:rPr>
                <w:rFonts w:ascii="Times New Roman" w:hAnsi="Times New Roman"/>
                <w:b w:val="0"/>
                <w:sz w:val="16"/>
              </w:rPr>
              <w:t>Screen + confirm (ρ=0.4)</w:t>
            </w:r>
          </w:p>
        </w:tc>
        <w:tc>
          <w:tcPr>
            <w:tcW w:type="dxa" w:w="2592"/>
            <w:tcBorders>
              <w:bottom w:val="single" w:sz="12" w:color="000000"/>
            </w:tcBorders>
          </w:tcPr>
          <w:p>
            <w:pPr>
              <w:jc w:val="center"/>
            </w:pPr>
            <w:r/>
            <w:r>
              <w:rPr>
                <w:rFonts w:ascii="Times New Roman" w:hAnsi="Times New Roman"/>
                <w:b w:val="0"/>
                <w:sz w:val="16"/>
              </w:rPr>
              <w:t>95.7%</w:t>
            </w:r>
          </w:p>
        </w:tc>
        <w:tc>
          <w:tcPr>
            <w:tcW w:type="dxa" w:w="2592"/>
            <w:tcBorders>
              <w:bottom w:val="single" w:sz="12" w:color="000000"/>
            </w:tcBorders>
          </w:tcPr>
          <w:p>
            <w:pPr>
              <w:jc w:val="center"/>
            </w:pPr>
            <w:r/>
            <w:r>
              <w:rPr>
                <w:rFonts w:ascii="Times New Roman" w:hAnsi="Times New Roman"/>
                <w:b w:val="0"/>
                <w:sz w:val="16"/>
              </w:rPr>
              <w:t>8.2%</w:t>
            </w:r>
          </w:p>
        </w:tc>
        <w:tc>
          <w:tcPr>
            <w:tcW w:type="dxa" w:w="2592"/>
            <w:tcBorders>
              <w:bottom w:val="single" w:sz="12" w:color="000000"/>
            </w:tcBorders>
          </w:tcPr>
          <w:p>
            <w:pPr>
              <w:jc w:val="center"/>
            </w:pPr>
            <w:r/>
            <w:r>
              <w:rPr>
                <w:rFonts w:ascii="Times New Roman" w:hAnsi="Times New Roman"/>
                <w:b w:val="0"/>
                <w:sz w:val="16"/>
              </w:rPr>
              <w:t>high-recall operating point</w:t>
            </w:r>
          </w:p>
        </w:tc>
      </w:tr>
    </w:tbl>
    <w:p>
      <w:pPr>
        <w:spacing w:after="40"/>
      </w:pPr>
    </w:p>
    <w:p>
      <w:pPr>
        <w:pStyle w:val="Heading2"/>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The audit grid comprises 29 planted cells (30 random draws, one dropped because its planted span contained fewer than 8 notes), spanning the 4 s/16 s span lengths and four transformation families; the grid is fixed across all ablation settings, so every configuration is compared on identical evidence. Fig. 10 plots the three ablation families and Table IX tabulates them.</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774972"/>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6552000" cy="1774972"/>
                  </a:xfrm>
                  <a:prstGeom prst="rect">
                    <a:avLst/>
                  </a:prstGeom>
                </pic:spPr>
              </pic:pic>
            </a:graphicData>
          </a:graphic>
        </wp:inline>
      </w:drawing>
    </w:p>
    <w:p>
      <w:pPr>
        <w:pStyle w:val="FigureCaption"/>
      </w:pPr>
      <w:r>
        <w:rPr>
          <w:sz w:val="19"/>
        </w:rPr>
        <w:t>Fig. 10. Component ablations over the confirmation and screening stages. (a) evidence span length; (b) tolerance vector (bars: false candidates, log scale; dashed: recall, right axis); (c) quantization grid granularity.</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0.75×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21,467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1.00×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1.25×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15,952</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1.50×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12,061</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(0, 0, 0)</w:t>
            </w:r>
          </w:p>
        </w:tc>
        <w:tc>
          <w:tcPr>
            <w:tcW w:type="dxa" w:w="2074"/>
          </w:tcPr>
          <w:p>
            <w:pPr>
              <w:keepNext/>
              <w:jc w:val="center"/>
            </w:pPr>
            <w:r/>
            <w:r>
              <w:rPr>
                <w:rFonts w:ascii="Times New Roman" w:hAnsi="Times New Roman"/>
                <w:b w:val="0"/>
                <w:sz w:val="16"/>
              </w:rPr>
              <w:t>23/29</w:t>
            </w:r>
          </w:p>
        </w:tc>
        <w:tc>
          <w:tcPr>
            <w:tcW w:type="dxa" w:w="2074"/>
          </w:tcPr>
          <w:p>
            <w:pPr>
              <w:keepNext/>
              <w:jc w:val="center"/>
            </w:pPr>
            <w:r/>
            <w:r>
              <w:rPr>
                <w:rFonts w:ascii="Times New Roman" w:hAnsi="Times New Roman"/>
                <w:b w:val="0"/>
                <w:sz w:val="16"/>
              </w:rPr>
              <w:t>338</w:t>
            </w:r>
          </w:p>
        </w:tc>
        <w:tc>
          <w:tcPr>
            <w:tcW w:type="dxa" w:w="2074"/>
          </w:tcPr>
          <w:p>
            <w:pPr>
              <w:keepNext/>
              <w:jc w:val="center"/>
            </w:pPr>
            <w:r/>
            <w:r>
              <w:rPr>
                <w:rFonts w:ascii="Times New Roman" w:hAnsi="Times New Roman"/>
                <w:b w:val="0"/>
                <w:sz w:val="16"/>
              </w:rPr>
              <w:t>1.0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(1, 0, 0)</w:t>
            </w:r>
          </w:p>
        </w:tc>
        <w:tc>
          <w:tcPr>
            <w:tcW w:type="dxa" w:w="2074"/>
          </w:tcPr>
          <w:p>
            <w:pPr>
              <w:keepNext/>
              <w:jc w:val="center"/>
            </w:pPr>
            <w:r/>
            <w:r>
              <w:rPr>
                <w:rFonts w:ascii="Times New Roman" w:hAnsi="Times New Roman"/>
                <w:b w:val="0"/>
                <w:sz w:val="16"/>
              </w:rPr>
              <w:t>25/29</w:t>
            </w:r>
          </w:p>
        </w:tc>
        <w:tc>
          <w:tcPr>
            <w:tcW w:type="dxa" w:w="2074"/>
          </w:tcPr>
          <w:p>
            <w:pPr>
              <w:keepNext/>
              <w:jc w:val="center"/>
            </w:pPr>
            <w:r/>
            <w:r>
              <w:rPr>
                <w:rFonts w:ascii="Times New Roman" w:hAnsi="Times New Roman"/>
                <w:b w:val="0"/>
                <w:sz w:val="16"/>
              </w:rPr>
              <w:t>2,099</w:t>
            </w:r>
          </w:p>
        </w:tc>
        <w:tc>
          <w:tcPr>
            <w:tcW w:type="dxa" w:w="2074"/>
          </w:tcPr>
          <w:p>
            <w:pPr>
              <w:keepNext/>
              <w:jc w:val="center"/>
            </w:pPr>
            <w:r/>
            <w:r>
              <w:rPr>
                <w:rFonts w:ascii="Times New Roman" w:hAnsi="Times New Roman"/>
                <w:b w:val="0"/>
                <w:sz w:val="16"/>
              </w:rPr>
              <w:t>2.0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0, 0)</w:t>
            </w:r>
          </w:p>
        </w:tc>
        <w:tc>
          <w:tcPr>
            <w:tcW w:type="dxa" w:w="2074"/>
          </w:tcPr>
          <w:p>
            <w:pPr>
              <w:keepNext/>
              <w:jc w:val="center"/>
            </w:pPr>
            <w:r/>
            <w:r>
              <w:rPr>
                <w:rFonts w:ascii="Times New Roman" w:hAnsi="Times New Roman"/>
                <w:b w:val="0"/>
                <w:sz w:val="16"/>
              </w:rPr>
              <w:t>26/29</w:t>
            </w:r>
          </w:p>
        </w:tc>
        <w:tc>
          <w:tcPr>
            <w:tcW w:type="dxa" w:w="2074"/>
          </w:tcPr>
          <w:p>
            <w:pPr>
              <w:keepNext/>
              <w:jc w:val="center"/>
            </w:pPr>
            <w:r/>
            <w:r>
              <w:rPr>
                <w:rFonts w:ascii="Times New Roman" w:hAnsi="Times New Roman"/>
                <w:b w:val="0"/>
                <w:sz w:val="16"/>
              </w:rPr>
              <w:t>3,906</w:t>
            </w:r>
          </w:p>
        </w:tc>
        <w:tc>
          <w:tcPr>
            <w:tcW w:type="dxa" w:w="2074"/>
          </w:tcPr>
          <w:p>
            <w:pPr>
              <w:keepNext/>
              <w:jc w:val="center"/>
            </w:pPr>
            <w:r/>
            <w:r>
              <w:rPr>
                <w:rFonts w:ascii="Times New Roman" w:hAnsi="Times New Roman"/>
                <w:b w:val="0"/>
                <w:sz w:val="16"/>
              </w:rPr>
              <w:t>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12,110</w:t>
            </w:r>
          </w:p>
        </w:tc>
        <w:tc>
          <w:tcPr>
            <w:tcW w:type="dxa" w:w="2074"/>
          </w:tcPr>
          <w:p>
            <w:pPr>
              <w:keepNext/>
              <w:jc w:val="center"/>
            </w:pPr>
            <w:r/>
            <w:r>
              <w:rPr>
                <w:rFonts w:ascii="Times New Roman" w:hAnsi="Times New Roman"/>
                <w:b w:val="0"/>
                <w:sz w:val="16"/>
              </w:rPr>
              <w:t>7.5</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(3,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19,815</w:t>
            </w:r>
          </w:p>
        </w:tc>
        <w:tc>
          <w:tcPr>
            <w:tcW w:type="dxa" w:w="2074"/>
          </w:tcPr>
          <w:p>
            <w:pPr>
              <w:keepNext/>
              <w:jc w:val="center"/>
            </w:pPr>
            <w:r/>
            <w:r>
              <w:rPr>
                <w:rFonts w:ascii="Times New Roman" w:hAnsi="Times New Roman"/>
                <w:b w:val="0"/>
                <w:sz w:val="16"/>
              </w:rPr>
              <w:t>16.0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250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21,043</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125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25.6</w:t>
            </w:r>
          </w:p>
        </w:tc>
      </w:tr>
      <w:tr>
        <w:trPr>
          <w:cantSplit/>
        </w:trPr>
        <w:tc>
          <w:tcPr>
            <w:tcW w:type="dxa" w:w="2074"/>
            <w:tcBorders>
              <w:bottom w:val="single" w:sz="12" w:color="000000"/>
            </w:tcBorders>
          </w:tcPr>
          <w:p>
            <w:pPr>
              <w:jc w:val="left"/>
            </w:pPr>
            <w:r/>
            <w:r>
              <w:rPr>
                <w:rFonts w:ascii="Times New Roman" w:hAnsi="Times New Roman"/>
                <w:b w:val="0"/>
                <w:sz w:val="16"/>
              </w:rPr>
              <w:t>E5.7_grid</w:t>
            </w:r>
          </w:p>
        </w:tc>
        <w:tc>
          <w:tcPr>
            <w:tcW w:type="dxa" w:w="2074"/>
            <w:tcBorders>
              <w:bottom w:val="single" w:sz="12" w:color="000000"/>
            </w:tcBorders>
          </w:tcPr>
          <w:p>
            <w:pPr>
              <w:jc w:val="center"/>
            </w:pPr>
            <w:r/>
            <w:r>
              <w:rPr>
                <w:rFonts w:ascii="Times New Roman" w:hAnsi="Times New Roman"/>
                <w:b w:val="0"/>
                <w:sz w:val="16"/>
              </w:rPr>
              <w:t>62 ms grid</w:t>
            </w:r>
          </w:p>
        </w:tc>
        <w:tc>
          <w:tcPr>
            <w:tcW w:type="dxa" w:w="2074"/>
            <w:tcBorders>
              <w:bottom w:val="single" w:sz="12" w:color="000000"/>
            </w:tcBorders>
          </w:tcPr>
          <w:p>
            <w:pPr>
              <w:jc w:val="center"/>
            </w:pPr>
            <w:r/>
            <w:r>
              <w:rPr>
                <w:rFonts w:ascii="Times New Roman" w:hAnsi="Times New Roman"/>
                <w:b w:val="0"/>
                <w:sz w:val="16"/>
              </w:rPr>
              <w:t>29/29</w:t>
            </w:r>
          </w:p>
        </w:tc>
        <w:tc>
          <w:tcPr>
            <w:tcW w:type="dxa" w:w="2074"/>
            <w:tcBorders>
              <w:bottom w:val="single" w:sz="12" w:color="000000"/>
            </w:tcBorders>
          </w:tcPr>
          <w:p>
            <w:pPr>
              <w:jc w:val="center"/>
            </w:pPr>
            <w:r/>
            <w:r>
              <w:rPr>
                <w:rFonts w:ascii="Times New Roman" w:hAnsi="Times New Roman"/>
                <w:b w:val="0"/>
                <w:sz w:val="16"/>
              </w:rPr>
              <w:t>15,918</w:t>
            </w:r>
          </w:p>
        </w:tc>
        <w:tc>
          <w:tcPr>
            <w:tcW w:type="dxa" w:w="2074"/>
            <w:tcBorders>
              <w:bottom w:val="single" w:sz="12" w:color="000000"/>
            </w:tcBorders>
          </w:tcPr>
          <w:p>
            <w:pPr>
              <w:jc w:val="center"/>
            </w:pPr>
            <w:r/>
            <w:r>
              <w:rPr>
                <w:rFonts w:ascii="Times New Roman" w:hAnsi="Times New Roman"/>
                <w:b w:val="0"/>
                <w:sz w:val="16"/>
              </w:rPr>
              <w:t>12.0</w:t>
            </w:r>
          </w:p>
        </w:tc>
      </w:tr>
    </w:tbl>
    <w:p>
      <w:pPr>
        <w:spacing w:after="40"/>
      </w:pPr>
    </w:p>
    <w:p>
      <w:pPr>
        <w:pStyle w:val="Heading2"/>
      </w:pPr>
      <w:r>
        <w:t>G. Set-similarity retrieval: the MinHash-LSH baseline</w:t>
      </w:r>
    </w:p>
    <w:p>
      <w:pPr>
        <w:spacing w:after="0"/>
        <w:ind w:firstLine="204"/>
        <w:jc w:val="both"/>
      </w:pPr>
      <w:r>
        <w:t xml:space="preserve">Why does the LSH index return nothing? The reason is geometric, not engineering. A planted query of the recall matrix embeds a 40-item span in 300 noise items and probes a corpus of pieces of ~700 items each, so even a perfect set-Jaccard oracle scores the donor at only 0.045 / 0.099 / 0.200 (quartiles over the 337 cells; Fig. 11(a)); just 168 of 337 donors reach Jaccard 0.10. Jaccard measures relative overlap, so a contained copy is structurally invisible to it no matter how faithfully the 40 shared items are preserved. </w:t>
      </w:r>
    </w:p>
    <w:p>
      <w:pPr>
        <w:spacing w:after="0"/>
        <w:ind w:firstLine="204"/>
        <w:jc w:val="both"/>
      </w:pPr>
      <w:r>
        <w:t>Tuning the band configuration moves the operating point along a recall-versus-candidate-volume trade-off, not past it (Table X): with the standard 16 x 8 bands at tau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tau = 0.05 recovers the donor in 95.8% of cells, at the price of returning a median of 518 of 1,000 candidates per query, of which a median of 9 pass tau = 0.05 by chance. Either way the screen that certifies 99.1% recall on the same 337 cells is unreachable: set-similarity semantics, accelerated or not, do not express containment.</w:t>
      </w:r>
    </w:p>
    <w:p>
      <w:pPr>
        <w:spacing w:after="0"/>
        <w:ind w:firstLine="204"/>
        <w:jc w:val="both"/>
      </w:pPr>
      <w:r>
        <w:t>Could containment-aware LSH close this gap? Containment estimators [35], [36] replace resemblance with the ratio |A ∩ B| / min(|A|, |B|), which in principle sees a contained copy; two obstacles remain. First, they still operate on unordered sets: containment is blind to note order exactly where our task is sequential, so a contained piece and a permuted collage of the same items are indistinguishable to it. Second, the estimator's variance explodes for small containing sets: a planted span of ~40 items yields MinHash sketches whose containment estimate is too noisy to threshold at the operating point our chain criterion certifies. A full containment-LSH baseline is therefore left as a baseline extension; the point of Table X is that no re-tuning of Jaccard-band geometry reaches the screen's recall, and containment estimators trade that impasse for variance rather than resolving it.</w:t>
      </w:r>
    </w:p>
    <w:p>
      <w:pPr>
        <w:pStyle w:val="TableTitle"/>
        <w:keepNext/>
      </w:pPr>
      <w:r>
        <w:t>TABLE X.</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sz w:val="16"/>
              </w:rPr>
              <w:t>tau</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Median passing tau</w:t>
            </w:r>
          </w:p>
        </w:tc>
      </w:tr>
      <w:tr>
        <w:trPr>
          <w:cantSplit/>
        </w:trPr>
        <w:tc>
          <w:tcPr>
            <w:tcW w:type="dxa" w:w="1728"/>
          </w:tcPr>
          <w:p>
            <w:pPr>
              <w:keepNext/>
              <w:jc w:val="left"/>
            </w:pPr>
            <w:r/>
            <w:r>
              <w:rPr>
                <w:rFonts w:ascii="Times New Roman" w:hAnsi="Times New Roman"/>
                <w:b w:val="0"/>
                <w:sz w:val="16"/>
              </w:rPr>
              <w:t>16 bands x 8 rows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w:t>
            </w:r>
          </w:p>
        </w:tc>
        <w:tc>
          <w:tcPr>
            <w:tcW w:type="dxa" w:w="1728"/>
          </w:tcPr>
          <w:p>
            <w:pPr>
              <w:keepNext/>
              <w:jc w:val="center"/>
            </w:pPr>
            <w:r/>
            <w:r>
              <w:rPr>
                <w:rFonts w:ascii="Times New Roman" w:hAnsi="Times New Roman"/>
                <w:b w:val="0"/>
                <w:sz w:val="16"/>
              </w:rPr>
              <w:t>0</w:t>
            </w:r>
          </w:p>
        </w:tc>
      </w:tr>
      <w:tr>
        <w:trPr>
          <w:cantSplit/>
        </w:trPr>
        <w:tc>
          <w:tcPr>
            <w:tcW w:type="dxa" w:w="1728"/>
          </w:tcPr>
          <w:p>
            <w:pPr>
              <w:keepNext/>
              <w:jc w:val="left"/>
            </w:pPr>
            <w:r/>
            <w:r>
              <w:rPr>
                <w:rFonts w:ascii="Times New Roman" w:hAnsi="Times New Roman"/>
                <w:b w:val="0"/>
                <w:sz w:val="16"/>
              </w:rPr>
              <w:t>2 rows x 64 bands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51.9</w:t>
            </w:r>
          </w:p>
        </w:tc>
        <w:tc>
          <w:tcPr>
            <w:tcW w:type="dxa" w:w="1728"/>
          </w:tcPr>
          <w:p>
            <w:pPr>
              <w:keepNext/>
              <w:jc w:val="center"/>
            </w:pPr>
            <w:r/>
            <w:r>
              <w:rPr>
                <w:rFonts w:ascii="Times New Roman" w:hAnsi="Times New Roman"/>
                <w:b w:val="0"/>
                <w:sz w:val="16"/>
              </w:rPr>
              <w:t>43.6</w:t>
            </w:r>
          </w:p>
        </w:tc>
        <w:tc>
          <w:tcPr>
            <w:tcW w:type="dxa" w:w="1728"/>
          </w:tcPr>
          <w:p>
            <w:pPr>
              <w:keepNext/>
              <w:jc w:val="center"/>
            </w:pPr>
            <w:r/>
            <w:r>
              <w:rPr>
                <w:rFonts w:ascii="Times New Roman" w:hAnsi="Times New Roman"/>
                <w:b w:val="0"/>
                <w:sz w:val="16"/>
              </w:rPr>
              <w:t>11</w:t>
            </w:r>
          </w:p>
        </w:tc>
        <w:tc>
          <w:tcPr>
            <w:tcW w:type="dxa" w:w="1728"/>
          </w:tcPr>
          <w:p>
            <w:pPr>
              <w:keepNext/>
              <w:jc w:val="center"/>
            </w:pPr>
            <w:r/>
            <w:r>
              <w:rPr>
                <w:rFonts w:ascii="Times New Roman" w:hAnsi="Times New Roman"/>
                <w:b w:val="0"/>
                <w:sz w:val="16"/>
              </w:rPr>
              <w:t>0</w:t>
            </w:r>
          </w:p>
        </w:tc>
      </w:tr>
      <w:tr>
        <w:trPr>
          <w:cantSplit/>
        </w:trPr>
        <w:tc>
          <w:tcPr>
            <w:tcW w:type="dxa" w:w="1728"/>
            <w:tcBorders>
              <w:bottom w:val="single" w:sz="12" w:color="000000"/>
            </w:tcBorders>
          </w:tcPr>
          <w:p>
            <w:pPr>
              <w:jc w:val="left"/>
            </w:pPr>
            <w:r/>
            <w:r>
              <w:rPr>
                <w:rFonts w:ascii="Times New Roman" w:hAnsi="Times New Roman"/>
                <w:b w:val="0"/>
                <w:sz w:val="16"/>
              </w:rPr>
              <w:t>1 row x 128 bands</w:t>
            </w:r>
          </w:p>
        </w:tc>
        <w:tc>
          <w:tcPr>
            <w:tcW w:type="dxa" w:w="1728"/>
            <w:tcBorders>
              <w:bottom w:val="single" w:sz="12" w:color="000000"/>
            </w:tcBorders>
          </w:tcPr>
          <w:p>
            <w:pPr>
              <w:jc w:val="center"/>
            </w:pPr>
            <w:r/>
            <w:r>
              <w:rPr>
                <w:rFonts w:ascii="Times New Roman" w:hAnsi="Times New Roman"/>
                <w:b w:val="0"/>
                <w:sz w:val="16"/>
              </w:rPr>
              <w:t>0.05</w:t>
            </w:r>
          </w:p>
        </w:tc>
        <w:tc>
          <w:tcPr>
            <w:tcW w:type="dxa" w:w="1728"/>
            <w:tcBorders>
              <w:bottom w:val="single" w:sz="12" w:color="000000"/>
            </w:tcBorders>
          </w:tcPr>
          <w:p>
            <w:pPr>
              <w:jc w:val="center"/>
            </w:pPr>
            <w:r/>
            <w:r>
              <w:rPr>
                <w:rFonts w:ascii="Times New Roman" w:hAnsi="Times New Roman"/>
                <w:b w:val="0"/>
                <w:sz w:val="16"/>
              </w:rPr>
              <w:t>95.8</w:t>
            </w:r>
          </w:p>
        </w:tc>
        <w:tc>
          <w:tcPr>
            <w:tcW w:type="dxa" w:w="1728"/>
            <w:tcBorders>
              <w:bottom w:val="single" w:sz="12" w:color="000000"/>
            </w:tcBorders>
          </w:tcPr>
          <w:p>
            <w:pPr>
              <w:jc w:val="center"/>
            </w:pPr>
            <w:r/>
            <w:r>
              <w:rPr>
                <w:rFonts w:ascii="Times New Roman" w:hAnsi="Times New Roman"/>
                <w:b w:val="0"/>
                <w:sz w:val="16"/>
              </w:rPr>
              <w:t>72.1</w:t>
            </w:r>
          </w:p>
        </w:tc>
        <w:tc>
          <w:tcPr>
            <w:tcW w:type="dxa" w:w="1728"/>
            <w:tcBorders>
              <w:bottom w:val="single" w:sz="12" w:color="000000"/>
            </w:tcBorders>
          </w:tcPr>
          <w:p>
            <w:pPr>
              <w:jc w:val="center"/>
            </w:pPr>
            <w:r/>
            <w:r>
              <w:rPr>
                <w:rFonts w:ascii="Times New Roman" w:hAnsi="Times New Roman"/>
                <w:b w:val="0"/>
                <w:sz w:val="16"/>
              </w:rPr>
              <w:t>518</w:t>
            </w:r>
          </w:p>
        </w:tc>
        <w:tc>
          <w:tcPr>
            <w:tcW w:type="dxa" w:w="1728"/>
            <w:tcBorders>
              <w:bottom w:val="single" w:sz="12" w:color="000000"/>
            </w:tcBorders>
          </w:tcPr>
          <w:p>
            <w:pPr>
              <w:jc w:val="center"/>
            </w:pPr>
            <w:r/>
            <w:r>
              <w:rPr>
                <w:rFonts w:ascii="Times New Roman" w:hAnsi="Times New Roman"/>
                <w:b w:val="0"/>
                <w:sz w:val="16"/>
              </w:rPr>
              <w:t>9</w:t>
            </w:r>
          </w:p>
        </w:tc>
      </w:tr>
    </w:tbl>
    <w:p>
      <w:pPr>
        <w:spacing w:after="40"/>
      </w:pP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9"/>
        </w:rPr>
        <w:t>Fig. 11. The containment-versus-Jaccard geometry behind Table X. (a) donor Jaccard distribution over the 337 planted cells (quartiles 0.045/0.099/0.201) with the two operating thresholds marked; (b) recall of the three LSH configurations versus the tolerant screen on the same cells.</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pPr>
      <w:r>
        <w:t>A. Controlled memorization screening</w:t>
      </w:r>
    </w:p>
    <w:p>
      <w:pPr>
        <w:spacing w:after="0"/>
        <w:ind w:firstLine="204"/>
        <w:jc w:val="both"/>
      </w:pPr>
      <w:r>
        <w:t xml:space="preserve">We emulate generative-model memorization with an order-m pitch n-gram model mixed with a per-note copy operator at probability λ, sweeping m∈{2,4,8} and λ∈{0, 0.25, ..., 1}; 750 generated pieces are screened with the production cascade. Detection (Fig. 12, Table XI) rises monotonically: 26-34% at λ=0—these residual hits are style-level shared structures, attributed to the source piece in only 2-4% of cases—through 44-56% at λ=0.5, to 100% at λ=1 with 96-100% correct source attribution. </w:t>
      </w:r>
    </w:p>
    <w:p>
      <w:pPr>
        <w:spacing w:after="0"/>
        <w:ind w:firstLine="204"/>
        <w:jc w:val="both"/>
      </w:pPr>
      <w:r>
        <w:t>Fragmented partial memorization (λ=0.25,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9"/>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order-m pitch n-gram mixed with per-note copy at probability λ).</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m</w:t>
            </w:r>
          </w:p>
        </w:tc>
        <w:tc>
          <w:tcPr>
            <w:tcW w:type="dxa" w:w="1728"/>
            <w:tcBorders>
              <w:top w:val="single" w:sz="12" w:color="000000"/>
              <w:bottom w:val="single" w:sz="6" w:color="000000"/>
            </w:tcBorders>
          </w:tcPr>
          <w:p>
            <w:pPr>
              <w:keepNext/>
              <w:jc w:val="center"/>
            </w:pPr>
            <w:r/>
            <w:r>
              <w:rPr>
                <w:rFonts w:ascii="Times New Roman" w:hAnsi="Times New Roman"/>
                <w:b/>
                <w:sz w:val="16"/>
              </w:rPr>
              <w:t>λ = 0</w:t>
            </w:r>
          </w:p>
        </w:tc>
        <w:tc>
          <w:tcPr>
            <w:tcW w:type="dxa" w:w="1728"/>
            <w:tcBorders>
              <w:top w:val="single" w:sz="12" w:color="000000"/>
              <w:bottom w:val="single" w:sz="6" w:color="000000"/>
            </w:tcBorders>
          </w:tcPr>
          <w:p>
            <w:pPr>
              <w:keepNext/>
              <w:jc w:val="center"/>
            </w:pPr>
            <w:r/>
            <w:r>
              <w:rPr>
                <w:rFonts w:ascii="Times New Roman" w:hAnsi="Times New Roman"/>
                <w:b/>
                <w:sz w:val="16"/>
              </w:rPr>
              <w:t>λ = 0.25</w:t>
            </w:r>
          </w:p>
        </w:tc>
        <w:tc>
          <w:tcPr>
            <w:tcW w:type="dxa" w:w="1728"/>
            <w:tcBorders>
              <w:top w:val="single" w:sz="12" w:color="000000"/>
              <w:bottom w:val="single" w:sz="6" w:color="000000"/>
            </w:tcBorders>
          </w:tcPr>
          <w:p>
            <w:pPr>
              <w:keepNext/>
              <w:jc w:val="center"/>
            </w:pPr>
            <w:r/>
            <w:r>
              <w:rPr>
                <w:rFonts w:ascii="Times New Roman" w:hAnsi="Times New Roman"/>
                <w:b/>
                <w:sz w:val="16"/>
              </w:rPr>
              <w:t>λ = 0.5</w:t>
            </w:r>
          </w:p>
        </w:tc>
        <w:tc>
          <w:tcPr>
            <w:tcW w:type="dxa" w:w="1728"/>
            <w:tcBorders>
              <w:top w:val="single" w:sz="12" w:color="000000"/>
              <w:bottom w:val="single" w:sz="6" w:color="000000"/>
            </w:tcBorders>
          </w:tcPr>
          <w:p>
            <w:pPr>
              <w:keepNext/>
              <w:jc w:val="center"/>
            </w:pPr>
            <w:r/>
            <w:r>
              <w:rPr>
                <w:rFonts w:ascii="Times New Roman" w:hAnsi="Times New Roman"/>
                <w:b/>
                <w:sz w:val="16"/>
              </w:rPr>
              <w:t>λ = 0.75</w:t>
            </w:r>
          </w:p>
        </w:tc>
        <w:tc>
          <w:tcPr>
            <w:tcW w:type="dxa" w:w="1728"/>
            <w:tcBorders>
              <w:top w:val="single" w:sz="12" w:color="000000"/>
              <w:bottom w:val="single" w:sz="6" w:color="000000"/>
            </w:tcBorders>
          </w:tcPr>
          <w:p>
            <w:pPr>
              <w:keepNext/>
              <w:jc w:val="center"/>
            </w:pPr>
            <w:r/>
            <w:r>
              <w:rPr>
                <w:rFonts w:ascii="Times New Roman" w:hAnsi="Times New Roman"/>
                <w:b/>
                <w:sz w:val="16"/>
              </w:rPr>
              <w:t>λ = 1</w:t>
            </w:r>
          </w:p>
        </w:tc>
      </w:tr>
      <w:tr>
        <w:trPr>
          <w:cantSplit/>
        </w:trPr>
        <w:tc>
          <w:tcPr>
            <w:tcW w:type="dxa" w:w="1728"/>
          </w:tcPr>
          <w:p>
            <w:pPr>
              <w:keepNext/>
              <w:jc w:val="left"/>
            </w:pPr>
            <w:r/>
            <w:r>
              <w:rPr>
                <w:rFonts w:ascii="Times New Roman" w:hAnsi="Times New Roman"/>
                <w:b w:val="0"/>
                <w:sz w:val="16"/>
              </w:rPr>
              <w:t>2</w:t>
            </w:r>
          </w:p>
        </w:tc>
        <w:tc>
          <w:tcPr>
            <w:tcW w:type="dxa" w:w="1728"/>
          </w:tcPr>
          <w:p>
            <w:pPr>
              <w:keepNext/>
              <w:jc w:val="center"/>
            </w:pPr>
            <w:r/>
            <w:r>
              <w:rPr>
                <w:rFonts w:ascii="Times New Roman" w:hAnsi="Times New Roman"/>
                <w:b w:val="0"/>
                <w:sz w:val="16"/>
              </w:rPr>
              <w:t>26 / 4</w:t>
            </w:r>
          </w:p>
        </w:tc>
        <w:tc>
          <w:tcPr>
            <w:tcW w:type="dxa" w:w="1728"/>
          </w:tcPr>
          <w:p>
            <w:pPr>
              <w:keepNext/>
              <w:jc w:val="center"/>
            </w:pPr>
            <w:r/>
            <w:r>
              <w:rPr>
                <w:rFonts w:ascii="Times New Roman" w:hAnsi="Times New Roman"/>
                <w:b w:val="0"/>
                <w:sz w:val="16"/>
              </w:rPr>
              <w:t>30 / 0</w:t>
            </w:r>
          </w:p>
        </w:tc>
        <w:tc>
          <w:tcPr>
            <w:tcW w:type="dxa" w:w="1728"/>
          </w:tcPr>
          <w:p>
            <w:pPr>
              <w:keepNext/>
              <w:jc w:val="center"/>
            </w:pPr>
            <w:r/>
            <w:r>
              <w:rPr>
                <w:rFonts w:ascii="Times New Roman" w:hAnsi="Times New Roman"/>
                <w:b w:val="0"/>
                <w:sz w:val="16"/>
              </w:rPr>
              <w:t>44 / 18</w:t>
            </w:r>
          </w:p>
        </w:tc>
        <w:tc>
          <w:tcPr>
            <w:tcW w:type="dxa" w:w="1728"/>
          </w:tcPr>
          <w:p>
            <w:pPr>
              <w:keepNext/>
              <w:jc w:val="center"/>
            </w:pPr>
            <w:r/>
            <w:r>
              <w:rPr>
                <w:rFonts w:ascii="Times New Roman" w:hAnsi="Times New Roman"/>
                <w:b w:val="0"/>
                <w:sz w:val="16"/>
              </w:rPr>
              <w:t>96 / 90</w:t>
            </w:r>
          </w:p>
        </w:tc>
        <w:tc>
          <w:tcPr>
            <w:tcW w:type="dxa" w:w="1728"/>
          </w:tcPr>
          <w:p>
            <w:pPr>
              <w:keepNext/>
              <w:jc w:val="center"/>
            </w:pPr>
            <w:r/>
            <w:r>
              <w:rPr>
                <w:rFonts w:ascii="Times New Roman" w:hAnsi="Times New Roman"/>
                <w:b w:val="0"/>
                <w:sz w:val="16"/>
              </w:rPr>
              <w:t>100 / 100</w:t>
            </w:r>
          </w:p>
        </w:tc>
      </w:tr>
      <w:tr>
        <w:trPr>
          <w:cantSplit/>
        </w:trPr>
        <w:tc>
          <w:tcPr>
            <w:tcW w:type="dxa" w:w="1728"/>
          </w:tcPr>
          <w:p>
            <w:pPr>
              <w:keepNext/>
              <w:jc w:val="left"/>
            </w:pPr>
            <w:r/>
            <w:r>
              <w:rPr>
                <w:rFonts w:ascii="Times New Roman" w:hAnsi="Times New Roman"/>
                <w:b w:val="0"/>
                <w:sz w:val="16"/>
              </w:rPr>
              <w:t>4</w:t>
            </w:r>
          </w:p>
        </w:tc>
        <w:tc>
          <w:tcPr>
            <w:tcW w:type="dxa" w:w="1728"/>
          </w:tcPr>
          <w:p>
            <w:pPr>
              <w:keepNext/>
              <w:jc w:val="center"/>
            </w:pPr>
            <w:r/>
            <w:r>
              <w:rPr>
                <w:rFonts w:ascii="Times New Roman" w:hAnsi="Times New Roman"/>
                <w:b w:val="0"/>
                <w:sz w:val="16"/>
              </w:rPr>
              <w:t>34 / 2</w:t>
            </w:r>
          </w:p>
        </w:tc>
        <w:tc>
          <w:tcPr>
            <w:tcW w:type="dxa" w:w="1728"/>
          </w:tcPr>
          <w:p>
            <w:pPr>
              <w:keepNext/>
              <w:jc w:val="center"/>
            </w:pPr>
            <w:r/>
            <w:r>
              <w:rPr>
                <w:rFonts w:ascii="Times New Roman" w:hAnsi="Times New Roman"/>
                <w:b w:val="0"/>
                <w:sz w:val="16"/>
              </w:rPr>
              <w:t>24 / 0</w:t>
            </w:r>
          </w:p>
        </w:tc>
        <w:tc>
          <w:tcPr>
            <w:tcW w:type="dxa" w:w="1728"/>
          </w:tcPr>
          <w:p>
            <w:pPr>
              <w:keepNext/>
              <w:jc w:val="center"/>
            </w:pPr>
            <w:r/>
            <w:r>
              <w:rPr>
                <w:rFonts w:ascii="Times New Roman" w:hAnsi="Times New Roman"/>
                <w:b w:val="0"/>
                <w:sz w:val="16"/>
              </w:rPr>
              <w:t>54 / 36</w:t>
            </w:r>
          </w:p>
        </w:tc>
        <w:tc>
          <w:tcPr>
            <w:tcW w:type="dxa" w:w="1728"/>
          </w:tcPr>
          <w:p>
            <w:pPr>
              <w:keepNext/>
              <w:jc w:val="center"/>
            </w:pPr>
            <w:r/>
            <w:r>
              <w:rPr>
                <w:rFonts w:ascii="Times New Roman" w:hAnsi="Times New Roman"/>
                <w:b w:val="0"/>
                <w:sz w:val="16"/>
              </w:rPr>
              <w:t>100 / 94</w:t>
            </w:r>
          </w:p>
        </w:tc>
        <w:tc>
          <w:tcPr>
            <w:tcW w:type="dxa" w:w="1728"/>
          </w:tcPr>
          <w:p>
            <w:pPr>
              <w:keepNext/>
              <w:jc w:val="center"/>
            </w:pPr>
            <w:r/>
            <w:r>
              <w:rPr>
                <w:rFonts w:ascii="Times New Roman" w:hAnsi="Times New Roman"/>
                <w:b w:val="0"/>
                <w:sz w:val="16"/>
              </w:rPr>
              <w:t>100 / 96</w:t>
            </w:r>
          </w:p>
        </w:tc>
      </w:tr>
      <w:tr>
        <w:trPr>
          <w:cantSplit/>
        </w:trPr>
        <w:tc>
          <w:tcPr>
            <w:tcW w:type="dxa" w:w="1728"/>
            <w:tcBorders>
              <w:bottom w:val="single" w:sz="12" w:color="000000"/>
            </w:tcBorders>
          </w:tcPr>
          <w:p>
            <w:pPr>
              <w:jc w:val="left"/>
            </w:pPr>
            <w:r/>
            <w:r>
              <w:rPr>
                <w:rFonts w:ascii="Times New Roman" w:hAnsi="Times New Roman"/>
                <w:b w:val="0"/>
                <w:sz w:val="16"/>
              </w:rPr>
              <w:t>8</w:t>
            </w:r>
          </w:p>
        </w:tc>
        <w:tc>
          <w:tcPr>
            <w:tcW w:type="dxa" w:w="1728"/>
            <w:tcBorders>
              <w:bottom w:val="single" w:sz="12" w:color="000000"/>
            </w:tcBorders>
          </w:tcPr>
          <w:p>
            <w:pPr>
              <w:jc w:val="center"/>
            </w:pPr>
            <w:r/>
            <w:r>
              <w:rPr>
                <w:rFonts w:ascii="Times New Roman" w:hAnsi="Times New Roman"/>
                <w:b w:val="0"/>
                <w:sz w:val="16"/>
              </w:rPr>
              <w:t>32 / 2</w:t>
            </w:r>
          </w:p>
        </w:tc>
        <w:tc>
          <w:tcPr>
            <w:tcW w:type="dxa" w:w="1728"/>
            <w:tcBorders>
              <w:bottom w:val="single" w:sz="12" w:color="000000"/>
            </w:tcBorders>
          </w:tcPr>
          <w:p>
            <w:pPr>
              <w:jc w:val="center"/>
            </w:pPr>
            <w:r/>
            <w:r>
              <w:rPr>
                <w:rFonts w:ascii="Times New Roman" w:hAnsi="Times New Roman"/>
                <w:b w:val="0"/>
                <w:sz w:val="16"/>
              </w:rPr>
              <w:t>38 / 4</w:t>
            </w:r>
          </w:p>
        </w:tc>
        <w:tc>
          <w:tcPr>
            <w:tcW w:type="dxa" w:w="1728"/>
            <w:tcBorders>
              <w:bottom w:val="single" w:sz="12" w:color="000000"/>
            </w:tcBorders>
          </w:tcPr>
          <w:p>
            <w:pPr>
              <w:jc w:val="center"/>
            </w:pPr>
            <w:r/>
            <w:r>
              <w:rPr>
                <w:rFonts w:ascii="Times New Roman" w:hAnsi="Times New Roman"/>
                <w:b w:val="0"/>
                <w:sz w:val="16"/>
              </w:rPr>
              <w:t>56 / 38</w:t>
            </w:r>
          </w:p>
        </w:tc>
        <w:tc>
          <w:tcPr>
            <w:tcW w:type="dxa" w:w="1728"/>
            <w:tcBorders>
              <w:bottom w:val="single" w:sz="12" w:color="000000"/>
            </w:tcBorders>
          </w:tcPr>
          <w:p>
            <w:pPr>
              <w:jc w:val="center"/>
            </w:pPr>
            <w:r/>
            <w:r>
              <w:rPr>
                <w:rFonts w:ascii="Times New Roman" w:hAnsi="Times New Roman"/>
                <w:b w:val="0"/>
                <w:sz w:val="16"/>
              </w:rPr>
              <w:t>100 / 96</w:t>
            </w:r>
          </w:p>
        </w:tc>
        <w:tc>
          <w:tcPr>
            <w:tcW w:type="dxa" w:w="1728"/>
            <w:tcBorders>
              <w:bottom w:val="single" w:sz="12" w:color="000000"/>
            </w:tcBorders>
          </w:tcPr>
          <w:p>
            <w:pPr>
              <w:jc w:val="center"/>
            </w:pPr>
            <w:r/>
            <w:r>
              <w:rPr>
                <w:rFonts w:ascii="Times New Roman" w:hAnsi="Times New Roman"/>
                <w:b w:val="0"/>
                <w:sz w:val="16"/>
              </w:rPr>
              <w:t>100 / 98</w:t>
            </w:r>
          </w:p>
        </w:tc>
      </w:tr>
    </w:tbl>
    <w:p>
      <w:pPr>
        <w:spacing w:after="40"/>
      </w:pPr>
    </w:p>
    <w:p>
      <w:pPr>
        <w:pStyle w:val="Heading2"/>
      </w:pPr>
      <w:r>
        <w:t>B. Case studies</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9"/>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b w:val="0"/>
                <w:sz w:val="16"/>
              </w:rPr>
              <w:t>Identical transcription pair</w:t>
            </w:r>
          </w:p>
        </w:tc>
        <w:tc>
          <w:tcPr>
            <w:tcW w:type="dxa" w:w="2592"/>
          </w:tcPr>
          <w:p>
            <w:pPr>
              <w:keepNext/>
              <w:jc w:val="center"/>
            </w:pPr>
            <w:r/>
            <w:r>
              <w:rPr>
                <w:rFonts w:ascii="Times New Roman" w:hAnsi="Times New Roman"/>
                <w:b w:val="0"/>
                <w:sz w:val="16"/>
              </w:rPr>
              <w:t>3,200 / 3,200 notes</w:t>
            </w:r>
          </w:p>
        </w:tc>
        <w:tc>
          <w:tcPr>
            <w:tcW w:type="dxa" w:w="2592"/>
          </w:tcPr>
          <w:p>
            <w:pPr>
              <w:keepNext/>
              <w:jc w:val="center"/>
            </w:pPr>
            <w:r/>
            <w:r>
              <w:rPr>
                <w:rFonts w:ascii="Times New Roman" w:hAnsi="Times New Roman"/>
                <w:b w:val="0"/>
                <w:sz w:val="16"/>
              </w:rPr>
              <w:t>3,200</w:t>
            </w:r>
          </w:p>
        </w:tc>
        <w:tc>
          <w:tcPr>
            <w:tcW w:type="dxa" w:w="2592"/>
          </w:tcPr>
          <w:p>
            <w:pPr>
              <w:keepNext/>
              <w:jc w:val="center"/>
            </w:pPr>
            <w:r/>
            <w:r>
              <w:rPr>
                <w:rFonts w:ascii="Times New Roman" w:hAnsi="Times New Roman"/>
                <w:b w:val="0"/>
                <w:sz w:val="16"/>
              </w:rPr>
              <w:t>confirmed copy</w:t>
            </w:r>
          </w:p>
        </w:tc>
      </w:tr>
      <w:tr>
        <w:trPr>
          <w:cantSplit/>
        </w:trPr>
        <w:tc>
          <w:tcPr>
            <w:tcW w:type="dxa" w:w="2592"/>
          </w:tcPr>
          <w:p>
            <w:pPr>
              <w:keepNext/>
              <w:jc w:val="left"/>
            </w:pPr>
            <w:r/>
            <w:r>
              <w:rPr>
                <w:rFonts w:ascii="Times New Roman" w:hAnsi="Times New Roman"/>
                <w:b w:val="0"/>
                <w:sz w:val="16"/>
              </w:rPr>
              <w:t>Transposed cover (+3 st, synth.)</w:t>
            </w:r>
          </w:p>
        </w:tc>
        <w:tc>
          <w:tcPr>
            <w:tcW w:type="dxa" w:w="2592"/>
          </w:tcPr>
          <w:p>
            <w:pPr>
              <w:keepNext/>
              <w:jc w:val="center"/>
            </w:pPr>
            <w:r/>
            <w:r>
              <w:rPr>
                <w:rFonts w:ascii="Times New Roman" w:hAnsi="Times New Roman"/>
                <w:b w:val="0"/>
                <w:sz w:val="16"/>
              </w:rPr>
              <w:t>3,200 / 3,200</w:t>
            </w:r>
          </w:p>
        </w:tc>
        <w:tc>
          <w:tcPr>
            <w:tcW w:type="dxa" w:w="2592"/>
          </w:tcPr>
          <w:p>
            <w:pPr>
              <w:keepNext/>
              <w:jc w:val="center"/>
            </w:pPr>
            <w:r/>
            <w:r>
              <w:rPr>
                <w:rFonts w:ascii="Times New Roman" w:hAnsi="Times New Roman"/>
                <w:b w:val="0"/>
                <w:sz w:val="16"/>
              </w:rPr>
              <w:t>3,200 (Δ=−3 st)</w:t>
            </w:r>
          </w:p>
        </w:tc>
        <w:tc>
          <w:tcPr>
            <w:tcW w:type="dxa" w:w="2592"/>
          </w:tcPr>
          <w:p>
            <w:pPr>
              <w:keepNext/>
              <w:jc w:val="center"/>
            </w:pPr>
            <w:r/>
            <w:r>
              <w:rPr>
                <w:rFonts w:ascii="Times New Roman" w:hAnsi="Times New Roman"/>
                <w:b w:val="0"/>
                <w:sz w:val="16"/>
              </w:rPr>
              <w:t>confirmed, transposition estimated correctly</w:t>
            </w:r>
          </w:p>
        </w:tc>
      </w:tr>
      <w:tr>
        <w:trPr>
          <w:cantSplit/>
        </w:trPr>
        <w:tc>
          <w:tcPr>
            <w:tcW w:type="dxa" w:w="2592"/>
          </w:tcPr>
          <w:p>
            <w:pPr>
              <w:keepNext/>
              <w:jc w:val="left"/>
            </w:pPr>
            <w:r/>
            <w:r>
              <w:rPr>
                <w:rFonts w:ascii="Times New Roman" w:hAnsi="Times New Roman"/>
                <w:b w:val="0"/>
                <w:sz w:val="16"/>
              </w:rPr>
              <w:t>Spliced 30 s span (synth.)</w:t>
            </w:r>
          </w:p>
        </w:tc>
        <w:tc>
          <w:tcPr>
            <w:tcW w:type="dxa" w:w="2592"/>
          </w:tcPr>
          <w:p>
            <w:pPr>
              <w:keepNext/>
              <w:jc w:val="center"/>
            </w:pPr>
            <w:r/>
            <w:r>
              <w:rPr>
                <w:rFonts w:ascii="Times New Roman" w:hAnsi="Times New Roman"/>
                <w:b w:val="0"/>
                <w:sz w:val="16"/>
              </w:rPr>
              <w:t>1,680</w:t>
            </w:r>
          </w:p>
        </w:tc>
        <w:tc>
          <w:tcPr>
            <w:tcW w:type="dxa" w:w="2592"/>
          </w:tcPr>
          <w:p>
            <w:pPr>
              <w:keepNext/>
              <w:jc w:val="center"/>
            </w:pPr>
            <w:r/>
            <w:r>
              <w:rPr>
                <w:rFonts w:ascii="Times New Roman" w:hAnsi="Times New Roman"/>
                <w:b w:val="0"/>
                <w:sz w:val="16"/>
              </w:rPr>
              <w:t>1,593</w:t>
            </w:r>
          </w:p>
        </w:tc>
        <w:tc>
          <w:tcPr>
            <w:tcW w:type="dxa" w:w="2592"/>
          </w:tcPr>
          <w:p>
            <w:pPr>
              <w:keepNext/>
              <w:jc w:val="center"/>
            </w:pPr>
            <w:r/>
            <w:r>
              <w:rPr>
                <w:rFonts w:ascii="Times New Roman" w:hAnsi="Times New Roman"/>
                <w:b w:val="0"/>
                <w:sz w:val="16"/>
              </w:rPr>
              <w:t>confirmed partial reuse</w:t>
            </w:r>
          </w:p>
        </w:tc>
      </w:tr>
      <w:tr>
        <w:trPr>
          <w:cantSplit/>
        </w:trPr>
        <w:tc>
          <w:tcPr>
            <w:tcW w:type="dxa" w:w="2592"/>
            <w:tcBorders>
              <w:bottom w:val="single" w:sz="12" w:color="000000"/>
            </w:tcBorders>
          </w:tcPr>
          <w:p>
            <w:pPr>
              <w:jc w:val="left"/>
            </w:pPr>
            <w:r/>
            <w:r>
              <w:rPr>
                <w:rFonts w:ascii="Times New Roman" w:hAnsi="Times New Roman"/>
                <w:b w:val="0"/>
                <w:sz w:val="16"/>
              </w:rPr>
              <w:t>Style-similar negative</w:t>
            </w:r>
          </w:p>
        </w:tc>
        <w:tc>
          <w:tcPr>
            <w:tcW w:type="dxa" w:w="2592"/>
            <w:tcBorders>
              <w:bottom w:val="single" w:sz="12" w:color="000000"/>
            </w:tcBorders>
          </w:tcPr>
          <w:p>
            <w:pPr>
              <w:jc w:val="center"/>
            </w:pPr>
            <w:r/>
            <w:r>
              <w:rPr>
                <w:rFonts w:ascii="Times New Roman" w:hAnsi="Times New Roman"/>
                <w:b w:val="0"/>
                <w:sz w:val="16"/>
              </w:rPr>
              <w:t>31</w:t>
            </w:r>
          </w:p>
        </w:tc>
        <w:tc>
          <w:tcPr>
            <w:tcW w:type="dxa" w:w="2592"/>
            <w:tcBorders>
              <w:bottom w:val="single" w:sz="12" w:color="000000"/>
            </w:tcBorders>
          </w:tcPr>
          <w:p>
            <w:pPr>
              <w:jc w:val="center"/>
            </w:pPr>
            <w:r/>
            <w:r>
              <w:rPr>
                <w:rFonts w:ascii="Times New Roman" w:hAnsi="Times New Roman"/>
                <w:b w:val="0"/>
                <w:sz w:val="16"/>
              </w:rPr>
              <w:t>1</w:t>
            </w:r>
          </w:p>
        </w:tc>
        <w:tc>
          <w:tcPr>
            <w:tcW w:type="dxa" w:w="2592"/>
            <w:tcBorders>
              <w:bottom w:val="single" w:sz="12" w:color="000000"/>
            </w:tcBorders>
          </w:tcPr>
          <w:p>
            <w:pPr>
              <w:jc w:val="center"/>
            </w:pPr>
            <w:r/>
            <w:r>
              <w:rPr>
                <w:rFonts w:ascii="Times New Roman" w:hAnsi="Times New Roman"/>
                <w:b w:val="0"/>
                <w:sz w:val="16"/>
              </w:rPr>
              <w:t>rejected</w:t>
            </w:r>
          </w:p>
        </w:tc>
      </w:tr>
    </w:tbl>
    <w:p>
      <w:pPr>
        <w:spacing w:after="40"/>
      </w:pPr>
    </w:p>
    <w:p>
      <w:pPr>
        <w:pStyle w:val="Heading2"/>
      </w:pPr>
      <w:r>
        <w:t>C. Full-corpus duplicate census</w:t>
      </w:r>
    </w:p>
    <w:p>
      <w:pPr>
        <w:spacing w:after="0"/>
        <w:ind w:firstLine="204"/>
        <w:jc w:val="both"/>
      </w:pPr>
      <w:r>
        <w:t xml:space="preserve">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k=0).  Fig. 14(a) shows the candidate population by relative-score band.  At the absolute ≥40-evidence floor the two channels report 10.0B (exact) and 16.6B (sketch) candidate pairs; at the case-study operating point (relative ≥0.35) the total is 5.63B. </w:t>
      </w:r>
    </w:p>
    <w:p>
      <w:pPr>
        <w:spacing w:after="0"/>
        <w:ind w:firstLine="204"/>
        <w:jc w:val="both"/>
      </w:pPr>
      <w:r>
        <w:t>A self-screen of the whole corpus at the observed per-query cost (median 27 ms exact, 56 ms sketch, p95 74/122 ms; one core) completes in roughly four hours.</w:t>
      </w:r>
    </w:p>
    <w:p>
      <w:pPr>
        <w:spacing w:after="0"/>
        <w:ind w:firstLine="204"/>
        <w:jc w:val="both"/>
      </w:pPr>
      <w:r>
        <w:t xml:space="preserve">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w:t>
      </w:r>
    </w:p>
    <w:p>
      <w:pPr>
        <w:spacing w:after="0"/>
        <w:ind w:firstLine="204"/>
        <w:jc w:val="both"/>
      </w:pPr>
      <w:r>
        <w:t>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precision and recall of the chain criterion measured in this section itself; they are survey estimates from a 1/8 sample, not enumerations.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9"/>
        </w:rPr>
        <w:t>Fig. 14. Full-corpus census (174,300 pieces, stride-8 survey extrapolated ×8).  (a) Candidate-pair population by relative-score band and channel (log scale).  (b) Confirmed-copy precision of the stored audit-grade strata, Wilson 95% CI; n=40 per stratum.</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0.70–0.90</w:t>
            </w:r>
          </w:p>
        </w:tc>
        <w:tc>
          <w:tcPr>
            <w:tcW w:type="dxa" w:w="2074"/>
          </w:tcPr>
          <w:p>
            <w:pPr>
              <w:keepNext/>
              <w:jc w:val="center"/>
            </w:pPr>
            <w:r/>
            <w:r>
              <w:rPr>
                <w:rFonts w:ascii="Times New Roman" w:hAnsi="Times New Roman"/>
                <w:b w:val="0"/>
                <w:sz w:val="16"/>
              </w:rPr>
              <w:t>269,109</w:t>
            </w:r>
          </w:p>
        </w:tc>
        <w:tc>
          <w:tcPr>
            <w:tcW w:type="dxa" w:w="2074"/>
          </w:tcPr>
          <w:p>
            <w:pPr>
              <w:keepNext/>
              <w:jc w:val="center"/>
            </w:pPr>
            <w:r/>
            <w:r>
              <w:rPr>
                <w:rFonts w:ascii="Times New Roman" w:hAnsi="Times New Roman"/>
                <w:b w:val="0"/>
                <w:sz w:val="16"/>
              </w:rPr>
              <w:t>47.5 [32.9, 62.5]</w:t>
            </w:r>
          </w:p>
        </w:tc>
        <w:tc>
          <w:tcPr>
            <w:tcW w:type="dxa" w:w="2074"/>
          </w:tcPr>
          <w:p>
            <w:pPr>
              <w:keepNext/>
              <w:jc w:val="center"/>
            </w:pPr>
            <w:r/>
            <w:r>
              <w:rPr>
                <w:rFonts w:ascii="Times New Roman" w:hAnsi="Times New Roman"/>
                <w:b w:val="0"/>
                <w:sz w:val="16"/>
              </w:rPr>
              <w:t>1.02M</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≥0.90</w:t>
            </w:r>
          </w:p>
        </w:tc>
        <w:tc>
          <w:tcPr>
            <w:tcW w:type="dxa" w:w="2074"/>
          </w:tcPr>
          <w:p>
            <w:pPr>
              <w:keepNext/>
              <w:jc w:val="center"/>
            </w:pPr>
            <w:r/>
            <w:r>
              <w:rPr>
                <w:rFonts w:ascii="Times New Roman" w:hAnsi="Times New Roman"/>
                <w:b w:val="0"/>
                <w:sz w:val="16"/>
              </w:rPr>
              <w:t>14,926</w:t>
            </w:r>
          </w:p>
        </w:tc>
        <w:tc>
          <w:tcPr>
            <w:tcW w:type="dxa" w:w="2074"/>
          </w:tcPr>
          <w:p>
            <w:pPr>
              <w:keepNext/>
              <w:jc w:val="center"/>
            </w:pPr>
            <w:r/>
            <w:r>
              <w:rPr>
                <w:rFonts w:ascii="Times New Roman" w:hAnsi="Times New Roman"/>
                <w:b w:val="0"/>
                <w:sz w:val="16"/>
              </w:rPr>
              <w:t>90.0 [76.9, 96.0]</w:t>
            </w:r>
          </w:p>
        </w:tc>
        <w:tc>
          <w:tcPr>
            <w:tcW w:type="dxa" w:w="2074"/>
          </w:tcPr>
          <w:p>
            <w:pPr>
              <w:keepNext/>
              <w:jc w:val="center"/>
            </w:pPr>
            <w:r/>
            <w:r>
              <w:rPr>
                <w:rFonts w:ascii="Times New Roman" w:hAnsi="Times New Roman"/>
                <w:b w:val="0"/>
                <w:sz w:val="16"/>
              </w:rPr>
              <w:t>107k</w:t>
            </w:r>
          </w:p>
        </w:tc>
      </w:tr>
      <w:tr>
        <w:trPr>
          <w:cantSplit/>
        </w:trPr>
        <w:tc>
          <w:tcPr>
            <w:tcW w:type="dxa" w:w="2074"/>
            <w:tcBorders>
              <w:bottom w:val="single" w:sz="12" w:color="000000"/>
            </w:tcBorders>
          </w:tcPr>
          <w:p>
            <w:pPr>
              <w:jc w:val="left"/>
            </w:pPr>
            <w:r/>
            <w:r>
              <w:rPr>
                <w:rFonts w:ascii="Times New Roman" w:hAnsi="Times New Roman"/>
                <w:b w:val="0"/>
                <w:sz w:val="16"/>
              </w:rPr>
              <w:t>sketch</w:t>
            </w:r>
          </w:p>
        </w:tc>
        <w:tc>
          <w:tcPr>
            <w:tcW w:type="dxa" w:w="2074"/>
            <w:tcBorders>
              <w:bottom w:val="single" w:sz="12" w:color="000000"/>
            </w:tcBorders>
          </w:tcPr>
          <w:p>
            <w:pPr>
              <w:jc w:val="center"/>
            </w:pPr>
            <w:r/>
            <w:r>
              <w:rPr>
                <w:rFonts w:ascii="Times New Roman" w:hAnsi="Times New Roman"/>
                <w:b w:val="0"/>
                <w:sz w:val="16"/>
              </w:rPr>
              <w:t>≥0.90</w:t>
            </w:r>
          </w:p>
        </w:tc>
        <w:tc>
          <w:tcPr>
            <w:tcW w:type="dxa" w:w="2074"/>
            <w:tcBorders>
              <w:bottom w:val="single" w:sz="12" w:color="000000"/>
            </w:tcBorders>
          </w:tcPr>
          <w:p>
            <w:pPr>
              <w:jc w:val="center"/>
            </w:pPr>
            <w:r/>
            <w:r>
              <w:rPr>
                <w:rFonts w:ascii="Times New Roman" w:hAnsi="Times New Roman"/>
                <w:b w:val="0"/>
                <w:sz w:val="16"/>
              </w:rPr>
              <w:t>525,756</w:t>
            </w:r>
          </w:p>
        </w:tc>
        <w:tc>
          <w:tcPr>
            <w:tcW w:type="dxa" w:w="2074"/>
            <w:tcBorders>
              <w:bottom w:val="single" w:sz="12" w:color="000000"/>
            </w:tcBorders>
          </w:tcPr>
          <w:p>
            <w:pPr>
              <w:jc w:val="center"/>
            </w:pPr>
            <w:r/>
            <w:r>
              <w:rPr>
                <w:rFonts w:ascii="Times New Roman" w:hAnsi="Times New Roman"/>
                <w:b w:val="0"/>
                <w:sz w:val="16"/>
              </w:rPr>
              <w:t>40.0 [26.3, 55.4]</w:t>
            </w:r>
          </w:p>
        </w:tc>
        <w:tc>
          <w:tcPr>
            <w:tcW w:type="dxa" w:w="2074"/>
            <w:tcBorders>
              <w:bottom w:val="single" w:sz="12" w:color="000000"/>
            </w:tcBorders>
          </w:tcPr>
          <w:p>
            <w:pPr>
              <w:jc w:val="center"/>
            </w:pPr>
            <w:r/>
            <w:r>
              <w:rPr>
                <w:rFonts w:ascii="Times New Roman" w:hAnsi="Times New Roman"/>
                <w:b w:val="0"/>
                <w:sz w:val="16"/>
              </w:rPr>
              <w:t>1.68M</w:t>
            </w:r>
          </w:p>
        </w:tc>
      </w:tr>
    </w:tbl>
    <w:p>
      <w:pPr>
        <w:spacing w:after="40"/>
      </w:pPr>
    </w:p>
    <w:p>
      <w:pPr>
        <w:pStyle w:val="Heading2"/>
      </w:pPr>
      <w:r>
        <w:t>D. Memorization audit with a trained generator</w:t>
      </w:r>
    </w:p>
    <w:p>
      <w:pPr>
        <w:spacing w:after="0"/>
        <w:ind w:firstLine="204"/>
        <w:jc w:val="both"/>
      </w:pPr>
      <w:r>
        <w:t xml:space="preserve">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i.e., genuine overfitting.  Per-piece held likelihood separates trained from never-trained pieces almost perfectly (3.5 vs. 6.9 nats mean, AUC = 0.94), and the most-memorized pieces sit at 0.31 nats—the model demonstrably knows them. </w:t>
      </w:r>
    </w:p>
    <w:p>
      <w:pPr>
        <w:spacing w:after="0"/>
        <w:ind w:firstLine="204"/>
        <w:jc w:val="both"/>
      </w:pPr>
      <w:r>
        <w:t>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 xml:space="preserve">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(lambda = 0) cells of Table XI. </w:t>
      </w:r>
    </w:p>
    <w:p>
      <w:pPr>
        <w:spacing w:after="0"/>
        <w:ind w:firstLine="204"/>
        <w:jc w:val="both"/>
      </w:pPr>
      <w:r>
        <w:t>In other words, a real overfit transformer at this scale behaves, from the detector's viewpoint, like the lambda = 0 corner of the emulated spectrum—and unlike lambda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840748"/>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6552000" cy="1840748"/>
                  </a:xfrm>
                  <a:prstGeom prst="rect">
                    <a:avLst/>
                  </a:prstGeom>
                </pic:spPr>
              </pic:pic>
            </a:graphicData>
          </a:graphic>
        </wp:inline>
      </w:drawing>
    </w:p>
    <w:p>
      <w:pPr>
        <w:pStyle w:val="FigureCaption"/>
      </w:pPr>
      <w:r>
        <w:rPr>
          <w:sz w:val="19"/>
        </w:rPr>
        <w:t>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λ = 0 / λ = 1 anchors of Table XI.</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Trained-generator audit against the E6.2 emulation anchors: the overfit transformer confirms in the lambda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top-C %</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lambda=0</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32</w:t>
            </w:r>
          </w:p>
        </w:tc>
        <w:tc>
          <w:tcPr>
            <w:tcW w:type="dxa" w:w="1728"/>
          </w:tcPr>
          <w:p>
            <w:pPr>
              <w:keepNext/>
              <w:jc w:val="center"/>
            </w:pPr>
            <w:r/>
            <w:r>
              <w:rPr>
                <w:rFonts w:ascii="Times New Roman" w:hAnsi="Times New Roman"/>
                <w:b w:val="0"/>
                <w:sz w:val="16"/>
              </w:rPr>
              <w:t>2</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lambda=1</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100</w:t>
            </w:r>
          </w:p>
        </w:tc>
        <w:tc>
          <w:tcPr>
            <w:tcW w:type="dxa" w:w="1728"/>
          </w:tcPr>
          <w:p>
            <w:pPr>
              <w:keepNext/>
              <w:jc w:val="center"/>
            </w:pPr>
            <w:r/>
            <w:r>
              <w:rPr>
                <w:rFonts w:ascii="Times New Roman" w:hAnsi="Times New Roman"/>
                <w:b w:val="0"/>
                <w:sz w:val="16"/>
              </w:rPr>
              <w:t>98</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memorized sources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5</w:t>
            </w:r>
          </w:p>
        </w:tc>
        <w:tc>
          <w:tcPr>
            <w:tcW w:type="dxa" w:w="1728"/>
          </w:tcPr>
          <w:p>
            <w:pPr>
              <w:keepNext/>
              <w:jc w:val="center"/>
            </w:pPr>
            <w:r/>
            <w:r>
              <w:rPr>
                <w:rFonts w:ascii="Times New Roman" w:hAnsi="Times New Roman"/>
                <w:b w:val="0"/>
                <w:sz w:val="16"/>
              </w:rPr>
              <w:t>5</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untrained controls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10</w:t>
            </w:r>
          </w:p>
        </w:tc>
        <w:tc>
          <w:tcPr>
            <w:tcW w:type="dxa" w:w="1728"/>
          </w:tcPr>
          <w:p>
            <w:pPr>
              <w:keepNext/>
              <w:jc w:val="center"/>
            </w:pPr>
            <w:r/>
            <w:r>
              <w:rPr>
                <w:rFonts w:ascii="Times New Roman" w:hAnsi="Times New Roman"/>
                <w:b w:val="0"/>
                <w:sz w:val="16"/>
              </w:rPr>
              <w:t>15</w:t>
            </w:r>
          </w:p>
        </w:tc>
      </w:tr>
      <w:tr>
        <w:trPr>
          <w:cantSplit/>
        </w:trPr>
        <w:tc>
          <w:tcPr>
            <w:tcW w:type="dxa" w:w="1728"/>
            <w:tcBorders>
              <w:bottom w:val="single" w:sz="12" w:color="000000"/>
            </w:tcBorders>
          </w:tcPr>
          <w:p>
            <w:pPr>
              <w:jc w:val="left"/>
            </w:pPr>
            <w:r/>
            <w:r>
              <w:rPr>
                <w:rFonts w:ascii="Times New Roman" w:hAnsi="Times New Roman"/>
                <w:b w:val="0"/>
                <w:sz w:val="16"/>
              </w:rPr>
              <w:t>transformer (E6.4)</w:t>
            </w:r>
          </w:p>
        </w:tc>
        <w:tc>
          <w:tcPr>
            <w:tcW w:type="dxa" w:w="1728"/>
            <w:tcBorders>
              <w:bottom w:val="single" w:sz="12" w:color="000000"/>
            </w:tcBorders>
          </w:tcPr>
          <w:p>
            <w:pPr>
              <w:jc w:val="center"/>
            </w:pPr>
            <w:r/>
            <w:r>
              <w:rPr>
                <w:rFonts w:ascii="Times New Roman" w:hAnsi="Times New Roman"/>
                <w:b w:val="0"/>
                <w:sz w:val="16"/>
              </w:rPr>
              <w:t>random trained</w:t>
            </w:r>
          </w:p>
        </w:tc>
        <w:tc>
          <w:tcPr>
            <w:tcW w:type="dxa" w:w="1728"/>
            <w:tcBorders>
              <w:bottom w:val="single" w:sz="12" w:color="000000"/>
            </w:tcBorders>
          </w:tcPr>
          <w:p>
            <w:pPr>
              <w:jc w:val="center"/>
            </w:pPr>
            <w:r/>
            <w:r>
              <w:rPr>
                <w:rFonts w:ascii="Times New Roman" w:hAnsi="Times New Roman"/>
                <w:b w:val="0"/>
                <w:sz w:val="16"/>
              </w:rPr>
              <w:t>20</w:t>
            </w:r>
          </w:p>
        </w:tc>
        <w:tc>
          <w:tcPr>
            <w:tcW w:type="dxa" w:w="1728"/>
            <w:tcBorders>
              <w:bottom w:val="single" w:sz="12" w:color="000000"/>
            </w:tcBorders>
          </w:tcPr>
          <w:p>
            <w:pPr>
              <w:jc w:val="center"/>
            </w:pPr>
            <w:r/>
            <w:r>
              <w:rPr>
                <w:rFonts w:ascii="Times New Roman" w:hAnsi="Times New Roman"/>
                <w:b w:val="0"/>
                <w:sz w:val="16"/>
              </w:rPr>
              <w:t>35</w:t>
            </w:r>
          </w:p>
        </w:tc>
        <w:tc>
          <w:tcPr>
            <w:tcW w:type="dxa" w:w="1728"/>
            <w:tcBorders>
              <w:bottom w:val="single" w:sz="12" w:color="000000"/>
            </w:tcBorders>
          </w:tcPr>
          <w:p>
            <w:pPr>
              <w:jc w:val="center"/>
            </w:pPr>
            <w:r/>
            <w:r>
              <w:rPr>
                <w:rFonts w:ascii="Times New Roman" w:hAnsi="Times New Roman"/>
                <w:b w:val="0"/>
                <w:sz w:val="16"/>
              </w:rPr>
              <w:t>0</w:t>
            </w:r>
          </w:p>
        </w:tc>
        <w:tc>
          <w:tcPr>
            <w:tcW w:type="dxa" w:w="1728"/>
            <w:tcBorders>
              <w:bottom w:val="single" w:sz="12" w:color="000000"/>
            </w:tcBorders>
          </w:tcPr>
          <w:p>
            <w:pPr>
              <w:jc w:val="center"/>
            </w:pPr>
            <w:r/>
            <w:r>
              <w:rPr>
                <w:rFonts w:ascii="Times New Roman" w:hAnsi="Times New Roman"/>
                <w:b w:val="0"/>
                <w:sz w:val="16"/>
              </w:rPr>
              <w:t>25</w:t>
            </w:r>
          </w:p>
        </w:tc>
      </w:tr>
    </w:tbl>
    <w:p>
      <w:pPr>
        <w:spacing w:after="40"/>
      </w:pPr>
    </w:p>
    <w:p>
      <w:pPr>
        <w:pStyle w:val="Heading1"/>
      </w:pPr>
      <w:r>
        <w:t>VII. DISCUSSION</w:t>
      </w:r>
    </w:p>
    <w:p>
      <w:pPr>
        <w:spacing w:after="0"/>
        <w:ind w:firstLine="204"/>
        <w:jc w:val="both"/>
      </w:pPr>
      <w:r>
        <w:t xml:space="preserve">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ρ threshold evade detection, so the system's proper role is high-precision screening with evidence, not autonomous adjudication. </w:t>
      </w:r>
    </w:p>
    <w:p>
      <w:pPr>
        <w:spacing w:after="0"/>
        <w:ind w:firstLine="204"/>
        <w:jc w:val="both"/>
      </w:pPr>
      <w:r>
        <w:t>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 xml:space="preserve">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w:t>
      </w:r>
    </w:p>
    <w:p>
      <w:pPr>
        <w:spacing w:after="0"/>
        <w:ind w:firstLine="204"/>
        <w:jc w:val="both"/>
      </w:pPr>
      <w:r>
        <w:t>The memorization study spans both a transparent n-gram/copy emulation and an actually trained generator, but the latter is a 0.9M-parameter CPU-scale transformer whose memorization is non-extractive—larger generators that regurgitate verbatim would move samples toward the lambda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 xml:space="preserve">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w:t>
      </w:r>
    </w:p>
    <w:p>
      <w:pPr>
        <w:spacing w:after="0"/>
        <w:ind w:firstLine="204"/>
        <w:jc w:val="both"/>
      </w:pPr>
      <w:r>
        <w:t>Finally, the system's output is evidence for a human decision, not a legal determination: a confirmed chain localizes shared material and estimates transposition, while questions of access, originality, and substantial similarity remain with adjudicators [20], [30]. The expected utility of the system is bounded accordingly: it catches extractive regurgitation—copied spans a generator emits intact—but not distributed memorization, where influence is spread across a model without any recoverable span; that per-sample question is the complement of membership inference [23], and the two instruments are most credible when used together.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problem—two layers specified by explicit contracts, recall with a proof and precision with evidence—and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What makes the contracts transferable is that none of them is specific to music: any domain where a long container hides a short copied span, and where style peers defeat set similarity, admits the same evidence-bound screen and chain confirmation.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M. Müller, Information Retrieval for Music and Motion. Springer, 2007.</w:t>
      </w:r>
    </w:p>
    <w:p>
      <w:pPr>
        <w:pStyle w:val="References"/>
        <w:ind w:left="425" w:hanging="425"/>
      </w:pPr>
      <w:r>
        <w:t>R. Typke, F. Wiering, and R. C. Veltkamp, “A survey of music information retrieval systems,” in Proc. ISMIR, 2005.</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S. Zilberstein, “Using anytime algorithms in intelligent systems,” AI Magazine, vol. 17, no. 3, pp. 73–83, 1996.</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N. Carlini et al., “Extracting training data from large language models,” in Proc. USENIX Security, 2021.</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C.-Z. A. Huang et al., “Music Transformer: Generating music with long-term structure,” in Proc. ICLR, 2019.</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Y.-C. Liu, J. Yu, K. Cao, S. I. A. Meerza, et al., “Auditing training data in generative music models via black-box membership inference,” in Proc. IEEE Symp. Security and Privacy Workshops (SPW), 2026, pp. 230–237.</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Y. Zhang et al., “Anytime frequent itemset mining: A threshold-free progressive item-activation framework with CPU–GPU heterogeneous collaboration,” under review.</w:t>
      </w:r>
    </w:p>
    <w:p>
      <w:pPr>
        <w:pStyle w:val="References"/>
        <w:ind w:left="425" w:hanging="425"/>
      </w:pPr>
      <w:r>
        <w:t>Y. Zhang et al., “TensorFIM: Exact maximal frequent itemset mining on tensor cores,” under review.</w:t>
      </w:r>
    </w:p>
    <w:p>
      <w:pPr>
        <w:pStyle w:val="References"/>
        <w:ind w:left="425" w:hanging="425"/>
      </w:pPr>
      <w:r>
        <w:t>R. Fagin, A. Lotem, and M. Naor, “Optimal aggregation algorithms for middleware,” in Proc. ACM Symp. Principles of Database Systems (PODS), 2001.</w:t>
      </w:r>
    </w:p>
    <w:p>
      <w:pPr>
        <w:pStyle w:val="References"/>
        <w:ind w:left="425" w:hanging="425"/>
      </w:pPr>
      <w:r>
        <w:t>E. L. Lawler and D. E. Wood, “Branch-and-bound methods: A survey,” Operations Research, vol. 14, no. 4, pp. 699–719, 1966.</w:t>
      </w:r>
    </w:p>
    <w:p>
      <w:pPr>
        <w:pStyle w:val="References"/>
        <w:ind w:left="425" w:hanging="425"/>
      </w:pPr>
      <w:r>
        <w:t>A. Z. Broder, “On the resemblance and containment of documents,” in Proc. Compression and Complexity of Sequences, 1997.</w:t>
      </w:r>
    </w:p>
    <w:p>
      <w:pPr>
        <w:pStyle w:val="References"/>
        <w:ind w:left="425" w:hanging="425"/>
      </w:pPr>
      <w:r>
        <w:t>B. D. Ondov et al., “Mash: Fast genome and metagenome distance estimation using MinHash,” Genome Biology, vol. 17, 2016.</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rPr>
          <w:sz w:val="18"/>
        </w:rPr>
      </w:pPr>
    </w:p>
    <w:p>
      <w:pPr>
        <w:sectPr w:rsidR="007E713A" w:rsidSect="00002FAF">
          <w:headerReference w:type="default" r:id="rId9"/>
          <w:type w:val="continuous"/>
          <w:pgSz w:w="12240" w:h="15840"/>
          <w:pgMar w:top="1008" w:right="936" w:bottom="1008" w:left="936" w:header="432" w:footer="432" w:gutter="0"/>
          <w:cols w:space="288"/>
        </w:sectPr>
      </w:pP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Provable-Recall Screening with Structural Confirmation: A Two-Layer Copy Detection System for Symbolic Music</dc:title>
  <dc:subject>copy detection, symbolic music</dc:subject>
  <dc:description/>
  <cp:category>journal submission draft</cp:category>
</cp:coreProperties>
</file>