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[1], [2] and chroma-based matching [3], [4] target audio and tolerate noise well, but their features are lossy with respect to the symbolic content publishers must adjudicate, and they provide no recall guarantee. Frequent itemset mining (FIM) and its geometric cousins (SIATEC and successors) [5], [6], [7]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0.045/0.099/0.200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This negative result is what motivates the architecture: the screen's contract must be stated on evidence, not on similarity.</w:t>
      </w:r>
    </w:p>
    <w:p>
      <w:pPr>
        <w:spacing w:after="0"/>
        <w:ind w:firstLine="204"/>
        <w:jc w:val="both"/>
      </w:pPr>
      <w:r>
        <w:t>Cover-song identification has moved to learned audio embeddings [8]–[10], while plagiarism detection specifically has been addressed with chroma-based forensics [11], bipartite graph matching [12], and melodic-similarity analysis of real copyright cases [13]; these audio- and embedding-centric methods, like query-by-humming lineage [14], [15],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[16]: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6"/>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6"/>
        </w:rPr>
        <w:t>ρ</w:t>
      </w:r>
      <w:r>
        <w:rPr>
          <w:sz w:val="16"/>
        </w:rPr>
        <w:t xml:space="preserve"> = 0.62 ≥ 0.5) as a publisher-readable verdict.</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spacing w:before="100"/>
      </w:pPr>
      <w:r>
        <w:t>A. Symbolic music retrieval and pattern discovery</w:t>
      </w:r>
    </w:p>
    <w:p>
      <w:pPr>
        <w:spacing w:after="0"/>
        <w:ind w:firstLine="204"/>
        <w:jc w:val="both"/>
      </w:pPr>
      <w:r>
        <w:t>Sequence-based matching of notated music under edit distance and transportation distance was established by Typke et al. [17], and geometric repeated-pattern discovery by Meredith et al. [5]. Surveying the field, Casey et al. [1] and Typke et al. [2] separate audio-descriptor approaches from symbolic approaches; Müller [3], [4] systematize chroma and alignment techniques. Our screen layer inherits the item-set view of FIM [6], [7]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[18] and sequence-comparison methods benchmarked on the Lakh corpus [19]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spacing w:before="100"/>
      </w:pPr>
      <w:r>
        <w:t>B. Memorization in generative models</w:t>
      </w:r>
    </w:p>
    <w:p>
      <w:pPr>
        <w:spacing w:after="0"/>
        <w:ind w:firstLine="204"/>
        <w:jc w:val="both"/>
      </w:pPr>
      <w:r>
        <w:t xml:space="preserve">Carlini et al. [20] demonstrated that large language models regurgitate training sequences and that extraction is detectable with membership tests [21]; the same extraction was then shown for diffusion models [22]. Deduplication reduces both verbatim regurgitation and privacy leakage [23], [24], and memorization is measurable even in probabilistic deep generative models [25]. For music specifically, symbolic generators such as Music Transformer [26] are trained on scraped MIDI, membership-inference auditing of generative music models has only recently been demonstrated [27], influence-level attribution has been explored with audio embeddings [28], and the legal status of such training data remains contested [29].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spacing w:before="100"/>
      </w:pPr>
      <w:r>
        <w:t>C. Anytime algorithms</w:t>
      </w:r>
    </w:p>
    <w:p>
      <w:pPr>
        <w:spacing w:after="0"/>
        <w:ind w:firstLine="204"/>
        <w:jc w:val="both"/>
      </w:pPr>
      <w:r>
        <w:t>Zilberstein [16]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[30] maintain a partial-score bound under which no unseen candidate can qualify, and branch-and-bound search [31] carries an admissible estimate of everything not yet explored. Theorem 1 transfers this contract to tolerant item-set evidence: because every unprocessed position can contribute at most one to any piece, </w:t>
      </w:r>
      <w:r>
        <w:rPr>
          <w:i/>
        </w:rPr>
        <w:t>score</w:t>
      </w:r>
      <w:r>
        <w:rPr>
          <w:i/>
          <w:vertAlign w:val="subscript"/>
        </w:rPr>
        <w:t>u</w:t>
      </w:r>
      <w:r>
        <w:rPr>
          <w:i/>
        </w:rPr>
        <w:t>(P)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pStyle w:val="Heading2"/>
        <w:spacing w:before="100"/>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w:t>
      </w:r>
      <w:r>
        <w:rPr>
          <w:i/>
          <w:vertAlign w:val="subscript"/>
        </w:rPr>
        <w:t>n</w:t>
      </w:r>
      <w:r>
        <w:t xml:space="preserve">) is a sequence of note events </w:t>
      </w:r>
      <w:r>
        <w:rPr>
          <w:i/>
        </w:rPr>
        <w:t>e</w:t>
      </w:r>
      <w:r>
        <w:rPr>
          <w:i/>
          <w:vertAlign w:val="subscript"/>
        </w:rPr>
        <w:t>i</w:t>
      </w:r>
      <w:r>
        <w:t xml:space="preserve"> = (</w:t>
      </w:r>
      <w:r>
        <w:rPr>
          <w:i/>
        </w:rPr>
        <w:t>t</w:t>
      </w:r>
      <w:r>
        <w:rPr>
          <w:i/>
          <w:vertAlign w:val="subscript"/>
        </w:rPr>
        <w:t>i</w:t>
      </w:r>
      <w:r>
        <w:t xml:space="preserve">, </w:t>
      </w:r>
      <w:r>
        <w:rPr>
          <w:i/>
        </w:rPr>
        <w:t>p</w:t>
      </w:r>
      <w:r>
        <w:rPr>
          <w:i/>
          <w:vertAlign w:val="subscript"/>
        </w:rPr>
        <w:t>i</w:t>
      </w:r>
      <w:r>
        <w:t xml:space="preserve">, </w:t>
      </w:r>
      <w:r>
        <w:rPr>
          <w:i/>
        </w:rPr>
        <w:t>d</w:t>
      </w:r>
      <w:r>
        <w:rPr>
          <w:i/>
          <w:vertAlign w:val="subscript"/>
        </w:rPr>
        <w:t>i</w:t>
      </w:r>
      <w:r>
        <w:t xml:space="preserve">, </w:t>
      </w:r>
      <w:r>
        <w:rPr>
          <w:i/>
        </w:rPr>
        <w:t>v</w:t>
      </w:r>
      <w:r>
        <w:rPr>
          <w:i/>
          <w:vertAlign w:val="subscript"/>
        </w:rPr>
        <w:t>i</w:t>
      </w:r>
      <w:r>
        <w:t xml:space="preserve">): onset time, MIDI pitch, duration, and velocity. An encoding </w:t>
      </w:r>
      <w:r>
        <w:rPr>
          <w:i/>
        </w:rPr>
        <w:t>φ</w:t>
      </w:r>
      <w:r>
        <w:t xml:space="preserve"> maps each event to an item, a tuple of quantized features (Section III-B); the item set </w:t>
      </w:r>
      <w:r>
        <w:rPr>
          <w:i/>
        </w:rPr>
        <w:t>S(P)</w:t>
      </w:r>
      <w:r>
        <w:t>, the union of {</w:t>
      </w:r>
      <w:r>
        <w:rPr>
          <w:i/>
        </w:rPr>
        <w:t>φ</w:t>
      </w:r>
      <w:r>
        <w:t>(</w:t>
      </w:r>
      <w:r>
        <w:rPr>
          <w:i/>
        </w:rPr>
        <w:t>e</w:t>
      </w:r>
      <w:r>
        <w:rPr>
          <w:i/>
          <w:vertAlign w:val="subscript"/>
        </w:rPr>
        <w:t>i</w:t>
      </w:r>
      <w:r>
        <w:t xml:space="preserve">)} over all positions, discards order and repetition. For tolerance vector </w:t>
      </w:r>
      <w:r>
        <w:rPr>
          <w:i/>
        </w:rPr>
        <w:t>k</w:t>
      </w:r>
      <w:r>
        <w:t xml:space="preserve"> = (</w:t>
      </w:r>
      <w:r>
        <w:rPr>
          <w:i/>
        </w:rPr>
        <w:t>k_pitch</w:t>
      </w:r>
      <w:r>
        <w:t xml:space="preserve">, </w:t>
      </w:r>
      <w:r>
        <w:rPr>
          <w:i/>
        </w:rPr>
        <w:t>k_bin</w:t>
      </w:r>
      <w:r>
        <w:t xml:space="preserve">, </w:t>
      </w:r>
      <w:r>
        <w:rPr>
          <w:i/>
        </w:rPr>
        <w:t>k_vel</w:t>
      </w:r>
      <w:r>
        <w:t xml:space="preserve">), the neighborhood </w:t>
      </w:r>
      <w:r>
        <w:rPr>
          <w:i/>
        </w:rPr>
        <w:t>N</w:t>
      </w:r>
      <w:r>
        <w:rPr>
          <w:i/>
          <w:vertAlign w:val="subscript"/>
        </w:rPr>
        <w:t>k</w:t>
      </w:r>
      <w:r>
        <w:rPr>
          <w:i/>
        </w:rPr>
        <w:t>(x)</w:t>
      </w:r>
      <w:r>
        <w:t xml:space="preserve"> of an item x is the set of items whose pitch differs by at most </w:t>
      </w:r>
      <w:r>
        <w:rPr>
          <w:i/>
        </w:rPr>
        <w:t>k_pitch</w:t>
      </w:r>
      <w:r>
        <w:t xml:space="preserve"> semitones and whose duration, inter-onset interval (IOI), and velocity bins differ by at most </w:t>
      </w:r>
      <w:r>
        <w:rPr>
          <w:i/>
        </w:rPr>
        <w:t>k_bin</w:t>
      </w:r>
      <w:r>
        <w:t xml:space="preserve"> and </w:t>
      </w:r>
      <w:r>
        <w:rPr>
          <w:i/>
        </w:rPr>
        <w:t>k_vel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w:t>
      </w:r>
      <w:r>
        <w:rPr>
          <w:i/>
          <w:vertAlign w:val="subscript"/>
        </w:rPr>
        <w:t>N</w:t>
      </w:r>
      <w:r>
        <w:rPr>
          <w:i/>
        </w:rPr>
        <w:t>}</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spacing w:before="100"/>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6"/>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6"/>
        </w:rPr>
        <w:t>ρ</w:t>
      </w:r>
      <w:r>
        <w:rPr>
          <w:sz w:val="16"/>
        </w:rPr>
        <w:t xml:space="preserve"> = 0.62 ≥ 0.5. (d) Confirmed matches ship as adjudicable reports; memorization and in-the-wild audits close the loop. Black arrows mark data flow; amber markers trace one query end to end.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incremental updates append postings for new pieces without rebuilding.</w:t>
      </w:r>
    </w:p>
    <w:p>
      <w:pPr>
        <w:pStyle w:val="Heading2"/>
        <w:spacing w:before="100"/>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(evidence lower bound). Let </w:t>
      </w:r>
      <w:r>
        <w:rPr>
          <w:i/>
        </w:rPr>
        <w:t>q</w:t>
      </w:r>
      <w:r>
        <w:t xml:space="preserve"> have </w:t>
      </w:r>
      <w:r>
        <w:rPr>
          <w:i/>
        </w:rPr>
        <w:t>q</w:t>
      </w:r>
      <w:r>
        <w:t xml:space="preserve"> positions, processed in any order, and let </w:t>
      </w:r>
      <w:r>
        <w:rPr>
          <w:i/>
        </w:rPr>
        <w:t>score</w:t>
      </w:r>
      <w:r>
        <w:rPr>
          <w:i/>
          <w:vertAlign w:val="subscript"/>
        </w:rPr>
        <w:t>u</w:t>
      </w:r>
      <w:r>
        <w:rPr>
          <w:i/>
        </w:rPr>
        <w:t>(P)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w:t>
      </w:r>
      <w:r>
        <w:rPr>
          <w:i/>
          <w:vertAlign w:val="subscript"/>
        </w:rPr>
        <w:t>u</w:t>
      </w:r>
      <w:r>
        <w:rPr>
          <w:i/>
        </w:rPr>
        <w:t>(P)</w:t>
      </w:r>
      <w:r>
        <w:t xml:space="preserve"> + (</w:t>
      </w:r>
      <w:r>
        <w:rPr>
          <w:i/>
        </w:rPr>
        <w:t>q</w:t>
      </w:r>
      <w:r>
        <w:t xml:space="preserve"> − </w:t>
      </w:r>
      <w:r>
        <w:rPr>
          <w:i/>
        </w:rPr>
        <w:t>u</w:t>
      </w:r>
      <w:r>
        <w:t xml:space="preserve">) ≥ </w:t>
      </w:r>
      <w:r>
        <w:rPr>
          <w:i/>
        </w:rPr>
        <w:t>score</w:t>
      </w:r>
      <w:r>
        <w:rPr>
          <w:i/>
          <w:vertAlign w:val="subscript"/>
        </w:rPr>
        <w:t>q</w:t>
      </w:r>
      <w:r>
        <w:rPr>
          <w:i/>
        </w:rPr>
        <w:t>(P)</w:t>
      </w:r>
      <w:r>
        <w:t xml:space="preserve">, and the open set </w:t>
      </w:r>
      <w:r>
        <w:rPr>
          <w:i/>
        </w:rPr>
        <w:t>O</w:t>
      </w:r>
      <w:r>
        <w:rPr>
          <w:i/>
          <w:vertAlign w:val="subscript"/>
        </w:rPr>
        <w:t>u</w:t>
      </w:r>
      <w:r>
        <w:t xml:space="preserve"> = {</w:t>
      </w:r>
      <w:r>
        <w:rPr>
          <w:i/>
        </w:rPr>
        <w:t>P</w:t>
      </w:r>
      <w:r>
        <w:t xml:space="preserve"> : </w:t>
      </w:r>
      <w:r>
        <w:rPr>
          <w:i/>
        </w:rPr>
        <w:t>score</w:t>
      </w:r>
      <w:r>
        <w:rPr>
          <w:i/>
          <w:vertAlign w:val="subscript"/>
        </w:rPr>
        <w:t>u</w:t>
      </w:r>
      <w:r>
        <w:rPr>
          <w:i/>
        </w:rPr>
        <w:t>(P)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w:t>
      </w:r>
      <w:r>
        <w:rPr>
          <w:i/>
          <w:vertAlign w:val="subscript"/>
        </w:rPr>
        <w:t>k</w:t>
      </w:r>
      <w:r>
        <w:t xml:space="preserve">, so each position of a true copy contributes at least as much as a verbatim position; unprocessed positions can contribute at most one each. Hence a piece outside </w:t>
      </w:r>
      <w:r>
        <w:rPr>
          <w:i/>
        </w:rPr>
        <w:t>O</w:t>
      </w:r>
      <w:r>
        <w:rPr>
          <w:i/>
          <w:vertAlign w:val="subscript"/>
        </w:rPr>
        <w:t>u</w:t>
      </w:r>
      <w:r>
        <w:t xml:space="preserve"> cannot be a copy, and no piece inside </w:t>
      </w:r>
      <w:r>
        <w:rPr>
          <w:i/>
        </w:rPr>
        <w:t>O</w:t>
      </w:r>
      <w:r>
        <w:rPr>
          <w:i/>
          <w:vertAlign w:val="subscript"/>
        </w:rPr>
        <w:t>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w:t>
      </w:r>
      <w:r>
        <w:rPr>
          <w:i/>
          <w:vertAlign w:val="subscript"/>
        </w:rPr>
        <w:t>u</w:t>
      </w:r>
      <w:r>
        <w:t xml:space="preserve"> is a complete description of the search state, so interruption never loses a certified answer. Rare-first ordering greedily minimizes the growth of </w:t>
      </w:r>
      <w:r>
        <w:rPr>
          <w:i/>
        </w:rPr>
        <w:t>|O</w:t>
      </w:r>
      <w:r>
        <w:rPr>
          <w:i/>
          <w:vertAlign w:val="subscript"/>
        </w:rPr>
        <w:t>u</w:t>
      </w:r>
      <w:r>
        <w:rPr>
          <w:i/>
        </w:rPr>
        <w:t>|</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w:t>
      </w:r>
      <w:r>
        <w:rPr>
          <w:i/>
          <w:vertAlign w:val="subscript"/>
        </w:rPr>
        <w:t>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w:t>
      </w:r>
      <w:r>
        <w:rPr>
          <w:i/>
          <w:vertAlign w:val="subscript"/>
        </w:rPr>
        <w:t>u</w:t>
      </w:r>
      <w:r>
        <w:rPr>
          <w:i/>
        </w:rPr>
        <w:t>|</w:t>
      </w:r>
      <w:r>
        <w:t xml:space="preserve"> readout after every position. Measured end to end, the index builds in 24.747 s and queries run at p50 = 41.94 ms on the full 174,300-piece corpus.</w:t>
      </w:r>
    </w:p>
    <w:p>
      <w:pPr>
        <w:pStyle w:val="Heading2"/>
        <w:spacing w:before="100"/>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Output: confirmed copies (P, chain, delta) with</w:t>
            </w:r>
            <w:r>
              <w:br/>
            </w:r>
            <w:r>
              <w:rPr>
                <w:rFonts w:ascii="Consolas" w:hAnsi="Consolas" w:eastAsia="Consolas"/>
                <w:sz w:val="14"/>
              </w:rPr>
              <w:t xml:space="preserve">        |chain| &gt;= rho * q</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[19] (mirrored parquet export), up to 174,300 pieces encoded as item sets; the adversarial suite uses the first 3,000 pieces of shard 0. The GigaMIDI corpus [32]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[5], and n-gram Jaccard (Section V-A); FIM engines from our prior work [33], [34]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0"/>
        <w:rPr>
          <w:sz w:val="4"/>
        </w:rPr>
      </w:pPr>
    </w:p>
    <w:p>
      <w:pPr>
        <w:pStyle w:val="Heading1"/>
      </w:pPr>
      <w:r>
        <w:t>V. RESULTS</w:t>
      </w:r>
    </w:p>
    <w:p>
      <w:pPr>
        <w:pStyle w:val="Heading2"/>
        <w:spacing w:before="100"/>
      </w:pPr>
      <w:r>
        <w:t>A. Scale and baseline feasibility</w:t>
      </w:r>
    </w:p>
    <w:p>
      <w:pPr>
        <w:spacing w:after="0"/>
        <w:ind w:firstLine="204"/>
        <w:jc w:val="both"/>
      </w:pPr>
      <w:r>
        <w:t xml:space="preserve">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[33], [34]—was measured infeasible at the support levels copying detection requires (over 11 million frequent pairs at </w:t>
      </w:r>
      <w:r>
        <w:rPr>
          <w:i/>
        </w:rPr>
        <w:t>N</w:t>
      </w:r>
      <w:r>
        <w:t>=300 under the standard cutoff), which is precisely why the architecture places FIM semantics on the query side.</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0"/>
        <w:rPr>
          <w:sz w:val="4"/>
        </w:rPr>
      </w:pP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6"/>
        </w:rPr>
        <w:t>Fig. 3. Index build and query latency versus corpus size (log-log); planted recall 100% at all sizes; Jaccard scan baseline shown where feasible; MinHash-LSH is fast at every size yet retrieves nothing (Section V-G).</w:t>
      </w:r>
    </w:p>
    <w:p>
      <w:pPr>
        <w:pStyle w:val="Heading2"/>
        <w:spacing w:before="100"/>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k_pitch</w:t>
      </w:r>
      <w:r>
        <w:t xml:space="preserve"> = 2, </w:t>
      </w:r>
      <w:r>
        <w:rPr>
          <w:i/>
        </w:rPr>
        <w:t>k_bin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0"/>
        <w:rPr>
          <w:sz w:val="4"/>
        </w:rPr>
      </w:pP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6"/>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6"/>
        </w:rPr>
        <w:t>Fig. 5. Measured donor evidence versus theoretical lower bound, 337 adversarial cells; zero violations.</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6"/>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0"/>
        <w:rPr>
          <w:sz w:val="4"/>
        </w:rPr>
      </w:pPr>
    </w:p>
    <w:p>
      <w:pPr>
        <w:pStyle w:val="Heading2"/>
        <w:spacing w:before="100"/>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pStyle w:val="Heading2"/>
        <w:spacing w:before="100"/>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6"/>
        </w:rPr>
        <w:t>Fig. 7. Donor score margin (donor minus best non-donor) on 238 hard-negative fragments; the annotated rate is the fragment-level flag rate of each layer.</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0"/>
        <w:rPr>
          <w:sz w:val="4"/>
        </w:rPr>
      </w:pP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6"/>
        </w:rPr>
        <w:t xml:space="preserve">Fig. 8. Confirmation operating curves: donor recall versus fragment-level FP over </w:t>
      </w:r>
      <w:r>
        <w:rPr>
          <w:i/>
          <w:sz w:val="16"/>
        </w:rPr>
        <w:t>ρ</w:t>
      </w:r>
      <w:r>
        <w:rPr>
          <w:sz w:val="16"/>
        </w:rPr>
        <w:t>, labeled by threshold, for three anchor-tolerance regimes.</w:t>
      </w: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0"/>
        <w:rPr>
          <w:sz w:val="4"/>
        </w:rPr>
      </w:pPr>
    </w:p>
    <w:p>
      <w:pPr>
        <w:pStyle w:val="Heading2"/>
        <w:spacing w:before="100"/>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6"/>
        </w:rPr>
        <w:t>Fig. 9. Operating points and donor retention on hard negatives. (a) Operating points of the three systems; (b) donor retention in the top-</w:t>
      </w:r>
      <w:r>
        <w:rPr>
          <w:i/>
          <w:sz w:val="16"/>
        </w:rPr>
        <w:t>C</w:t>
      </w:r>
      <w:r>
        <w:rPr>
          <w:sz w:val="16"/>
        </w:rPr>
        <w:t xml:space="preserve"> candidate feed.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6"/>
        </w:rPr>
        <w:t>Fig. 10. Component ablations over the confirmation and screening stages. (a) evidence span length; (b) tolerance vector (bars: false candidates, log scale; dashed: recall, right axis); (c) quantization grid granularity.</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0"/>
        <w:rPr>
          <w:sz w:val="4"/>
        </w:rPr>
      </w:pPr>
    </w:p>
    <w:p>
      <w:pPr>
        <w:pStyle w:val="Heading2"/>
        <w:spacing w:before="100"/>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 xml:space="preserve">Tuning the band configuration moves the operating point along a recall-versus-candidate-volume trade-off, not past it (Table X):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[35], [36] replace resemblance with the ratio </w:t>
      </w:r>
      <w:r>
        <w:rPr>
          <w:i/>
        </w:rPr>
        <w:t>|A ∩ B|</w:t>
      </w:r>
      <w:r>
        <w:t xml:space="preserve"> / </w:t>
      </w:r>
      <w:r>
        <w:rPr>
          <w:i/>
        </w:rPr>
        <w:t>min(|A|, |B|)</w:t>
      </w:r>
      <w:r>
        <w:t>,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6"/>
        </w:rPr>
        <w:t>Fig. 11. The containment-versus-Jaccard geometry behind Table X. (a) donor Jaccard distribution over the 337 planted cells (quartiles 0.045/0.099/0.200) with the two operating thresholds marked; (b) recall of the three LSH configurations versus the tolerant screen on the same cells.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spacing w:before="100"/>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6"/>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0"/>
        <w:rPr>
          <w:sz w:val="4"/>
        </w:rPr>
      </w:pPr>
    </w:p>
    <w:p>
      <w:pPr>
        <w:pStyle w:val="Heading2"/>
        <w:spacing w:before="100"/>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6"/>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6"/>
        </w:rPr>
        <w:t>Fig. 14. Full-corpus census (174,300 pieces, stride-8 survey extrapolated ×8).  (a) Candidate-pair population by relative-score band and channel (log scale).  (b) Confirmed-copy precision of the stored audit-grade strata, Wilson 95% CI; n=40 per stratum.</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0"/>
        <w:rPr>
          <w:sz w:val="4"/>
        </w:rPr>
      </w:pPr>
    </w:p>
    <w:p>
      <w:pPr>
        <w:pStyle w:val="Heading2"/>
        <w:spacing w:before="100"/>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6"/>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6"/>
        </w:rPr>
        <w:t>λ</w:t>
      </w:r>
      <w:r>
        <w:rPr>
          <w:sz w:val="16"/>
        </w:rPr>
        <w:t xml:space="preserve"> = 0 / </w:t>
      </w:r>
      <w:r>
        <w:rPr>
          <w:i/>
          <w:sz w:val="16"/>
        </w:rPr>
        <w:t>λ</w:t>
      </w:r>
      <w:r>
        <w:rPr>
          <w:sz w:val="16"/>
        </w:rPr>
        <w:t xml:space="preserve"> = 1 anchors of Table XI.</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0"/>
        <w:rPr>
          <w:sz w:val="4"/>
        </w:rPr>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[13], [29].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[21],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R. Typke, F. Wiering, and R. C. Veltkamp, “A survey of music information retrieval systems,” in Proc. ISMIR, 2005.</w:t>
      </w:r>
    </w:p>
    <w:p>
      <w:pPr>
        <w:pStyle w:val="References"/>
        <w:ind w:left="425" w:hanging="425"/>
      </w:pPr>
      <w:r>
        <w:t>M. Müller, Information Retrieval for Music and Motion. Springer, 2007.</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S. Zilberstein, “Using anytime algorithms in intelligent systems,” AI Magazine, vol. 17, no. 3, pp. 73–83, 1996.</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N. Carlini et al., “Extracting training data from large language models,” in Proc. USENIX Security, 2021.</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C.-Z. A. Huang et al., “Music Transformer: Generating music with long-term structure,” in Proc. ICLR, 2019.</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