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tiff" ContentType="image/tiff"/>
  <Default Extension="wmf" ContentType="image/x-wmf"/>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pPr>
        <w:pStyle w:val="Title"/>
      </w:pPr>
      <w:r>
        <w:t>Guarantees, Not Thresholds: Provable-Recall Screening with Structural Confirmation for Copy Detection in Symbolic Music</w:t>
      </w:r>
    </w:p>
    <w:p>
      <w:pPr>
        <w:rPr>
          <w:sz w:val="18"/>
        </w:rPr>
      </w:pPr>
    </w:p>
    <w:p>
      <w:pPr>
        <w:pStyle w:val="Authors"/>
      </w:pPr>
      <w:r>
        <w:t>Xuemei Li</w:t>
      </w:r>
      <w:r>
        <w:rPr>
          <w:vertAlign w:val="superscript"/>
        </w:rPr>
        <w:t>1</w:t>
      </w:r>
      <w:r>
        <w:t xml:space="preserve">, </w:t>
      </w:r>
      <w:r>
        <w:t>Jianping Deng</w:t>
      </w:r>
      <w:r>
        <w:rPr>
          <w:vertAlign w:val="superscript"/>
        </w:rPr>
        <w:t>1</w:t>
      </w:r>
      <w:r>
        <w:t xml:space="preserve">, </w:t>
      </w:r>
      <w:r>
        <w:t>Meng Huang</w:t>
      </w:r>
      <w:r>
        <w:rPr>
          <w:vertAlign w:val="superscript"/>
        </w:rPr>
        <w:t>2</w:t>
      </w:r>
      <w:r>
        <w:t xml:space="preserve">, </w:t>
      </w:r>
      <w:r>
        <w:t>Bao Wang</w:t>
      </w:r>
      <w:r>
        <w:rPr>
          <w:vertAlign w:val="superscript"/>
        </w:rPr>
        <w:t>2</w:t>
      </w:r>
      <w:r>
        <w:t xml:space="preserve">, and </w:t>
      </w:r>
      <w:r>
        <w:t>Yalong Zhang</w:t>
      </w:r>
      <w:r>
        <w:rPr>
          <w:vertAlign w:val="superscript"/>
        </w:rPr>
        <w:t>2</w:t>
      </w:r>
    </w:p>
    <w:p>
      <w:pPr>
        <w:spacing w:before="0" w:after="40"/>
        <w:rPr>
          <w:sz w:val="2"/>
          <w:szCs w:val="2"/>
        </w:rPr>
        <w:sectPr w:rsidR="007E713A" w:rsidSect="00002FAF">
          <w:headerReference w:type="default" r:id="rId9"/>
          <w:type w:val="continuous"/>
          <w:pgSz w:w="12240" w:h="15840"/>
          <w:pgMar w:top="1008" w:right="936" w:bottom="1008" w:left="936" w:header="432" w:footer="432" w:gutter="0"/>
          <w:cols w:space="288"/>
        </w:sectPr>
      </w:pPr>
    </w:p>
    <w:p>
      <w:pPr>
        <w:spacing w:before="20"/>
        <w:jc w:val="both"/>
      </w:pPr>
      <w:r>
        <w:rPr>
          <w:sz w:val="2"/>
          <w:szCs w:val="2"/>
        </w:rPr>
        <w:footnoteReference w:customMarkFollows="1" w:id="3"/>
        <w:sym w:font="Symbol" w:char="F020"/>
      </w:r>
      <w:r>
        <w:rPr>
          <w:b/>
          <w:i/>
          <w:sz w:val="18"/>
        </w:rPr>
        <w:t>Abstract</w:t>
      </w:r>
      <w:r>
        <w:rPr>
          <w:b/>
          <w:sz w:val="18"/>
        </w:rPr>
        <w:t>—</w:t>
      </w:r>
      <w:r>
        <w:rPr>
          <w:b/>
          <w:sz w:val="18"/>
        </w:rPr>
        <w:t>When a publisher screens a submission against a corpus of 174,300 MIDI files, or a dataset curator must decide whether a generative model has memorized its training data, every missed copy is a liability and every false alarm is an expert afternoon lost. Existing systems force a choice no such user can afford: audio fingerprinting and learned embeddings tolerate noise but certify no recall; exact pattern mining carries no recall guarantee and explodes at the support levels copying requires; and the set-similarity engines behind large-scale deduplication are structurally blind to contained copies. We show that this trade-off is architectural rather than fundamental and dissolve it by giving the two layers different contracts. A tolerant item-set screen guarantees recall per query through an evidence lower bound, verified cell by cell on 337 adversarial cells with zero violations, and its rare-first anytime schedule answers in time driven by the evidence rather than by the corpus. A strict structural confirmation layer then aligns ordered note chains, cutting the fragment-level false-positive rate on style-similar hard negatives to 2.1% at 83.9% recall under transcription noise. The index builds in 24.7 s and answers queries in 41.9 ms (p50) at 100% planted recall. The same pipeline screens a trained music generator across the full memorization spectrum with 96-100% correct source attribution, and delivers a full-corpus census of duplicate structure, localizing spliced segments and transposed covers with score-checkable evidence.</w:t>
      </w:r>
    </w:p>
    <w:p>
      <w:pPr>
        <w:spacing w:before="100"/>
        <w:jc w:val="both"/>
      </w:pPr>
      <w:r>
        <w:rPr>
          <w:b/>
          <w:i/>
          <w:sz w:val="18"/>
        </w:rPr>
        <w:t>Index Terms</w:t>
      </w:r>
      <w:r>
        <w:rPr>
          <w:b/>
          <w:sz w:val="18"/>
        </w:rPr>
        <w:t>—</w:t>
      </w:r>
      <w:r>
        <w:rPr>
          <w:b/>
          <w:sz w:val="18"/>
        </w:rPr>
        <w:t>Anytime algorithms, copyright, music information retrieval, plagiarism screening, symbolic music.</w:t>
      </w:r>
    </w:p>
    <w:p>
      <w:pPr>
        <w:pStyle w:val="Heading1"/>
      </w:pPr>
      <w:r>
        <w:t>I. INTRODUCTION</w:t>
      </w:r>
    </w:p>
    <w:p>
      <w:pPr>
        <w:pStyle w:val="Normal"/>
        <w:keepNext/>
        <w:framePr w:dropCap="drop" w:lines="3" w:wrap="around" w:vAnchor="text" w:hAnchor="text"/>
        <w:spacing w:line="724" w:lineRule="exact"/>
        <w:jc w:val="both"/>
        <w:textAlignment w:val="baseline"/>
      </w:pPr>
      <w:r>
        <w:rPr>
          <w:smallCaps/>
          <w:color w:val="000000"/>
          <w:position w:val="-9"/>
          <w:sz w:val="97"/>
        </w:rPr>
        <w:t xml:space="preserve">M</w:t>
      </w:r>
    </w:p>
    <w:p>
      <w:pPr>
        <w:pStyle w:val="Normal"/>
        <w:widowControl w:val="0"/>
        <w:spacing w:line="252" w:lineRule="auto"/>
        <w:jc w:val="both"/>
      </w:pPr>
      <w:r>
        <w:rPr>
          <w:smallCaps/>
          <w:color w:val="000000"/>
        </w:rPr>
        <w:t xml:space="preserve">usic</w:t>
      </w:r>
      <w:r>
        <w:rPr>
          <w:color w:val="000000"/>
        </w:rPr>
        <w:t xml:space="preserve"> publishers, dataset curators, and generative-music deployments share a common need: given a corpus of symbolic music (MIDI and its derivatives) and a query—a new submission, a generated sample, or a suspected infringement—find every piece that shares a substantively copied span with the query, rank the candidates, and show the evidence. The stakes are concrete: a census run with the system of this paper finds on the order of 107k verbatim-level duplicate pairs in a single public corpus mirror alone (Section VI-C).</w:t>
      </w:r>
    </w:p>
    <w:p>
      <w:pPr>
        <w:spacing w:after="0"/>
        <w:ind w:firstLine="204"/>
        <w:jc w:val="both"/>
      </w:pPr>
      <w:r>
        <w:t>The requirement list is demanding. Recall must survive the noise of real-world reuse: transposition, tempo change, re-instrumentation, transcription jitter from audio-to-MIDI tools, and deliberate splicing. Latency must stay interactive even as corpora reach hundreds of thousands of pieces. And the output must be decision-grade: on style-similar but innocent repertoire the system must not cry wolf, and on positives it must present an alignment a human expert can check against a score.</w:t>
      </w:r>
    </w:p>
    <w:p>
      <w:pPr>
        <w:spacing w:after="0"/>
        <w:ind w:firstLine="204"/>
        <w:jc w:val="both"/>
      </w:pPr>
      <w:r>
        <w:t>Established approaches each fail one requirement. Audio fingerprinting [3], [5] and chroma-based matching [4], [12] target audio and tolerate noise well, but their features are lossy with respect to the symbolic content publishers must adjudicate, and they provide no recall guarantee. Frequent itemset mining (FIM) and its geometric cousins (SIATEC and successors) [2], [9], [10] discover repeated patterns with algorithmic elegance, but exact enumeration explodes combinatorially at the support levels copying detection requires (we quantify this in Section V-A), and pattern sets are not ranked candidates.</w:t>
      </w:r>
    </w:p>
    <w:p>
      <w:pPr>
        <w:spacing w:after="0"/>
        <w:ind w:firstLine="204"/>
        <w:jc w:val="both"/>
      </w:pPr>
      <w:r>
        <w:t>Nor can the gap be closed by re-tuning the engines that power large-scale deduplication. The obstacle is geometric: a copied span of about 40 items embedded in a piece of about 700 items scores below 0.10 in set-Jaccard under a perfect oracle (measured quartiles 0.045/0.099/0.201 over our 337-cell adversarial audit), and no band configuration of a MinHash-LSH index recovers such a donor at any operating point (Section V-G). Relative overlap has no threshold at which a contained copy becomes visible, so resemblance cannot be tuned into recall; containment must be verified query-side, not estimated corpus-side. This negative result is what motivates the architecture: the screen's contract must be stated on evidence, not on similarity.</w:t>
      </w:r>
    </w:p>
    <w:p>
      <w:pPr>
        <w:spacing w:after="0"/>
        <w:ind w:firstLine="204"/>
        <w:jc w:val="both"/>
      </w:pPr>
      <w:r>
        <w:t>Cover-song identification has moved to learned audio embeddings [15]–[17], while plagiarism detection specifically has been addressed with chroma-based forensics [18], bipartite graph matching [19], and melodic-similarity analysis of real copyright cases [20]; these audio- and embedding-centric methods, like query-by-humming lineage [13], [14], do not provide a symbolic, per-query recall guarantee of the kind a publisher can contract against.</w:t>
      </w:r>
    </w:p>
    <w:p>
      <w:pPr>
        <w:spacing w:after="0"/>
        <w:ind w:firstLine="204"/>
        <w:jc w:val="both"/>
      </w:pPr>
      <w:r>
        <w:t>This paper's thesis is architectural: the three requirements decompose across two layers with different contracts. The first layer maximizes recall under a stated noise model and proves it—an evidence lower bound that holds for any query whose per-note deviation stays within declared tolerances. The second layer maximizes precision by checking structure that style peers do not share: the ordered chain of notes with their inter-onset intervals. We additionally require the first layer to be anytime [8]: under a partial budget it must return the best partial answer together with a sound bound on what remains open.</w:t>
      </w:r>
    </w:p>
    <w:p>
      <w:pPr>
        <w:spacing w:after="0"/>
        <w:ind w:firstLine="204"/>
        <w:jc w:val="both"/>
      </w:pPr>
      <w:r>
        <w:t xml:space="preserve">Our findings, all measured on the Lakh MIDI corpus (full corpus, 174,300 pieces), are: (1) item-set containment alone is screening-grade only—on style-similar hard negatives its fragment-level false-positive rate reaches 93%, and no threshold repairs this without destroying recall; (2) a strict-tolerance ordered-chain confirmation layer on top of the screen cuts the false-positive rate to 2.1% at 83.9% recall under transcription noise, meeting the &lt;5% screening requirement of a decision-support tool; (3) the screen's rare-first schedule tightens the certified open-candidate bound by 1.1× over a hot-first schedule at 70% budget, with identical full-budget recall. </w:t>
      </w:r>
    </w:p>
    <w:p>
      <w:pPr>
        <w:spacing w:after="0"/>
        <w:ind w:firstLine="204"/>
        <w:jc w:val="both"/>
      </w:pPr>
      <w:r>
        <w:t>Two further findings complete the picture: (4) detection on a controlled memorization spectrum rises monotonically to 100% at full copying; and (5) a full-corpus census over 174,300 pieces measures 5.6 billion candidate pairs at the screening operating point, and a stratified audit of the high-scoring candidates confirms an estimated 107k verbatim-level duplicate pairs at 90% channel precision, while on in-the-wild cases the system localizes a spliced 30-second segment and recovers a +3-semitone transposed cover with exact, score-checkable alignment maps.</w:t>
      </w:r>
    </w:p>
    <w:p>
      <w:pPr>
        <w:spacing w:after="0"/>
        <w:ind w:firstLine="204"/>
        <w:jc w:val="both"/>
      </w:pPr>
      <w:r>
        <w:t xml:space="preserve">The through-line of these results is that guarantees, not thresholds, are the unit of design: each layer is specified by a contract it must honor, and every reported number is a measurement of contract compliance rather than a tuned operating point. The contributions are: (1) an architectural decomposition of copy detection into a provable-recall screening problem and a structural confirmation problem, with formal contracts for each layer, validated by a controlled negative result: no single item-level method reaches decision-grade precision, and no purely structural method scales; (2) a tolerant item-set screen whose per-query recall is guaranteed by a sound evidence lower bound under a declared noise model, auditable cell by cell on 337 adversarial cells with zero violations; (3) an anytime schedule analysis showing that rare-first processing tightens the certified open-candidate bound over hot-first under partial budgets (by 1.1× at 70% budget) and that the bound is computable after any schedule prefix, turning an engineering heuristic into a schedulable guarantee. </w:t>
      </w:r>
    </w:p>
    <w:p>
      <w:pPr>
        <w:spacing w:after="0"/>
        <w:ind w:firstLine="204"/>
        <w:jc w:val="both"/>
      </w:pPr>
      <w:r>
        <w:t>The last two contributions are systems-level: (4) a strict-tolerance ordered-chain confirmation layer that outputs note-level alignment evidence, reaching 2.1% fragment-level false positives at 83.9% recall on style-similar hard negatives, together with a controlled memorization study showing monotone detection growth and 96-100% correct source attribution under full copying, together with a full-corpus census over 174,300 pieces that measures 5.6 billion candidate pairs at the screening operating point and, via a stratified adjudication audit, an estimated 107k verbatim-level duplicate pairs at 90% channel precision; and (5) a fully scripted reproduction release that regenerates every number, table, and figure in this paper from the raw corpus download.</w:t>
      </w:r>
    </w:p>
    <w:p>
      <w:pPr>
        <w:spacing w:after="0"/>
        <w:ind w:firstLine="204"/>
        <w:jc w:val="both"/>
      </w:pPr>
      <w:r>
        <w:t>Section II reviews related work. Section III formalizes the problem, states the evidence-bound theorem, and describes the three processing layers. Section IV details the experimental setup and operating parameters. Section V reports controlled experiments; Section VI reports real-world studies. Section VII discusses limitations and deployment considerations, and Section VIII concludes.</w:t>
      </w:r>
    </w:p>
    <w:p>
      <w:pPr>
        <w:spacing w:after="0"/>
        <w:ind w:firstLine="204"/>
        <w:jc w:val="both"/>
      </w:pPr>
      <w:r>
        <w:t>Fig. 1 previews the whole system as an evidence funnel: candidate sets narrow through the L1 screen and the L2 top-C gate while the recall floor (Thm 1) stays unbroken; L3 inspects survivors under a structural lens, and confirmed matches ship as adjudicable reports.</w:t>
      </w:r>
    </w:p>
    <w:p>
      <w:p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keepNext/>
        <w:jc w:val="center"/>
      </w:pPr>
      <w:drawing xmlns:a="http://schemas.openxmlformats.org/drawingml/2006/main" xmlns:pic="http://schemas.openxmlformats.org/drawingml/2006/picture">
        <wp:inline distT="0" distB="0" distL="0" distR="0">
          <wp:extent cx="5760000" cy="2824615"/>
          <wp:effectExtent l="0" t="0" r="0" b="0"/>
          <wp:docPr id="101" name="fig1_alt.emf"/>
          <wp:cNvGraphicFramePr/>
          <a:graphic>
            <a:graphicData uri="http://schemas.openxmlformats.org/drawingml/2006/picture">
              <pic:pic>
                <pic:nvPicPr>
                  <pic:cNvPr id="0" name="fig1_alt.emf"/>
                  <pic:cNvPicPr/>
                </pic:nvPicPr>
                <pic:blipFill>
                  <a:blip r:embed="rId33"/>
                  <a:stretch>
                    <a:fillRect/>
                  </a:stretch>
                </pic:blipFill>
                <pic:spPr>
                  <a:xfrm>
                    <a:off x="0" y="0"/>
                    <a:ext cx="5760000" cy="2824615"/>
                  </a:xfrm>
                  <a:prstGeom prst="rect">
                    <a:avLst/>
                  </a:prstGeom>
                </pic:spPr>
              </pic:pic>
            </a:graphicData>
          </a:graphic>
        </wp:inline>
      </w:drawing>
    </w:p>
    <w:p>
      <w:pPr>
        <w:pStyle w:val="FigureCaption"/>
      </w:pPr>
      <w:r>
        <w:rPr>
          <w:sz w:val="19"/>
        </w:rPr>
        <w:t>Fig. 1. The evidence funnel of the proposed pipeline, with one query traced end to end (amber markers). Left: the Lakh MIDI corpus is encoded once into a rare-first item-set index (1.05 GB, 41.9 ms p50). Center: the L1 tolerant screen enumerates 1.66 M candidates under an anytime budget with a per-prefix recall floor (Thm 1). Right: L3 structural confirmation aligns ordered note chains—invariant to pitch, tempo, and splicing—and certifies the copied span (ρ = 0.62 ≥ 0.5) as a publisher-readable verdict.</w:t>
      </w:r>
    </w:p>
    <w:p>
      <w:pPr>
        <w:sectPr w:rsidR="007E713A" w:rsidSect="00002FAF">
          <w:headerReference w:type="default" r:id="rId9"/>
          <w:type w:val="continuous"/>
          <w:pgSz w:w="12240" w:h="15840"/>
          <w:pgMar w:top="1008" w:right="936" w:bottom="1008" w:left="936" w:header="432" w:footer="432" w:gutter="0"/>
          <w:cols w:space="288"/>
        </w:sectPr>
      </w:pPr>
    </w:p>
    <w:p>
      <w:pPr>
        <w:pStyle w:val="Heading1"/>
      </w:pPr>
      <w:r>
        <w:t>II. RELATED WORK</w:t>
      </w:r>
    </w:p>
    <w:p>
      <w:pPr>
        <w:pStyle w:val="Heading2"/>
      </w:pPr>
      <w:r>
        <w:t>A. Symbolic music retrieval and pattern discovery</w:t>
      </w:r>
    </w:p>
    <w:p>
      <w:pPr>
        <w:spacing w:after="0"/>
        <w:ind w:firstLine="204"/>
        <w:jc w:val="both"/>
      </w:pPr>
      <w:r>
        <w:t>Sequence-based matching of notated music under edit distance and transportation distance was established by Typke et al. [1], and geometric repeated-pattern discovery by Meredith et al. [2]. Surveying the field, Casey et al. [3] and Typke et al. [5] separate audio-descriptor approaches from symbolic approaches; Müller [4], [6] systematize chroma and alignment techniques. Our screen layer inherits the item-set view of FIM [9], [10] but replaces corpus-side enumeration with query-side containment verification, trading pattern completeness for a provable per-query recall contract.</w:t>
      </w:r>
    </w:p>
    <w:p>
      <w:pPr>
        <w:spacing w:after="0"/>
        <w:ind w:firstLine="204"/>
        <w:jc w:val="both"/>
      </w:pPr>
      <w:r>
        <w:t xml:space="preserve">Symbolic version identification has a complementary lineage. Alignment-based matching of MIDI to audio [6] and sequence-comparison methods benchmarked on the Lakh corpus [7] establish that symbolic sequences support robust matching, but their cost is per-candidate: applied as corpus-wide filters they do not scale, and applied after a cheap filter they inherit the filter's recall, which none of these systems bounds. </w:t>
      </w:r>
    </w:p>
    <w:p>
      <w:pPr>
        <w:spacing w:after="0"/>
        <w:ind w:firstLine="204"/>
        <w:jc w:val="both"/>
      </w:pPr>
      <w:r>
        <w:t>Our screen layer can be read as a recall-guaranteed candidate generator for exactly such aligners: it hands confirmation a top-C set small enough that exact structural alignment becomes affordable, while the bound certifies that nothing outside the set needs alignment at all.</w:t>
      </w:r>
    </w:p>
    <w:p>
      <w:pPr>
        <w:pStyle w:val="Heading2"/>
      </w:pPr>
      <w:r>
        <w:t>B. Memorization in generative models</w:t>
      </w:r>
    </w:p>
    <w:p>
      <w:pPr>
        <w:spacing w:after="0"/>
        <w:ind w:firstLine="204"/>
        <w:jc w:val="both"/>
      </w:pPr>
      <w:r>
        <w:t xml:space="preserve">Carlini et al. [11] demonstrated that large language models regurgitate training sequences and that extraction is detectable with membership tests [23]; the same extraction was then shown for diffusion models [24]. Deduplication reduces both verbatim regurgitation and privacy leakage [25], [26], and memorization is measurable even in probabilistic deep generative models [27]. For music specifically, symbolic generators such as Music Transformer [22] are trained on scraped MIDI, membership-inference auditing of generative music models has only recently been demonstrated [28], influence-level attribution has been explored with audio embeddings [29], and the legal status of such training data remains contested [30]. </w:t>
      </w:r>
    </w:p>
    <w:p>
      <w:pPr>
        <w:spacing w:after="0"/>
        <w:ind w:firstLine="204"/>
        <w:jc w:val="both"/>
      </w:pPr>
      <w:r>
        <w:t>Publishers consequently need batch screening tools rather than per-sample membership oracles. Our controlled experiments (Section VI-A) emulate the memorization spectrum without training neural models, using n-gram order and a copy operator—a deliberately transparent stand-in that exposes exactly where contiguity-based detection breaks down.</w:t>
      </w:r>
    </w:p>
    <w:p>
      <w:pPr>
        <w:pStyle w:val="Heading2"/>
      </w:pPr>
      <w:r>
        <w:t>C. Anytime algorithms</w:t>
      </w:r>
    </w:p>
    <w:p>
      <w:pPr>
        <w:spacing w:after="0"/>
        <w:ind w:firstLine="204"/>
        <w:jc w:val="both"/>
      </w:pPr>
      <w:r>
        <w:t>Zilberstein [8] formalized anytime algorithms: interruptible procedures whose intermediate results improve monotonically and can be accompanied by a bound on unexplored outcomes. Our screen adopts this contract at the level of evidence items: after any prefix of the rare-first schedule, the set of pieces that can still reach the threshold is exactly computable, which turns an engineering heuristic into a guarantee a publisher can schedule around.</w:t>
      </w:r>
    </w:p>
    <w:p>
      <w:pPr>
        <w:spacing w:after="0"/>
        <w:ind w:firstLine="204"/>
        <w:jc w:val="both"/>
      </w:pPr>
      <w:r>
        <w:t>The bound instantiates a classical pattern. Threshold algorithms for top-k aggregation [33] maintain a partial-score bound under which no unseen candidate can qualify, and branch-and-bound search [34] carries an admissible estimate of everything not yet explored. Theorem 1 transfers this contract to tolerant item-set evidence: because every unprocessed position can contribute at most one to any piece, score_u(P) + (q − u) plays the role of the partial bound, with tolerance turning it into a certified floor on final evidence rather than an optimistic estimate. We are not aware of an evidence bound of this form stated and cell-by-cell audited for music retrieval.</w:t>
      </w:r>
    </w:p>
    <w:p>
      <w:pPr>
        <w:pStyle w:val="Heading1"/>
      </w:pPr>
      <w:r>
        <w:t>III. SYSTEM</w:t>
      </w:r>
    </w:p>
    <w:p>
      <w:pPr>
        <w:spacing w:after="0"/>
        <w:ind w:firstLine="204"/>
        <w:jc w:val="both"/>
      </w:pPr>
      <w:r>
        <w:t>Fig. 2 shows the pipeline. All layers operate on a shared event encoding; the screen and the confirmation use different tolerances by design.</w:t>
      </w:r>
    </w:p>
    <w:p>
      <w:p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keepNext/>
        <w:jc w:val="center"/>
      </w:pPr>
      <w:drawing xmlns:a="http://schemas.openxmlformats.org/drawingml/2006/main" xmlns:pic="http://schemas.openxmlformats.org/drawingml/2006/picture">
        <wp:inline distT="0" distB="0" distL="0" distR="0">
          <wp:extent cx="5760000" cy="3378461"/>
          <wp:effectExtent l="0" t="0" r="0" b="0"/>
          <wp:docPr id="102" name="fig1_architecture.emf"/>
          <wp:cNvGraphicFramePr/>
          <a:graphic>
            <a:graphicData uri="http://schemas.openxmlformats.org/drawingml/2006/picture">
              <pic:pic>
                <pic:nvPicPr>
                  <pic:cNvPr id="0" name="fig1_architecture.emf"/>
                  <pic:cNvPicPr/>
                </pic:nvPicPr>
                <pic:blipFill>
                  <a:blip r:embed="rId34"/>
                  <a:stretch>
                    <a:fillRect/>
                  </a:stretch>
                </pic:blipFill>
                <pic:spPr>
                  <a:xfrm>
                    <a:off x="0" y="0"/>
                    <a:ext cx="5760000" cy="3378461"/>
                  </a:xfrm>
                  <a:prstGeom prst="rect">
                    <a:avLst/>
                  </a:prstGeom>
                </pic:spPr>
              </pic:pic>
            </a:graphicData>
          </a:graphic>
        </wp:inline>
      </w:drawing>
    </w:p>
    <w:p>
      <w:pPr>
        <w:pStyle w:val="FigureCaption"/>
      </w:pPr>
      <w:r>
        <w:rPr>
          <w:sz w:val="19"/>
        </w:rPr>
        <w:t>Fig. 2. Two-layer copy detection pipeline. (a) A publisher-scale corpus is encoded once into a rare-first item-set index. (b) The L1 screen queries that index under an anytime budget with a provable recall lower bound (Thm 1, 337-cell audit). (c) L2 re-ranks and L3 confirms on ordered note chains, gating on ρ = 0.62 ≥ 0.5. (d) Confirmed matches ship as adjudicable reports; memorization and in-the-wild audits close the loop. Black arrows mark data flow; amber markers trace one query end to end.</w:t>
      </w:r>
    </w:p>
    <w:p>
      <w:pPr>
        <w:sectPr w:rsidR="007E713A" w:rsidSect="00002FAF">
          <w:headerReference w:type="default" r:id="rId9"/>
          <w:type w:val="continuous"/>
          <w:pgSz w:w="12240" w:h="15840"/>
          <w:pgMar w:top="1008" w:right="936" w:bottom="1008" w:left="936" w:header="432" w:footer="432" w:gutter="0"/>
          <w:cols w:space="288"/>
        </w:sectPr>
      </w:pPr>
    </w:p>
    <w:p>
      <w:pPr>
        <w:pStyle w:val="Heading2"/>
      </w:pPr>
      <w:r>
        <w:t>A. Problem statement and notation</w:t>
      </w:r>
    </w:p>
    <w:p>
      <w:pPr>
        <w:spacing w:after="0"/>
        <w:ind w:firstLine="204"/>
        <w:jc w:val="both"/>
      </w:pPr>
      <w:r>
        <w:t>A piece P = (e₁, …, e_n) is a sequence of note events e_i = (t_i, p_i, d_i, v_i): onset time, MIDI pitch, duration, and velocity. An encoding φ maps each event to an item, a tuple of quantized features (Section III-B); the item set S(P) = ∪_i {φ(e_i)} discards order and repetition. For tolerance vector k = (k_pitch, k_bin, k_vel), the neighborhood N_k(x) of an item x is the set of items whose pitch differs by at most k_pitch semitones and whose duration, inter-onset interval (IOI), and velocity bins differ by at most k_bin and k_vel bins respectively. A planted copy of a span X is produced by transforming every event of X with one of the six families of Section IV; the declared screen tolerance k = (2, 1, 1) covers all families except transposition beyond ±2 semitones and transcription jitter beyond ±1 bin, which the interval-sketch index of Section III-B handles separately.</w:t>
      </w:r>
    </w:p>
    <w:p>
      <w:pPr>
        <w:spacing w:after="0"/>
        <w:ind w:firstLine="204"/>
        <w:jc w:val="both"/>
      </w:pPr>
      <w:r>
        <w:t>Problem. Given a corpus D = {P₁, …, P_N} and a query fragment q, return a ranked candidate list with per-candidate evidence such that (completeness) every piece that shares with q a copied span under the declared noise model appears in the list, and (soundness of evidence) every confirmed candidate carries a note-level alignment that a human adjudicator can check against a score. The two requirements pull in opposite directions: completeness favors permissive item-level matching, soundness favors strict structural comparison. The system's bet is that the two can be separated cleanly enough to prove the first and measure the second.</w:t>
      </w:r>
    </w:p>
    <w:p>
      <w:pPr>
        <w:pStyle w:val="Heading2"/>
      </w:pPr>
      <w:r>
        <w:t>B. Event encoding and index construction</w:t>
      </w:r>
    </w:p>
    <w:p>
      <w:pPr>
        <w:spacing w:after="0"/>
        <w:ind w:firstLine="204"/>
        <w:jc w:val="both"/>
      </w:pPr>
      <w:r>
        <w:t xml:space="preserve">Each piece is quantized onto a fixed grid (125 ms per bin at ticks-per-beat 8) and encoded per note as a four-dimensional item: pitch, duration bin, IOI bin, and velocity bin. A piece's item set is the set of distinct codes. Pop-music grid quantization is a deliberate information reduction: it is what makes the screen layer fast and its recall argument clean, and it is what the confirmation layer must overcome with structural information. An interval-sketch variant (pitch replaced by the chromatic interval to the next note) provides transposition invariance for retrieval of transposed material. </w:t>
      </w:r>
    </w:p>
    <w:p>
      <w:pPr>
        <w:spacing w:after="0"/>
        <w:ind w:firstLine="204"/>
        <w:jc w:val="both"/>
      </w:pPr>
      <w:r>
        <w:t>Items are remapped to gapless dense integer IDs per corpus revision, so that the inverted index consists of contiguous posting lists; this costs one sort of the vocabulary and pays off in cache behavior and in a compact Fenwick-based open-set bookkeeping at query time.</w:t>
      </w:r>
    </w:p>
    <w:p>
      <w:pPr>
        <w:spacing w:after="0"/>
        <w:ind w:firstLine="204"/>
        <w:jc w:val="both"/>
      </w:pPr>
      <w:r>
        <w:t>The corpus index is an inverted index from item to sorted piece-ID lists, built once in a linear pass (each piece contributes |S(P)| postings). Build time and memory grow linearly with corpus size (Fig. 3, Table I); incremental updates append postings for new pieces without rebuilding.</w:t>
      </w:r>
    </w:p>
    <w:p>
      <w:pPr>
        <w:pStyle w:val="Heading2"/>
      </w:pPr>
      <w:r>
        <w:t>C. L1: tolerant screening with a provable bound</w:t>
      </w:r>
    </w:p>
    <w:p>
      <w:pPr>
        <w:spacing w:after="0"/>
        <w:ind w:firstLine="204"/>
        <w:jc w:val="both"/>
      </w:pPr>
      <w:r>
        <w:t>A query is processed position by position in rare-first order; each position contributes +1 to every piece that contains any variant of the position's item within tolerance (pitch ±2 semitones, duration/IOI ±1 bin, velocity ±1 bin). Formally:</w:t>
      </w:r>
    </w:p>
    <w:p>
      <w:pPr>
        <w:spacing w:after="0"/>
        <w:ind w:firstLine="227"/>
        <w:jc w:val="both"/>
      </w:pPr>
      <w:r>
        <w:t>Theorem 1 (evidence lower bound). Let q have q positions, processed in any order, and let score_u(P) be piece P's tolerant score after u positions. For every piece P whose copied span deviates within tolerance at every position, score_u(P) + (q − u) ≥ score_q(P), and the open set O_u = {P : score_u(P) + (q − u) ≥ τ} is exactly the set of pieces that can still contain such a copy at threshold τ. Proof sketch: a tolerated deviation maps position i's item into N_k, so each position of a true copy contributes at least as much as a verbatim position; unprocessed positions can contribute at most one each. Hence a piece outside O_u cannot be a copy, and no piece inside O_u can be excluded yet. ∎</w:t>
      </w:r>
    </w:p>
    <w:p>
      <w:pPr>
        <w:spacing w:after="0"/>
        <w:ind w:firstLine="204"/>
        <w:jc w:val="both"/>
      </w:pPr>
      <w:r>
        <w:t>Two consequences matter operationally. First, the recall contract is auditable per query: measuring donor score ≥ bound on adversarial cells verifies it cell by cell (Section V-B). Second, the anytime contract is sound: after any budget prefix, the best partial answer plus O_u is a complete description of the search state, so interruption never loses a certified answer. Rare-first ordering greedily minimizes the growth of |O_u|, because a rare position eliminates, in expectation, the largest fraction of currently open pieces per unit of budget; Section V-C quantifies the resulting gap in the certified bound against hot-first processing.</w:t>
      </w:r>
    </w:p>
    <w:p>
      <w:pPr>
        <w:spacing w:after="0"/>
        <w:ind w:firstLine="204"/>
        <w:jc w:val="both"/>
      </w:pPr>
      <w:r>
        <w:t>Complexity. Index construction is O(Σ_P |S(P)|). A query touches, per position, the posting lists of all items in N_k, so query cost grows with the length of the evidence and with the vocabulary mass inside the query's tolerance neighborhood, and grows with corpus size only through longer posting lists; the open set is maintained in a Fenwick structure over piece IDs, giving O(log N) updates and an exact |O_u| readout after every position. Measured end to end, the index builds in 24.747 s and queries run at p50 = 41.94 ms on the full 174,300-piece corpus (Table I).</w:t>
      </w:r>
    </w:p>
    <w:p>
      <w:pPr>
        <w:pStyle w:val="Heading2"/>
      </w:pPr>
      <w:r>
        <w:t>D. L2/L3: re-ranking and structural confirmation</w:t>
      </w:r>
    </w:p>
    <w:p>
      <w:pPr>
        <w:spacing w:after="0"/>
        <w:ind w:firstLine="204"/>
        <w:jc w:val="both"/>
      </w:pPr>
      <w:r>
        <w:t xml:space="preserve">The screen is deliberately permissive; verbatim counts re-rank its survivors, and the top-C union of tolerant and verbatim rankings is passed to confirmation. Confirmation scores an ordered alignment: two notes match when all four features are within strict tolerance (pitch ±1 semitone, duration, IOI, and velocity in exact bins). The score is the longest chain of matches with both note order and candidate position strictly increasing — a longest-common-subsequence computation restricted to anchor pairs, not a heuristic local alignment. </w:t>
      </w:r>
    </w:p>
    <w:p>
      <w:pPr>
        <w:spacing w:after="0"/>
        <w:ind w:firstLine="204"/>
        <w:jc w:val="both"/>
      </w:pPr>
      <w:r>
        <w:t xml:space="preserve">Anchors are strict-tolerance matches; their j − i offsets are voted, and when the strict vote is inconclusive the interval-sketch offsets estimate the transposition, which is then removed by re-expressing the query in interval form and re-running confirmation once. </w:t>
      </w:r>
    </w:p>
    <w:p>
      <w:pPr>
        <w:spacing w:after="0"/>
        <w:ind w:firstLine="204"/>
        <w:jc w:val="both"/>
      </w:pPr>
      <w:r>
        <w:t>The dynamic program runs inside the anchor-constrained window, so its cost is O(W·m) for window W and m anchors, with a traceback that recovers the chain itself. A candidate is confirmed when the best chain reaches ρ times the query length. Algorithm 1 assembles the full pipeline.</w:t>
      </w:r>
    </w:p>
    <w:p>
      <w:pPr>
        <w:spacing w:after="0"/>
        <w:ind w:firstLine="283"/>
        <w:jc w:val="both"/>
      </w:pPr>
      <w:r>
        <w:t>The confirmed chain is itself the deliverable evidence: it maps note for note onto both scores, and together with the estimated transposition and the score trace it is what a publisher's adjudicator receives (Section VI-B). This design choice — evidence as a by-product of the decision procedure, not a post-hoc visualization — is what makes the false-positive rate of Section V-E interpretable: when confirmation fails, the misaligned chain shows why.</w:t>
      </w:r>
    </w:p>
    <w:tbl>
      <w:tblPr>
        <w:tblW w:type="auto" w:w="0"/>
        <w:jc w:val="center"/>
        <w:tblLook w:firstColumn="1" w:firstRow="1" w:lastColumn="0" w:lastRow="0" w:noHBand="0" w:noVBand="1" w:val="04A0"/>
      </w:tblPr>
      <w:tblGrid>
        <w:gridCol w:w="10368"/>
      </w:tblGrid>
      <w:tr>
        <w:trPr>
          <w:cantSplit/>
        </w:trPr>
        <w:tc>
          <w:tcPr>
            <w:tcW w:type="dxa" w:w="10368"/>
          </w:tcPr>
          <w:p>
            <w:pPr>
              <w:spacing w:after="0" w:before="0"/>
            </w:pPr>
            <w:r/>
            <w:r>
              <w:rPr>
                <w:rFonts w:ascii="Consolas" w:hAnsi="Consolas" w:eastAsia="Consolas"/>
                <w:sz w:val="14"/>
              </w:rPr>
              <w:t>Algorithm 1  Two-layer copy detection (query q,</w:t>
            </w:r>
            <w:r>
              <w:br/>
            </w:r>
            <w:r>
              <w:rPr>
                <w:rFonts w:ascii="Consolas" w:hAnsi="Consolas" w:eastAsia="Consolas"/>
                <w:sz w:val="14"/>
              </w:rPr>
              <w:t xml:space="preserve">    index I)</w:t>
            </w:r>
            <w:r>
              <w:br/>
            </w:r>
            <w:r>
              <w:rPr>
                <w:rFonts w:ascii="Consolas" w:hAnsi="Consolas" w:eastAsia="Consolas"/>
                <w:sz w:val="14"/>
              </w:rPr>
              <w:t>Input:  q = (e1..eq); inverted index I; k_screen =</w:t>
            </w:r>
            <w:r>
              <w:br/>
            </w:r>
            <w:r>
              <w:rPr>
                <w:rFonts w:ascii="Consolas" w:hAnsi="Consolas" w:eastAsia="Consolas"/>
                <w:sz w:val="14"/>
              </w:rPr>
              <w:t xml:space="preserve">    (2,1,1);</w:t>
            </w:r>
            <w:r>
              <w:br/>
            </w:r>
            <w:r>
              <w:rPr>
                <w:rFonts w:ascii="Consolas" w:hAnsi="Consolas" w:eastAsia="Consolas"/>
                <w:sz w:val="14"/>
              </w:rPr>
              <w:t xml:space="preserve">        k_confirm = (1,0,0); threshold tau;</w:t>
            </w:r>
            <w:r>
              <w:br/>
            </w:r>
            <w:r>
              <w:rPr>
                <w:rFonts w:ascii="Consolas" w:hAnsi="Consolas" w:eastAsia="Consolas"/>
                <w:sz w:val="14"/>
              </w:rPr>
              <w:t xml:space="preserve">    contiguity rho;</w:t>
            </w:r>
            <w:r>
              <w:br/>
            </w:r>
            <w:r>
              <w:rPr>
                <w:rFonts w:ascii="Consolas" w:hAnsi="Consolas" w:eastAsia="Consolas"/>
                <w:sz w:val="14"/>
              </w:rPr>
              <w:t xml:space="preserve">        top-C; budget B</w:t>
            </w:r>
            <w:r>
              <w:br/>
            </w:r>
            <w:r>
              <w:rPr>
                <w:rFonts w:ascii="Consolas" w:hAnsi="Consolas" w:eastAsia="Consolas"/>
                <w:sz w:val="14"/>
              </w:rPr>
              <w:t xml:space="preserve"> 1: order &lt;- positions of q sorted by</w:t>
            </w:r>
            <w:r>
              <w:br/>
            </w:r>
            <w:r>
              <w:rPr>
                <w:rFonts w:ascii="Consolas" w:hAnsi="Consolas" w:eastAsia="Consolas"/>
                <w:sz w:val="14"/>
              </w:rPr>
              <w:t xml:space="preserve">    |N_k(item_i)| ascending</w:t>
            </w:r>
            <w:r>
              <w:br/>
            </w:r>
            <w:r>
              <w:rPr>
                <w:rFonts w:ascii="Consolas" w:hAnsi="Consolas" w:eastAsia="Consolas"/>
                <w:sz w:val="14"/>
              </w:rPr>
              <w:t xml:space="preserve"> 2: score &lt;- {P: 0}; u &lt;- 0</w:t>
            </w:r>
            <w:r>
              <w:br/>
            </w:r>
            <w:r>
              <w:rPr>
                <w:rFonts w:ascii="Consolas" w:hAnsi="Consolas" w:eastAsia="Consolas"/>
                <w:sz w:val="14"/>
              </w:rPr>
              <w:t xml:space="preserve"> 3: while u &lt; q and budget(B) do</w:t>
            </w:r>
            <w:r>
              <w:br/>
            </w:r>
            <w:r>
              <w:rPr>
                <w:rFonts w:ascii="Consolas" w:hAnsi="Consolas" w:eastAsia="Consolas"/>
                <w:sz w:val="14"/>
              </w:rPr>
              <w:t xml:space="preserve"> 4:     for P in I[N_k(item_order[u])] do</w:t>
            </w:r>
            <w:r>
              <w:br/>
            </w:r>
            <w:r>
              <w:rPr>
                <w:rFonts w:ascii="Consolas" w:hAnsi="Consolas" w:eastAsia="Consolas"/>
                <w:sz w:val="14"/>
              </w:rPr>
              <w:t xml:space="preserve"> 5:         score[P] &lt;- score[P] + 1</w:t>
            </w:r>
            <w:r>
              <w:br/>
            </w:r>
            <w:r>
              <w:rPr>
                <w:rFonts w:ascii="Consolas" w:hAnsi="Consolas" w:eastAsia="Consolas"/>
                <w:sz w:val="14"/>
              </w:rPr>
              <w:t xml:space="preserve"> 6:     u &lt;- u + 1</w:t>
            </w:r>
            <w:r>
              <w:br/>
            </w:r>
            <w:r>
              <w:rPr>
                <w:rFonts w:ascii="Consolas" w:hAnsi="Consolas" w:eastAsia="Consolas"/>
                <w:sz w:val="14"/>
              </w:rPr>
              <w:t xml:space="preserve"> 7:     open &lt;- {P : score[P] + (q-u) &gt;= tau}   //</w:t>
            </w:r>
            <w:r>
              <w:br/>
            </w:r>
            <w:r>
              <w:rPr>
                <w:rFonts w:ascii="Consolas" w:hAnsi="Consolas" w:eastAsia="Consolas"/>
                <w:sz w:val="14"/>
              </w:rPr>
              <w:t xml:space="preserve">    Thm. 1</w:t>
            </w:r>
            <w:r>
              <w:br/>
            </w:r>
            <w:r>
              <w:rPr>
                <w:rFonts w:ascii="Consolas" w:hAnsi="Consolas" w:eastAsia="Consolas"/>
                <w:sz w:val="14"/>
              </w:rPr>
              <w:t xml:space="preserve"> 8: end while</w:t>
            </w:r>
            <w:r>
              <w:br/>
            </w:r>
            <w:r>
              <w:rPr>
                <w:rFonts w:ascii="Consolas" w:hAnsi="Consolas" w:eastAsia="Consolas"/>
                <w:sz w:val="14"/>
              </w:rPr>
              <w:t xml:space="preserve"> 9: C &lt;- top-C union of tolerant and verbatim</w:t>
            </w:r>
            <w:r>
              <w:br/>
            </w:r>
            <w:r>
              <w:rPr>
                <w:rFonts w:ascii="Consolas" w:hAnsi="Consolas" w:eastAsia="Consolas"/>
                <w:sz w:val="14"/>
              </w:rPr>
              <w:t xml:space="preserve">    rankings of open</w:t>
            </w:r>
            <w:r>
              <w:br/>
            </w:r>
            <w:r>
              <w:rPr>
                <w:rFonts w:ascii="Consolas" w:hAnsi="Consolas" w:eastAsia="Consolas"/>
                <w:sz w:val="14"/>
              </w:rPr>
              <w:t>10: for P in C do</w:t>
            </w:r>
            <w:r>
              <w:br/>
            </w:r>
            <w:r>
              <w:rPr>
                <w:rFonts w:ascii="Consolas" w:hAnsi="Consolas" w:eastAsia="Consolas"/>
                <w:sz w:val="14"/>
              </w:rPr>
              <w:t>11:     A &lt;- strict-anchor matches of q against P</w:t>
            </w:r>
            <w:r>
              <w:br/>
            </w:r>
            <w:r>
              <w:rPr>
                <w:rFonts w:ascii="Consolas" w:hAnsi="Consolas" w:eastAsia="Consolas"/>
                <w:sz w:val="14"/>
              </w:rPr>
              <w:t>12:     delta &lt;- modal offset (j - i) over A   //</w:t>
            </w:r>
            <w:r>
              <w:br/>
            </w:r>
            <w:r>
              <w:rPr>
                <w:rFonts w:ascii="Consolas" w:hAnsi="Consolas" w:eastAsia="Consolas"/>
                <w:sz w:val="14"/>
              </w:rPr>
              <w:t xml:space="preserve">    transposition</w:t>
            </w:r>
            <w:r>
              <w:br/>
            </w:r>
            <w:r>
              <w:rPr>
                <w:rFonts w:ascii="Consolas" w:hAnsi="Consolas" w:eastAsia="Consolas"/>
                <w:sz w:val="14"/>
              </w:rPr>
              <w:t>13:     if weak vote then delta &lt;- interval-sketch</w:t>
            </w:r>
            <w:r>
              <w:br/>
            </w:r>
            <w:r>
              <w:rPr>
                <w:rFonts w:ascii="Consolas" w:hAnsi="Consolas" w:eastAsia="Consolas"/>
                <w:sz w:val="14"/>
              </w:rPr>
              <w:t xml:space="preserve">    estimate</w:t>
            </w:r>
            <w:r>
              <w:br/>
            </w:r>
            <w:r>
              <w:rPr>
                <w:rFonts w:ascii="Consolas" w:hAnsi="Consolas" w:eastAsia="Consolas"/>
                <w:sz w:val="14"/>
              </w:rPr>
              <w:t>14:     chain &lt;- windowed LCS over A under offset</w:t>
            </w:r>
            <w:r>
              <w:br/>
            </w:r>
            <w:r>
              <w:rPr>
                <w:rFonts w:ascii="Consolas" w:hAnsi="Consolas" w:eastAsia="Consolas"/>
                <w:sz w:val="14"/>
              </w:rPr>
              <w:t xml:space="preserve">    delta</w:t>
            </w:r>
            <w:r>
              <w:br/>
            </w:r>
            <w:r>
              <w:rPr>
                <w:rFonts w:ascii="Consolas" w:hAnsi="Consolas" w:eastAsia="Consolas"/>
                <w:sz w:val="14"/>
              </w:rPr>
              <w:t>15:     if |chain| &gt;= rho * q then emit (P, chain,</w:t>
            </w:r>
            <w:r>
              <w:br/>
            </w:r>
            <w:r>
              <w:rPr>
                <w:rFonts w:ascii="Consolas" w:hAnsi="Consolas" w:eastAsia="Consolas"/>
                <w:sz w:val="14"/>
              </w:rPr>
              <w:t xml:space="preserve">    delta)</w:t>
            </w:r>
            <w:r>
              <w:br/>
            </w:r>
            <w:r>
              <w:rPr>
                <w:rFonts w:ascii="Consolas" w:hAnsi="Consolas" w:eastAsia="Consolas"/>
                <w:sz w:val="14"/>
              </w:rPr>
              <w:t>16: end for</w:t>
            </w:r>
          </w:p>
        </w:tc>
      </w:tr>
    </w:tbl>
    <w:p>
      <w:pPr>
        <w:spacing w:after="40"/>
      </w:pPr>
    </w:p>
    <w:p>
      <w:pPr>
        <w:pStyle w:val="Heading1"/>
      </w:pPr>
      <w:r>
        <w:t>IV. EXPERIMENTAL SETUP</w:t>
      </w:r>
    </w:p>
    <w:p>
      <w:pPr>
        <w:spacing w:after="0"/>
        <w:ind w:firstLine="204"/>
        <w:jc w:val="both"/>
      </w:pPr>
      <w:r>
        <w:t xml:space="preserve">Corpus. The Lakh MIDI dataset [7] (mirrored parquet export), up to 174,300 pieces encoded as item sets; the adversarial suite uses the first 3,000 pieces of shard 0. The GigaMIDI corpus [21] indicates that symbolic collections at the million-piece scale are now routine, which is the operating regime the screen layer is built for. </w:t>
      </w:r>
    </w:p>
    <w:p>
      <w:pPr>
        <w:spacing w:after="0"/>
        <w:ind w:firstLine="204"/>
        <w:jc w:val="both"/>
      </w:pPr>
      <w:r>
        <w:t xml:space="preserve">Planted copies. Spans of 2/4/8/16 seconds are extracted from donor pieces and subjected to six transformation families: verbatim, transposition (±1–6 semitones), tempo scale (1.05–1.20), note split/merge, re-instrumentation with voice dropping, and a transcription model combining onset jitter with note dropout. </w:t>
      </w:r>
    </w:p>
    <w:p>
      <w:pPr>
        <w:spacing w:after="0"/>
        <w:ind w:firstLine="204"/>
        <w:jc w:val="both"/>
      </w:pPr>
      <w:r>
        <w:t xml:space="preserve">Hard negatives. For each query, the 20 most style-similar corpus pieces by a duration-weighted pitch-class histogram are collected as a negative pool; pairs whose verbatim evidence against the whole donor exceeds 30 items are removed as true duplicates. Fragments whose extracted span, or whose encoded item set, contains fewer than 8 notes or items are skipped, so the valid-fragment count differs slightly between experiment generations (238 in screening, 236 in confirmation, 233 in the cascade suite). </w:t>
      </w:r>
    </w:p>
    <w:p>
      <w:pPr>
        <w:spacing w:after="0"/>
        <w:ind w:firstLine="204"/>
        <w:jc w:val="both"/>
      </w:pPr>
      <w:r>
        <w:t>Baselines. Set-Jaccard corpus scan, SIATEC-family pattern discovery [2], and n-gram Jaccard (Section V-A); FIM engines from our prior work [31], [32] serve as enumeration baselines. Both engines are independent of the present system—they enumerate patterns corpus-side, whereas the screen verifies containment query-side—and serve here solely as feasibility references.</w:t>
      </w:r>
    </w:p>
    <w:p>
      <w:pPr>
        <w:spacing w:after="0"/>
        <w:ind w:firstLine="204"/>
        <w:jc w:val="both"/>
      </w:pPr>
      <w:r>
        <w:t>Environment. All experiments run on a single commodity workstation (12th-generation Intel Core i9, 128 GB RAM) in pure Python 3.12 with NumPy; no GPU accelerates any stage, so all latencies are conservative CPU-only figures. Every experiment is scripted end to end: the released pipeline re-downloads the corpus shards, rebuilds the index, regenerates every table and figure, and reproduces the manuscript numbers from scratch.</w:t>
      </w:r>
    </w:p>
    <w:p>
      <w:pPr>
        <w:spacing w:after="0"/>
        <w:ind w:firstLine="204"/>
        <w:jc w:val="both"/>
      </w:pPr>
      <w:r>
        <w:t>Operating parameters. Table II summarizes the production configuration used unless a section states otherwise; the ablations of Section V-F justify each choice.</w:t>
      </w:r>
    </w:p>
    <w:p>
      <w:pPr>
        <w:pStyle w:val="TableTitle"/>
        <w:keepNext/>
      </w:pPr>
      <w:r>
        <w:t>TABLE II.</w:t>
      </w:r>
    </w:p>
    <w:p>
      <w:pPr>
        <w:pStyle w:val="TableTitle"/>
        <w:keepNext/>
      </w:pPr>
      <w:r>
        <w:t>Production operating parameters.</w:t>
      </w:r>
    </w:p>
    <w:tbl>
      <w:tblPr>
        <w:tblW w:type="auto" w:w="0"/>
        <w:jc w:val="center"/>
        <w:tblLayout w:type="autofit"/>
        <w:tblLook w:firstColumn="1" w:firstRow="1" w:lastColumn="0" w:lastRow="0" w:noHBand="0" w:noVBand="1" w:val="04A0"/>
      </w:tblPr>
      <w:tblGrid>
        <w:gridCol w:w="3456"/>
        <w:gridCol w:w="3456"/>
        <w:gridCol w:w="3456"/>
      </w:tblGrid>
      <w:tr>
        <w:trPr>
          <w:cantSplit/>
        </w:trPr>
        <w:tc>
          <w:tcPr>
            <w:tcW w:type="dxa" w:w="3456"/>
            <w:tcBorders>
              <w:top w:val="single" w:sz="12" w:color="000000"/>
              <w:bottom w:val="single" w:sz="6" w:color="000000"/>
            </w:tcBorders>
          </w:tcPr>
          <w:p>
            <w:pPr>
              <w:keepNext/>
              <w:jc w:val="left"/>
            </w:pPr>
            <w:r/>
            <w:r>
              <w:rPr>
                <w:rFonts w:ascii="Times New Roman" w:hAnsi="Times New Roman"/>
                <w:b/>
                <w:sz w:val="16"/>
              </w:rPr>
              <w:t>Parameter</w:t>
            </w:r>
          </w:p>
        </w:tc>
        <w:tc>
          <w:tcPr>
            <w:tcW w:type="dxa" w:w="3456"/>
            <w:tcBorders>
              <w:top w:val="single" w:sz="12" w:color="000000"/>
              <w:bottom w:val="single" w:sz="6" w:color="000000"/>
            </w:tcBorders>
          </w:tcPr>
          <w:p>
            <w:pPr>
              <w:keepNext/>
              <w:jc w:val="center"/>
            </w:pPr>
            <w:r/>
            <w:r>
              <w:rPr>
                <w:rFonts w:ascii="Times New Roman" w:hAnsi="Times New Roman"/>
                <w:b/>
                <w:sz w:val="16"/>
              </w:rPr>
              <w:t>Value</w:t>
            </w:r>
          </w:p>
        </w:tc>
        <w:tc>
          <w:tcPr>
            <w:tcW w:type="dxa" w:w="3456"/>
            <w:tcBorders>
              <w:top w:val="single" w:sz="12" w:color="000000"/>
              <w:bottom w:val="single" w:sz="6" w:color="000000"/>
            </w:tcBorders>
          </w:tcPr>
          <w:p>
            <w:pPr>
              <w:keepNext/>
              <w:jc w:val="center"/>
            </w:pPr>
            <w:r/>
            <w:r>
              <w:rPr>
                <w:rFonts w:ascii="Times New Roman" w:hAnsi="Times New Roman"/>
                <w:b/>
                <w:sz w:val="16"/>
              </w:rPr>
              <w:t>Role</w:t>
            </w:r>
          </w:p>
        </w:tc>
      </w:tr>
      <w:tr>
        <w:trPr>
          <w:cantSplit/>
        </w:trPr>
        <w:tc>
          <w:tcPr>
            <w:tcW w:type="dxa" w:w="3456"/>
          </w:tcPr>
          <w:p>
            <w:pPr>
              <w:keepNext/>
              <w:jc w:val="left"/>
            </w:pPr>
            <w:r/>
            <w:r>
              <w:rPr>
                <w:rFonts w:ascii="Times New Roman" w:hAnsi="Times New Roman"/>
                <w:b w:val="0"/>
                <w:sz w:val="16"/>
              </w:rPr>
              <w:t>Quantization grid</w:t>
            </w:r>
          </w:p>
        </w:tc>
        <w:tc>
          <w:tcPr>
            <w:tcW w:type="dxa" w:w="3456"/>
          </w:tcPr>
          <w:p>
            <w:pPr>
              <w:keepNext/>
              <w:jc w:val="center"/>
            </w:pPr>
            <w:r/>
            <w:r>
              <w:rPr>
                <w:rFonts w:ascii="Times New Roman" w:hAnsi="Times New Roman"/>
                <w:b w:val="0"/>
                <w:sz w:val="16"/>
              </w:rPr>
              <w:t>125 ms (tpb = 8)</w:t>
            </w:r>
          </w:p>
        </w:tc>
        <w:tc>
          <w:tcPr>
            <w:tcW w:type="dxa" w:w="3456"/>
          </w:tcPr>
          <w:p>
            <w:pPr>
              <w:keepNext/>
              <w:jc w:val="center"/>
            </w:pPr>
            <w:r/>
            <w:r>
              <w:rPr>
                <w:rFonts w:ascii="Times New Roman" w:hAnsi="Times New Roman"/>
                <w:b w:val="0"/>
                <w:sz w:val="16"/>
              </w:rPr>
              <w:t>event-encoding bin for all four features</w:t>
            </w:r>
          </w:p>
        </w:tc>
      </w:tr>
      <w:tr>
        <w:trPr>
          <w:cantSplit/>
        </w:trPr>
        <w:tc>
          <w:tcPr>
            <w:tcW w:type="dxa" w:w="3456"/>
          </w:tcPr>
          <w:p>
            <w:pPr>
              <w:keepNext/>
              <w:jc w:val="left"/>
            </w:pPr>
            <w:r/>
            <w:r>
              <w:rPr>
                <w:rFonts w:ascii="Times New Roman" w:hAnsi="Times New Roman"/>
                <w:b w:val="0"/>
                <w:sz w:val="16"/>
              </w:rPr>
              <w:t>Screen tolerance k</w:t>
            </w:r>
          </w:p>
        </w:tc>
        <w:tc>
          <w:tcPr>
            <w:tcW w:type="dxa" w:w="3456"/>
          </w:tcPr>
          <w:p>
            <w:pPr>
              <w:keepNext/>
              <w:jc w:val="center"/>
            </w:pPr>
            <w:r/>
            <w:r>
              <w:rPr>
                <w:rFonts w:ascii="Times New Roman" w:hAnsi="Times New Roman"/>
                <w:b w:val="0"/>
                <w:sz w:val="16"/>
              </w:rPr>
              <w:t>(2, 1, 1)</w:t>
            </w:r>
          </w:p>
        </w:tc>
        <w:tc>
          <w:tcPr>
            <w:tcW w:type="dxa" w:w="3456"/>
          </w:tcPr>
          <w:p>
            <w:pPr>
              <w:keepNext/>
              <w:jc w:val="center"/>
            </w:pPr>
            <w:r/>
            <w:r>
              <w:rPr>
                <w:rFonts w:ascii="Times New Roman" w:hAnsi="Times New Roman"/>
                <w:b w:val="0"/>
                <w:sz w:val="16"/>
              </w:rPr>
              <w:t>pitch ±2 st; duration/IOI ±1 bin; velocity ±1 bin</w:t>
            </w:r>
          </w:p>
        </w:tc>
      </w:tr>
      <w:tr>
        <w:trPr>
          <w:cantSplit/>
        </w:trPr>
        <w:tc>
          <w:tcPr>
            <w:tcW w:type="dxa" w:w="3456"/>
          </w:tcPr>
          <w:p>
            <w:pPr>
              <w:keepNext/>
              <w:jc w:val="left"/>
            </w:pPr>
            <w:r/>
            <w:r>
              <w:rPr>
                <w:rFonts w:ascii="Times New Roman" w:hAnsi="Times New Roman"/>
                <w:b w:val="0"/>
                <w:sz w:val="16"/>
              </w:rPr>
              <w:t>Evidence threshold τ</w:t>
            </w:r>
          </w:p>
        </w:tc>
        <w:tc>
          <w:tcPr>
            <w:tcW w:type="dxa" w:w="3456"/>
          </w:tcPr>
          <w:p>
            <w:pPr>
              <w:keepNext/>
              <w:jc w:val="center"/>
            </w:pPr>
            <w:r/>
            <w:r>
              <w:rPr>
                <w:rFonts w:ascii="Times New Roman" w:hAnsi="Times New Roman"/>
                <w:b w:val="0"/>
                <w:sz w:val="16"/>
              </w:rPr>
              <w:t>⌊0.5·|S(q)|⌋</w:t>
            </w:r>
          </w:p>
        </w:tc>
        <w:tc>
          <w:tcPr>
            <w:tcW w:type="dxa" w:w="3456"/>
          </w:tcPr>
          <w:p>
            <w:pPr>
              <w:keepNext/>
              <w:jc w:val="center"/>
            </w:pPr>
            <w:r/>
            <w:r>
              <w:rPr>
                <w:rFonts w:ascii="Times New Roman" w:hAnsi="Times New Roman"/>
                <w:b w:val="0"/>
                <w:sz w:val="16"/>
              </w:rPr>
              <w:t>screen acceptance per query</w:t>
            </w:r>
          </w:p>
        </w:tc>
      </w:tr>
      <w:tr>
        <w:trPr>
          <w:cantSplit/>
        </w:trPr>
        <w:tc>
          <w:tcPr>
            <w:tcW w:type="dxa" w:w="3456"/>
          </w:tcPr>
          <w:p>
            <w:pPr>
              <w:keepNext/>
              <w:jc w:val="left"/>
            </w:pPr>
            <w:r/>
            <w:r>
              <w:rPr>
                <w:rFonts w:ascii="Times New Roman" w:hAnsi="Times New Roman"/>
                <w:b w:val="0"/>
                <w:sz w:val="16"/>
              </w:rPr>
              <w:t>Confirm tolerance</w:t>
            </w:r>
          </w:p>
        </w:tc>
        <w:tc>
          <w:tcPr>
            <w:tcW w:type="dxa" w:w="3456"/>
          </w:tcPr>
          <w:p>
            <w:pPr>
              <w:keepNext/>
              <w:jc w:val="center"/>
            </w:pPr>
            <w:r/>
            <w:r>
              <w:rPr>
                <w:rFonts w:ascii="Times New Roman" w:hAnsi="Times New Roman"/>
                <w:b w:val="0"/>
                <w:sz w:val="16"/>
              </w:rPr>
              <w:t>(1, 0, 0)</w:t>
            </w:r>
          </w:p>
        </w:tc>
        <w:tc>
          <w:tcPr>
            <w:tcW w:type="dxa" w:w="3456"/>
          </w:tcPr>
          <w:p>
            <w:pPr>
              <w:keepNext/>
              <w:jc w:val="center"/>
            </w:pPr>
            <w:r/>
            <w:r>
              <w:rPr>
                <w:rFonts w:ascii="Times New Roman" w:hAnsi="Times New Roman"/>
                <w:b w:val="0"/>
                <w:sz w:val="16"/>
              </w:rPr>
              <w:t>pitch ±1 st; duration/IOI/velocity exact bins</w:t>
            </w:r>
          </w:p>
        </w:tc>
      </w:tr>
      <w:tr>
        <w:trPr>
          <w:cantSplit/>
        </w:trPr>
        <w:tc>
          <w:tcPr>
            <w:tcW w:type="dxa" w:w="3456"/>
          </w:tcPr>
          <w:p>
            <w:pPr>
              <w:keepNext/>
              <w:jc w:val="left"/>
            </w:pPr>
            <w:r/>
            <w:r>
              <w:rPr>
                <w:rFonts w:ascii="Times New Roman" w:hAnsi="Times New Roman"/>
                <w:b w:val="0"/>
                <w:sz w:val="16"/>
              </w:rPr>
              <w:t>Contiguity ρ</w:t>
            </w:r>
          </w:p>
        </w:tc>
        <w:tc>
          <w:tcPr>
            <w:tcW w:type="dxa" w:w="3456"/>
          </w:tcPr>
          <w:p>
            <w:pPr>
              <w:keepNext/>
              <w:jc w:val="center"/>
            </w:pPr>
            <w:r/>
            <w:r>
              <w:rPr>
                <w:rFonts w:ascii="Times New Roman" w:hAnsi="Times New Roman"/>
                <w:b w:val="0"/>
                <w:sz w:val="16"/>
              </w:rPr>
              <w:t>0.5 (0.4 high-recall)</w:t>
            </w:r>
          </w:p>
        </w:tc>
        <w:tc>
          <w:tcPr>
            <w:tcW w:type="dxa" w:w="3456"/>
          </w:tcPr>
          <w:p>
            <w:pPr>
              <w:keepNext/>
              <w:jc w:val="center"/>
            </w:pPr>
            <w:r/>
            <w:r>
              <w:rPr>
                <w:rFonts w:ascii="Times New Roman" w:hAnsi="Times New Roman"/>
                <w:b w:val="0"/>
                <w:sz w:val="16"/>
              </w:rPr>
              <w:t>confirmation acceptance, |chain| ≥ ρ·q</w:t>
            </w:r>
          </w:p>
        </w:tc>
      </w:tr>
      <w:tr>
        <w:trPr>
          <w:cantSplit/>
        </w:trPr>
        <w:tc>
          <w:tcPr>
            <w:tcW w:type="dxa" w:w="3456"/>
          </w:tcPr>
          <w:p>
            <w:pPr>
              <w:keepNext/>
              <w:jc w:val="left"/>
            </w:pPr>
            <w:r/>
            <w:r>
              <w:rPr>
                <w:rFonts w:ascii="Times New Roman" w:hAnsi="Times New Roman"/>
                <w:b w:val="0"/>
                <w:sz w:val="16"/>
              </w:rPr>
              <w:t>Top-C</w:t>
            </w:r>
          </w:p>
        </w:tc>
        <w:tc>
          <w:tcPr>
            <w:tcW w:type="dxa" w:w="3456"/>
          </w:tcPr>
          <w:p>
            <w:pPr>
              <w:keepNext/>
              <w:jc w:val="center"/>
            </w:pPr>
            <w:r/>
            <w:r>
              <w:rPr>
                <w:rFonts w:ascii="Times New Roman" w:hAnsi="Times New Roman"/>
                <w:b w:val="0"/>
                <w:sz w:val="16"/>
              </w:rPr>
              <w:t>50 (20 ablated)</w:t>
            </w:r>
          </w:p>
        </w:tc>
        <w:tc>
          <w:tcPr>
            <w:tcW w:type="dxa" w:w="3456"/>
          </w:tcPr>
          <w:p>
            <w:pPr>
              <w:keepNext/>
              <w:jc w:val="center"/>
            </w:pPr>
            <w:r/>
            <w:r>
              <w:rPr>
                <w:rFonts w:ascii="Times New Roman" w:hAnsi="Times New Roman"/>
                <w:b w:val="0"/>
                <w:sz w:val="16"/>
              </w:rPr>
              <w:t>candidate feed to confirmation</w:t>
            </w:r>
          </w:p>
        </w:tc>
      </w:tr>
      <w:tr>
        <w:trPr>
          <w:cantSplit/>
        </w:trPr>
        <w:tc>
          <w:tcPr>
            <w:tcW w:type="dxa" w:w="3456"/>
            <w:tcBorders>
              <w:bottom w:val="single" w:sz="12" w:color="000000"/>
            </w:tcBorders>
          </w:tcPr>
          <w:p>
            <w:pPr>
              <w:jc w:val="left"/>
            </w:pPr>
            <w:r/>
            <w:r>
              <w:rPr>
                <w:rFonts w:ascii="Times New Roman" w:hAnsi="Times New Roman"/>
                <w:b w:val="0"/>
                <w:sz w:val="16"/>
              </w:rPr>
              <w:t>Anytime budget B</w:t>
            </w:r>
          </w:p>
        </w:tc>
        <w:tc>
          <w:tcPr>
            <w:tcW w:type="dxa" w:w="3456"/>
            <w:tcBorders>
              <w:bottom w:val="single" w:sz="12" w:color="000000"/>
            </w:tcBorders>
          </w:tcPr>
          <w:p>
            <w:pPr>
              <w:jc w:val="center"/>
            </w:pPr>
            <w:r/>
            <w:r>
              <w:rPr>
                <w:rFonts w:ascii="Times New Roman" w:hAnsi="Times New Roman"/>
                <w:b w:val="0"/>
                <w:sz w:val="16"/>
              </w:rPr>
              <w:t>full (half ablated)</w:t>
            </w:r>
          </w:p>
        </w:tc>
        <w:tc>
          <w:tcPr>
            <w:tcW w:type="dxa" w:w="3456"/>
            <w:tcBorders>
              <w:bottom w:val="single" w:sz="12" w:color="000000"/>
            </w:tcBorders>
          </w:tcPr>
          <w:p>
            <w:pPr>
              <w:jc w:val="center"/>
            </w:pPr>
            <w:r/>
            <w:r>
              <w:rPr>
                <w:rFonts w:ascii="Times New Roman" w:hAnsi="Times New Roman"/>
                <w:b w:val="0"/>
                <w:sz w:val="16"/>
              </w:rPr>
              <w:t>rare-first schedule length</w:t>
            </w:r>
          </w:p>
        </w:tc>
      </w:tr>
    </w:tbl>
    <w:p>
      <w:pPr>
        <w:spacing w:after="40"/>
      </w:pPr>
    </w:p>
    <w:p>
      <w:pPr>
        <w:pStyle w:val="Heading1"/>
      </w:pPr>
      <w:r>
        <w:t>V. RESULTS</w:t>
      </w:r>
    </w:p>
    <w:p>
      <w:pPr>
        <w:pStyle w:val="Heading2"/>
      </w:pPr>
      <w:r>
        <w:t>A. Scale and baseline feasibility</w:t>
      </w:r>
    </w:p>
    <w:p>
      <w:pPr>
        <w:spacing w:after="0"/>
        <w:ind w:firstLine="204"/>
        <w:jc w:val="both"/>
      </w:pPr>
      <w:r>
        <w:t>Fig. 3 reports scaling on subsampled corpora and Table I gives the corresponding numbers. Index build reaches 24.747 s at 174,300 pieces and query latency 41.94 ms (p50), with planted recall 100% at every size. The set-Jaccard scan, the strongest naive baseline, is already 20× slower than the screen at 10k pieces (238 ms vs. 12 ms p50) and infeasible beyond it. MinHash-LSH (128 permutations, 16 bands x 8 rows), the standard accelerated form of the same set-Jaccard semantics, scales gracefully in isolation—173 s of signature construction plus 91 s of bucket building, 587 MB, 6 ms p50 at 174,300 pieces—yet retrieves none of the planted donors at any corpus size (0/47 at tau = 0.10; identical at tau = 0.05 and 0.20): the S-curve of the band configuration activates only above Jaccard ~0.7, while a contained span of 40 items inside a ~700-item query reaches Jaccard ~0.1 at best, so the index answers every query with an empty candidate set. Section V-G analyses this geometry directly on the recall-matrix protocol. Corpus-side FIM enumeration—the engines of our previous work [31], [32]—was measured infeasible at the support levels copying detection requires (over 11 million frequent pairs at N=300 under the standard cutoff), which is precisely why the architecture places FIM semantics on the query side.</w:t>
      </w:r>
    </w:p>
    <w:p>
      <w:pPr>
        <w:keepNext/>
        <w:jc w:val="center"/>
      </w:pPr>
      <w:drawing xmlns:a="http://schemas.openxmlformats.org/drawingml/2006/main" xmlns:pic="http://schemas.openxmlformats.org/drawingml/2006/picture">
        <wp:inline distT="0" distB="0" distL="0" distR="0">
          <wp:extent cx="2880000" cy="2382981"/>
          <wp:effectExtent l="0" t="0" r="0" b="0"/>
          <wp:docPr id="103" name="fig2_scaling.emf"/>
          <wp:cNvGraphicFramePr/>
          <a:graphic>
            <a:graphicData uri="http://schemas.openxmlformats.org/drawingml/2006/picture">
              <pic:pic>
                <pic:nvPicPr>
                  <pic:cNvPr id="0" name="fig2_scaling.emf"/>
                  <pic:cNvPicPr/>
                </pic:nvPicPr>
                <pic:blipFill>
                  <a:blip r:embed="rId35"/>
                  <a:stretch>
                    <a:fillRect/>
                  </a:stretch>
                </pic:blipFill>
                <pic:spPr>
                  <a:xfrm>
                    <a:off x="0" y="0"/>
                    <a:ext cx="2880000" cy="2382981"/>
                  </a:xfrm>
                  <a:prstGeom prst="rect">
                    <a:avLst/>
                  </a:prstGeom>
                </pic:spPr>
              </pic:pic>
            </a:graphicData>
          </a:graphic>
        </wp:inline>
      </w:drawing>
    </w:p>
    <w:p>
      <w:pPr>
        <w:pStyle w:val="FigureCaption"/>
      </w:pPr>
      <w:r>
        <w:rPr>
          <w:sz w:val="19"/>
        </w:rPr>
        <w:t>Fig. 3. Index build and query latency versus corpus size (log-log); planted recall 100% at all sizes; Jaccard scan baseline shown where feasible; MinHash-LSH is fast at every size yet retrieves nothing (Section V-G).</w:t>
      </w:r>
    </w:p>
    <w:p>
      <w:p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pStyle w:val="TableTitle"/>
        <w:keepNext/>
      </w:pPr>
      <w:r>
        <w:t>TABLE I.</w:t>
      </w:r>
    </w:p>
    <w:p>
      <w:pPr>
        <w:pStyle w:val="TableTitle"/>
        <w:keepNext/>
      </w:pPr>
      <w:r>
        <w:t>Index scaling and baseline feasibility; Jaccard scan infeasible beyond 10,000 pieces; MinHash-LSH (128 permutations, 16 bands x 8 rows, tau = 0.10) returns empty candidate sets at every size.</w:t>
      </w:r>
    </w:p>
    <w:tbl>
      <w:tblPr>
        <w:tblW w:type="auto" w:w="0"/>
        <w:jc w:val="center"/>
        <w:tblLayout w:type="autofit"/>
        <w:tblLook w:firstColumn="1" w:firstRow="1" w:lastColumn="0" w:lastRow="0" w:noHBand="0" w:noVBand="1" w:val="04A0"/>
      </w:tblPr>
      <w:tblGrid>
        <w:gridCol w:w="1152"/>
        <w:gridCol w:w="1152"/>
        <w:gridCol w:w="1152"/>
        <w:gridCol w:w="1152"/>
        <w:gridCol w:w="1152"/>
        <w:gridCol w:w="1152"/>
        <w:gridCol w:w="1152"/>
        <w:gridCol w:w="1152"/>
        <w:gridCol w:w="1152"/>
      </w:tblGrid>
      <w:tr>
        <w:trPr>
          <w:cantSplit/>
        </w:trPr>
        <w:tc>
          <w:tcPr>
            <w:tcW w:type="dxa" w:w="1152"/>
            <w:tcBorders>
              <w:top w:val="single" w:sz="12" w:color="000000"/>
              <w:bottom w:val="single" w:sz="6" w:color="000000"/>
            </w:tcBorders>
          </w:tcPr>
          <w:p>
            <w:pPr>
              <w:keepNext/>
              <w:jc w:val="left"/>
            </w:pPr>
            <w:r/>
            <w:r>
              <w:rPr>
                <w:rFonts w:ascii="Times New Roman" w:hAnsi="Times New Roman"/>
                <w:b/>
                <w:sz w:val="16"/>
              </w:rPr>
              <w:t>Pieces</w:t>
            </w:r>
          </w:p>
        </w:tc>
        <w:tc>
          <w:tcPr>
            <w:tcW w:type="dxa" w:w="1152"/>
            <w:tcBorders>
              <w:top w:val="single" w:sz="12" w:color="000000"/>
              <w:bottom w:val="single" w:sz="6" w:color="000000"/>
            </w:tcBorders>
          </w:tcPr>
          <w:p>
            <w:pPr>
              <w:keepNext/>
              <w:jc w:val="center"/>
            </w:pPr>
            <w:r/>
            <w:r>
              <w:rPr>
                <w:rFonts w:ascii="Times New Roman" w:hAnsi="Times New Roman"/>
                <w:b/>
                <w:sz w:val="16"/>
              </w:rPr>
              <w:t>Build (s)</w:t>
            </w:r>
          </w:p>
        </w:tc>
        <w:tc>
          <w:tcPr>
            <w:tcW w:type="dxa" w:w="1152"/>
            <w:tcBorders>
              <w:top w:val="single" w:sz="12" w:color="000000"/>
              <w:bottom w:val="single" w:sz="6" w:color="000000"/>
            </w:tcBorders>
          </w:tcPr>
          <w:p>
            <w:pPr>
              <w:keepNext/>
              <w:jc w:val="center"/>
            </w:pPr>
            <w:r/>
            <w:r>
              <w:rPr>
                <w:rFonts w:ascii="Times New Roman" w:hAnsi="Times New Roman"/>
                <w:b/>
                <w:sz w:val="16"/>
              </w:rPr>
              <w:t>Mem (MB)</w:t>
            </w:r>
          </w:p>
        </w:tc>
        <w:tc>
          <w:tcPr>
            <w:tcW w:type="dxa" w:w="1152"/>
            <w:tcBorders>
              <w:top w:val="single" w:sz="12" w:color="000000"/>
              <w:bottom w:val="single" w:sz="6" w:color="000000"/>
            </w:tcBorders>
          </w:tcPr>
          <w:p>
            <w:pPr>
              <w:keepNext/>
              <w:jc w:val="center"/>
            </w:pPr>
            <w:r/>
            <w:r>
              <w:rPr>
                <w:rFonts w:ascii="Times New Roman" w:hAnsi="Times New Roman"/>
                <w:b/>
                <w:sz w:val="16"/>
              </w:rPr>
              <w:t>p50 (ms)</w:t>
            </w:r>
          </w:p>
        </w:tc>
        <w:tc>
          <w:tcPr>
            <w:tcW w:type="dxa" w:w="1152"/>
            <w:tcBorders>
              <w:top w:val="single" w:sz="12" w:color="000000"/>
              <w:bottom w:val="single" w:sz="6" w:color="000000"/>
            </w:tcBorders>
          </w:tcPr>
          <w:p>
            <w:pPr>
              <w:keepNext/>
              <w:jc w:val="center"/>
            </w:pPr>
            <w:r/>
            <w:r>
              <w:rPr>
                <w:rFonts w:ascii="Times New Roman" w:hAnsi="Times New Roman"/>
                <w:b/>
                <w:sz w:val="16"/>
              </w:rPr>
              <w:t>p95 (ms)</w:t>
            </w:r>
          </w:p>
        </w:tc>
        <w:tc>
          <w:tcPr>
            <w:tcW w:type="dxa" w:w="1152"/>
            <w:tcBorders>
              <w:top w:val="single" w:sz="12" w:color="000000"/>
              <w:bottom w:val="single" w:sz="6" w:color="000000"/>
            </w:tcBorders>
          </w:tcPr>
          <w:p>
            <w:pPr>
              <w:keepNext/>
              <w:jc w:val="center"/>
            </w:pPr>
            <w:r/>
            <w:r>
              <w:rPr>
                <w:rFonts w:ascii="Times New Roman" w:hAnsi="Times New Roman"/>
                <w:b/>
                <w:sz w:val="16"/>
              </w:rPr>
              <w:t>Planted recall</w:t>
            </w:r>
          </w:p>
        </w:tc>
        <w:tc>
          <w:tcPr>
            <w:tcW w:type="dxa" w:w="1152"/>
            <w:tcBorders>
              <w:top w:val="single" w:sz="12" w:color="000000"/>
              <w:bottom w:val="single" w:sz="6" w:color="000000"/>
            </w:tcBorders>
          </w:tcPr>
          <w:p>
            <w:pPr>
              <w:keepNext/>
              <w:jc w:val="center"/>
            </w:pPr>
            <w:r/>
            <w:r>
              <w:rPr>
                <w:rFonts w:ascii="Times New Roman" w:hAnsi="Times New Roman"/>
                <w:b/>
                <w:sz w:val="16"/>
              </w:rPr>
              <w:t>Jaccard p50 (ms)</w:t>
            </w:r>
          </w:p>
        </w:tc>
        <w:tc>
          <w:tcPr>
            <w:tcW w:type="dxa" w:w="1152"/>
            <w:tcBorders>
              <w:top w:val="single" w:sz="12" w:color="000000"/>
              <w:bottom w:val="single" w:sz="6" w:color="000000"/>
            </w:tcBorders>
          </w:tcPr>
          <w:p>
            <w:pPr>
              <w:keepNext/>
              <w:jc w:val="center"/>
            </w:pPr>
            <w:r/>
            <w:r>
              <w:rPr>
                <w:rFonts w:ascii="Times New Roman" w:hAnsi="Times New Roman"/>
                <w:b/>
                <w:sz w:val="16"/>
              </w:rPr>
              <w:t>LSH p50 (ms)</w:t>
            </w:r>
          </w:p>
        </w:tc>
        <w:tc>
          <w:tcPr>
            <w:tcW w:type="dxa" w:w="1152"/>
            <w:tcBorders>
              <w:top w:val="single" w:sz="12" w:color="000000"/>
              <w:bottom w:val="single" w:sz="6" w:color="000000"/>
            </w:tcBorders>
          </w:tcPr>
          <w:p>
            <w:pPr>
              <w:keepNext/>
              <w:jc w:val="center"/>
            </w:pPr>
            <w:r/>
            <w:r>
              <w:rPr>
                <w:rFonts w:ascii="Times New Roman" w:hAnsi="Times New Roman"/>
                <w:b/>
                <w:sz w:val="16"/>
              </w:rPr>
              <w:t>LSH recall</w:t>
            </w:r>
          </w:p>
        </w:tc>
      </w:tr>
      <w:tr>
        <w:trPr>
          <w:cantSplit/>
        </w:trPr>
        <w:tc>
          <w:tcPr>
            <w:tcW w:type="dxa" w:w="1152"/>
          </w:tcPr>
          <w:p>
            <w:pPr>
              <w:keepNext/>
              <w:jc w:val="left"/>
            </w:pPr>
            <w:r/>
            <w:r>
              <w:rPr>
                <w:rFonts w:ascii="Times New Roman" w:hAnsi="Times New Roman"/>
                <w:b w:val="0"/>
                <w:sz w:val="16"/>
              </w:rPr>
              <w:t>1,000</w:t>
            </w:r>
          </w:p>
        </w:tc>
        <w:tc>
          <w:tcPr>
            <w:tcW w:type="dxa" w:w="1152"/>
          </w:tcPr>
          <w:p>
            <w:pPr>
              <w:keepNext/>
              <w:jc w:val="center"/>
            </w:pPr>
            <w:r/>
            <w:r>
              <w:rPr>
                <w:rFonts w:ascii="Times New Roman" w:hAnsi="Times New Roman"/>
                <w:b w:val="0"/>
                <w:sz w:val="16"/>
              </w:rPr>
              <w:t>0.38</w:t>
            </w:r>
          </w:p>
        </w:tc>
        <w:tc>
          <w:tcPr>
            <w:tcW w:type="dxa" w:w="1152"/>
          </w:tcPr>
          <w:p>
            <w:pPr>
              <w:keepNext/>
              <w:jc w:val="center"/>
            </w:pPr>
            <w:r/>
            <w:r>
              <w:rPr>
                <w:rFonts w:ascii="Times New Roman" w:hAnsi="Times New Roman"/>
                <w:b w:val="0"/>
                <w:sz w:val="16"/>
              </w:rPr>
              <w:t>15</w:t>
            </w:r>
          </w:p>
        </w:tc>
        <w:tc>
          <w:tcPr>
            <w:tcW w:type="dxa" w:w="1152"/>
          </w:tcPr>
          <w:p>
            <w:pPr>
              <w:keepNext/>
              <w:jc w:val="center"/>
            </w:pPr>
            <w:r/>
            <w:r>
              <w:rPr>
                <w:rFonts w:ascii="Times New Roman" w:hAnsi="Times New Roman"/>
                <w:b w:val="0"/>
                <w:sz w:val="16"/>
              </w:rPr>
              <w:t>0.0</w:t>
            </w:r>
          </w:p>
        </w:tc>
        <w:tc>
          <w:tcPr>
            <w:tcW w:type="dxa" w:w="1152"/>
          </w:tcPr>
          <w:p>
            <w:pPr>
              <w:keepNext/>
              <w:jc w:val="center"/>
            </w:pPr>
            <w:r/>
            <w:r>
              <w:rPr>
                <w:rFonts w:ascii="Times New Roman" w:hAnsi="Times New Roman"/>
                <w:b w:val="0"/>
                <w:sz w:val="16"/>
              </w:rPr>
              <w:t>1.0</w:t>
            </w:r>
          </w:p>
        </w:tc>
        <w:tc>
          <w:tcPr>
            <w:tcW w:type="dxa" w:w="1152"/>
          </w:tcPr>
          <w:p>
            <w:pPr>
              <w:keepNext/>
              <w:jc w:val="center"/>
            </w:pPr>
            <w:r/>
            <w:r>
              <w:rPr>
                <w:rFonts w:ascii="Times New Roman" w:hAnsi="Times New Roman"/>
                <w:b w:val="0"/>
                <w:sz w:val="16"/>
              </w:rPr>
              <w:t>47/47</w:t>
            </w:r>
          </w:p>
        </w:tc>
        <w:tc>
          <w:tcPr>
            <w:tcW w:type="dxa" w:w="1152"/>
          </w:tcPr>
          <w:p>
            <w:pPr>
              <w:keepNext/>
              <w:jc w:val="center"/>
            </w:pPr>
            <w:r/>
            <w:r>
              <w:rPr>
                <w:rFonts w:ascii="Times New Roman" w:hAnsi="Times New Roman"/>
                <w:b w:val="0"/>
                <w:sz w:val="16"/>
              </w:rPr>
              <w:t>5</w:t>
            </w:r>
          </w:p>
        </w:tc>
        <w:tc>
          <w:tcPr>
            <w:tcW w:type="dxa" w:w="1152"/>
          </w:tcPr>
          <w:p>
            <w:pPr>
              <w:keepNext/>
              <w:jc w:val="center"/>
            </w:pPr>
            <w:r/>
            <w:r>
              <w:rPr>
                <w:rFonts w:ascii="Times New Roman" w:hAnsi="Times New Roman"/>
                <w:b w:val="0"/>
                <w:sz w:val="16"/>
              </w:rPr>
              <w:t>1.0</w:t>
            </w:r>
          </w:p>
        </w:tc>
        <w:tc>
          <w:tcPr>
            <w:tcW w:type="dxa" w:w="1152"/>
          </w:tcPr>
          <w:p>
            <w:pPr>
              <w:keepNext/>
              <w:jc w:val="center"/>
            </w:pPr>
            <w:r/>
            <w:r>
              <w:rPr>
                <w:rFonts w:ascii="Times New Roman" w:hAnsi="Times New Roman"/>
                <w:b w:val="0"/>
                <w:sz w:val="16"/>
              </w:rPr>
              <w:t>0/46</w:t>
            </w:r>
          </w:p>
        </w:tc>
      </w:tr>
      <w:tr>
        <w:trPr>
          <w:cantSplit/>
        </w:trPr>
        <w:tc>
          <w:tcPr>
            <w:tcW w:type="dxa" w:w="1152"/>
          </w:tcPr>
          <w:p>
            <w:pPr>
              <w:keepNext/>
              <w:jc w:val="left"/>
            </w:pPr>
            <w:r/>
            <w:r>
              <w:rPr>
                <w:rFonts w:ascii="Times New Roman" w:hAnsi="Times New Roman"/>
                <w:b w:val="0"/>
                <w:sz w:val="16"/>
              </w:rPr>
              <w:t>3,000</w:t>
            </w:r>
          </w:p>
        </w:tc>
        <w:tc>
          <w:tcPr>
            <w:tcW w:type="dxa" w:w="1152"/>
          </w:tcPr>
          <w:p>
            <w:pPr>
              <w:keepNext/>
              <w:jc w:val="center"/>
            </w:pPr>
            <w:r/>
            <w:r>
              <w:rPr>
                <w:rFonts w:ascii="Times New Roman" w:hAnsi="Times New Roman"/>
                <w:b w:val="0"/>
                <w:sz w:val="16"/>
              </w:rPr>
              <w:t>0.71</w:t>
            </w:r>
          </w:p>
        </w:tc>
        <w:tc>
          <w:tcPr>
            <w:tcW w:type="dxa" w:w="1152"/>
          </w:tcPr>
          <w:p>
            <w:pPr>
              <w:keepNext/>
              <w:jc w:val="center"/>
            </w:pPr>
            <w:r/>
            <w:r>
              <w:rPr>
                <w:rFonts w:ascii="Times New Roman" w:hAnsi="Times New Roman"/>
                <w:b w:val="0"/>
                <w:sz w:val="16"/>
              </w:rPr>
              <w:t>33</w:t>
            </w:r>
          </w:p>
        </w:tc>
        <w:tc>
          <w:tcPr>
            <w:tcW w:type="dxa" w:w="1152"/>
          </w:tcPr>
          <w:p>
            <w:pPr>
              <w:keepNext/>
              <w:jc w:val="center"/>
            </w:pPr>
            <w:r/>
            <w:r>
              <w:rPr>
                <w:rFonts w:ascii="Times New Roman" w:hAnsi="Times New Roman"/>
                <w:b w:val="0"/>
                <w:sz w:val="16"/>
              </w:rPr>
              <w:t>1.0</w:t>
            </w:r>
          </w:p>
        </w:tc>
        <w:tc>
          <w:tcPr>
            <w:tcW w:type="dxa" w:w="1152"/>
          </w:tcPr>
          <w:p>
            <w:pPr>
              <w:keepNext/>
              <w:jc w:val="center"/>
            </w:pPr>
            <w:r/>
            <w:r>
              <w:rPr>
                <w:rFonts w:ascii="Times New Roman" w:hAnsi="Times New Roman"/>
                <w:b w:val="0"/>
                <w:sz w:val="16"/>
              </w:rPr>
              <w:t>2.0</w:t>
            </w:r>
          </w:p>
        </w:tc>
        <w:tc>
          <w:tcPr>
            <w:tcW w:type="dxa" w:w="1152"/>
          </w:tcPr>
          <w:p>
            <w:pPr>
              <w:keepNext/>
              <w:jc w:val="center"/>
            </w:pPr>
            <w:r/>
            <w:r>
              <w:rPr>
                <w:rFonts w:ascii="Times New Roman" w:hAnsi="Times New Roman"/>
                <w:b w:val="0"/>
                <w:sz w:val="16"/>
              </w:rPr>
              <w:t>46/46</w:t>
            </w:r>
          </w:p>
        </w:tc>
        <w:tc>
          <w:tcPr>
            <w:tcW w:type="dxa" w:w="1152"/>
          </w:tcPr>
          <w:p>
            <w:pPr>
              <w:keepNext/>
              <w:jc w:val="center"/>
            </w:pPr>
            <w:r/>
            <w:r>
              <w:rPr>
                <w:rFonts w:ascii="Times New Roman" w:hAnsi="Times New Roman"/>
                <w:b w:val="0"/>
                <w:sz w:val="16"/>
              </w:rPr>
              <w:t>20</w:t>
            </w:r>
          </w:p>
        </w:tc>
        <w:tc>
          <w:tcPr>
            <w:tcW w:type="dxa" w:w="1152"/>
          </w:tcPr>
          <w:p>
            <w:pPr>
              <w:keepNext/>
              <w:jc w:val="center"/>
            </w:pPr>
            <w:r/>
            <w:r>
              <w:rPr>
                <w:rFonts w:ascii="Times New Roman" w:hAnsi="Times New Roman"/>
                <w:b w:val="0"/>
                <w:sz w:val="16"/>
              </w:rPr>
              <w:t>1.0</w:t>
            </w:r>
          </w:p>
        </w:tc>
        <w:tc>
          <w:tcPr>
            <w:tcW w:type="dxa" w:w="1152"/>
          </w:tcPr>
          <w:p>
            <w:pPr>
              <w:keepNext/>
              <w:jc w:val="center"/>
            </w:pPr>
            <w:r/>
            <w:r>
              <w:rPr>
                <w:rFonts w:ascii="Times New Roman" w:hAnsi="Times New Roman"/>
                <w:b w:val="0"/>
                <w:sz w:val="16"/>
              </w:rPr>
              <w:t>0/45</w:t>
            </w:r>
          </w:p>
        </w:tc>
      </w:tr>
      <w:tr>
        <w:trPr>
          <w:cantSplit/>
        </w:trPr>
        <w:tc>
          <w:tcPr>
            <w:tcW w:type="dxa" w:w="1152"/>
          </w:tcPr>
          <w:p>
            <w:pPr>
              <w:keepNext/>
              <w:jc w:val="left"/>
            </w:pPr>
            <w:r/>
            <w:r>
              <w:rPr>
                <w:rFonts w:ascii="Times New Roman" w:hAnsi="Times New Roman"/>
                <w:b w:val="0"/>
                <w:sz w:val="16"/>
              </w:rPr>
              <w:t>10,000</w:t>
            </w:r>
          </w:p>
        </w:tc>
        <w:tc>
          <w:tcPr>
            <w:tcW w:type="dxa" w:w="1152"/>
          </w:tcPr>
          <w:p>
            <w:pPr>
              <w:keepNext/>
              <w:jc w:val="center"/>
            </w:pPr>
            <w:r/>
            <w:r>
              <w:rPr>
                <w:rFonts w:ascii="Times New Roman" w:hAnsi="Times New Roman"/>
                <w:b w:val="0"/>
                <w:sz w:val="16"/>
              </w:rPr>
              <w:t>8.01</w:t>
            </w:r>
          </w:p>
        </w:tc>
        <w:tc>
          <w:tcPr>
            <w:tcW w:type="dxa" w:w="1152"/>
          </w:tcPr>
          <w:p>
            <w:pPr>
              <w:keepNext/>
              <w:jc w:val="center"/>
            </w:pPr>
            <w:r/>
            <w:r>
              <w:rPr>
                <w:rFonts w:ascii="Times New Roman" w:hAnsi="Times New Roman"/>
                <w:b w:val="0"/>
                <w:sz w:val="16"/>
              </w:rPr>
              <w:t>77</w:t>
            </w:r>
          </w:p>
        </w:tc>
        <w:tc>
          <w:tcPr>
            <w:tcW w:type="dxa" w:w="1152"/>
          </w:tcPr>
          <w:p>
            <w:pPr>
              <w:keepNext/>
              <w:jc w:val="center"/>
            </w:pPr>
            <w:r/>
            <w:r>
              <w:rPr>
                <w:rFonts w:ascii="Times New Roman" w:hAnsi="Times New Roman"/>
                <w:b w:val="0"/>
                <w:sz w:val="16"/>
              </w:rPr>
              <w:t>12.0</w:t>
            </w:r>
          </w:p>
        </w:tc>
        <w:tc>
          <w:tcPr>
            <w:tcW w:type="dxa" w:w="1152"/>
          </w:tcPr>
          <w:p>
            <w:pPr>
              <w:keepNext/>
              <w:jc w:val="center"/>
            </w:pPr>
            <w:r/>
            <w:r>
              <w:rPr>
                <w:rFonts w:ascii="Times New Roman" w:hAnsi="Times New Roman"/>
                <w:b w:val="0"/>
                <w:sz w:val="16"/>
              </w:rPr>
              <w:t>25.0</w:t>
            </w:r>
          </w:p>
        </w:tc>
        <w:tc>
          <w:tcPr>
            <w:tcW w:type="dxa" w:w="1152"/>
          </w:tcPr>
          <w:p>
            <w:pPr>
              <w:keepNext/>
              <w:jc w:val="center"/>
            </w:pPr>
            <w:r/>
            <w:r>
              <w:rPr>
                <w:rFonts w:ascii="Times New Roman" w:hAnsi="Times New Roman"/>
                <w:b w:val="0"/>
                <w:sz w:val="16"/>
              </w:rPr>
              <w:t>42/42</w:t>
            </w:r>
          </w:p>
        </w:tc>
        <w:tc>
          <w:tcPr>
            <w:tcW w:type="dxa" w:w="1152"/>
          </w:tcPr>
          <w:p>
            <w:pPr>
              <w:keepNext/>
              <w:jc w:val="center"/>
            </w:pPr>
            <w:r/>
            <w:r>
              <w:rPr>
                <w:rFonts w:ascii="Times New Roman" w:hAnsi="Times New Roman"/>
                <w:b w:val="0"/>
                <w:sz w:val="16"/>
              </w:rPr>
              <w:t>238</w:t>
            </w:r>
          </w:p>
        </w:tc>
        <w:tc>
          <w:tcPr>
            <w:tcW w:type="dxa" w:w="1152"/>
          </w:tcPr>
          <w:p>
            <w:pPr>
              <w:keepNext/>
              <w:jc w:val="center"/>
            </w:pPr>
            <w:r/>
            <w:r>
              <w:rPr>
                <w:rFonts w:ascii="Times New Roman" w:hAnsi="Times New Roman"/>
                <w:b w:val="0"/>
                <w:sz w:val="16"/>
              </w:rPr>
              <w:t>1.0</w:t>
            </w:r>
          </w:p>
        </w:tc>
        <w:tc>
          <w:tcPr>
            <w:tcW w:type="dxa" w:w="1152"/>
          </w:tcPr>
          <w:p>
            <w:pPr>
              <w:keepNext/>
              <w:jc w:val="center"/>
            </w:pPr>
            <w:r/>
            <w:r>
              <w:rPr>
                <w:rFonts w:ascii="Times New Roman" w:hAnsi="Times New Roman"/>
                <w:b w:val="0"/>
                <w:sz w:val="16"/>
              </w:rPr>
              <w:t>0/48</w:t>
            </w:r>
          </w:p>
        </w:tc>
      </w:tr>
      <w:tr>
        <w:trPr>
          <w:cantSplit/>
        </w:trPr>
        <w:tc>
          <w:tcPr>
            <w:tcW w:type="dxa" w:w="1152"/>
          </w:tcPr>
          <w:p>
            <w:pPr>
              <w:keepNext/>
              <w:jc w:val="left"/>
            </w:pPr>
            <w:r/>
            <w:r>
              <w:rPr>
                <w:rFonts w:ascii="Times New Roman" w:hAnsi="Times New Roman"/>
                <w:b w:val="0"/>
                <w:sz w:val="16"/>
              </w:rPr>
              <w:t>25,357</w:t>
            </w:r>
          </w:p>
        </w:tc>
        <w:tc>
          <w:tcPr>
            <w:tcW w:type="dxa" w:w="1152"/>
          </w:tcPr>
          <w:p>
            <w:pPr>
              <w:keepNext/>
              <w:jc w:val="center"/>
            </w:pPr>
            <w:r/>
            <w:r>
              <w:rPr>
                <w:rFonts w:ascii="Times New Roman" w:hAnsi="Times New Roman"/>
                <w:b w:val="0"/>
                <w:sz w:val="16"/>
              </w:rPr>
              <w:t>3.48</w:t>
            </w:r>
          </w:p>
        </w:tc>
        <w:tc>
          <w:tcPr>
            <w:tcW w:type="dxa" w:w="1152"/>
          </w:tcPr>
          <w:p>
            <w:pPr>
              <w:keepNext/>
              <w:jc w:val="center"/>
            </w:pPr>
            <w:r/>
            <w:r>
              <w:rPr>
                <w:rFonts w:ascii="Times New Roman" w:hAnsi="Times New Roman"/>
                <w:b w:val="0"/>
                <w:sz w:val="16"/>
              </w:rPr>
              <w:t>178</w:t>
            </w:r>
          </w:p>
        </w:tc>
        <w:tc>
          <w:tcPr>
            <w:tcW w:type="dxa" w:w="1152"/>
          </w:tcPr>
          <w:p>
            <w:pPr>
              <w:keepNext/>
              <w:jc w:val="center"/>
            </w:pPr>
            <w:r/>
            <w:r>
              <w:rPr>
                <w:rFonts w:ascii="Times New Roman" w:hAnsi="Times New Roman"/>
                <w:b w:val="0"/>
                <w:sz w:val="16"/>
              </w:rPr>
              <w:t>6.0</w:t>
            </w:r>
          </w:p>
        </w:tc>
        <w:tc>
          <w:tcPr>
            <w:tcW w:type="dxa" w:w="1152"/>
          </w:tcPr>
          <w:p>
            <w:pPr>
              <w:keepNext/>
              <w:jc w:val="center"/>
            </w:pPr>
            <w:r/>
            <w:r>
              <w:rPr>
                <w:rFonts w:ascii="Times New Roman" w:hAnsi="Times New Roman"/>
                <w:b w:val="0"/>
                <w:sz w:val="16"/>
              </w:rPr>
              <w:t>12.0</w:t>
            </w:r>
          </w:p>
        </w:tc>
        <w:tc>
          <w:tcPr>
            <w:tcW w:type="dxa" w:w="1152"/>
          </w:tcPr>
          <w:p>
            <w:pPr>
              <w:keepNext/>
              <w:jc w:val="center"/>
            </w:pPr>
            <w:r/>
            <w:r>
              <w:rPr>
                <w:rFonts w:ascii="Times New Roman" w:hAnsi="Times New Roman"/>
                <w:b w:val="0"/>
                <w:sz w:val="16"/>
              </w:rPr>
              <w:t>48/48</w:t>
            </w:r>
          </w:p>
        </w:tc>
        <w:tc>
          <w:tcPr>
            <w:tcW w:type="dxa" w:w="1152"/>
          </w:tcPr>
          <w:p>
            <w:pPr>
              <w:keepNext/>
              <w:jc w:val="center"/>
            </w:pPr>
            <w:r/>
            <w:r>
              <w:rPr>
                <w:rFonts w:ascii="Times New Roman" w:hAnsi="Times New Roman"/>
                <w:b w:val="0"/>
                <w:sz w:val="16"/>
              </w:rPr>
              <w:t>infeasible</w:t>
            </w:r>
          </w:p>
        </w:tc>
        <w:tc>
          <w:tcPr>
            <w:tcW w:type="dxa" w:w="1152"/>
          </w:tcPr>
          <w:p>
            <w:pPr>
              <w:keepNext/>
              <w:jc w:val="center"/>
            </w:pPr>
            <w:r/>
            <w:r>
              <w:rPr>
                <w:rFonts w:ascii="Times New Roman" w:hAnsi="Times New Roman"/>
                <w:b w:val="0"/>
                <w:sz w:val="16"/>
              </w:rPr>
              <w:t>2.0</w:t>
            </w:r>
          </w:p>
        </w:tc>
        <w:tc>
          <w:tcPr>
            <w:tcW w:type="dxa" w:w="1152"/>
          </w:tcPr>
          <w:p>
            <w:pPr>
              <w:keepNext/>
              <w:jc w:val="center"/>
            </w:pPr>
            <w:r/>
            <w:r>
              <w:rPr>
                <w:rFonts w:ascii="Times New Roman" w:hAnsi="Times New Roman"/>
                <w:b w:val="0"/>
                <w:sz w:val="16"/>
              </w:rPr>
              <w:t>0/45</w:t>
            </w:r>
          </w:p>
        </w:tc>
      </w:tr>
      <w:tr>
        <w:trPr>
          <w:cantSplit/>
        </w:trPr>
        <w:tc>
          <w:tcPr>
            <w:tcW w:type="dxa" w:w="1152"/>
          </w:tcPr>
          <w:p>
            <w:pPr>
              <w:keepNext/>
              <w:jc w:val="left"/>
            </w:pPr>
            <w:r/>
            <w:r>
              <w:rPr>
                <w:rFonts w:ascii="Times New Roman" w:hAnsi="Times New Roman"/>
                <w:b w:val="0"/>
                <w:sz w:val="16"/>
              </w:rPr>
              <w:t>30,000</w:t>
            </w:r>
          </w:p>
        </w:tc>
        <w:tc>
          <w:tcPr>
            <w:tcW w:type="dxa" w:w="1152"/>
          </w:tcPr>
          <w:p>
            <w:pPr>
              <w:keepNext/>
              <w:jc w:val="center"/>
            </w:pPr>
            <w:r/>
            <w:r>
              <w:rPr>
                <w:rFonts w:ascii="Times New Roman" w:hAnsi="Times New Roman"/>
                <w:b w:val="0"/>
                <w:sz w:val="16"/>
              </w:rPr>
              <w:t>4.45</w:t>
            </w:r>
          </w:p>
        </w:tc>
        <w:tc>
          <w:tcPr>
            <w:tcW w:type="dxa" w:w="1152"/>
          </w:tcPr>
          <w:p>
            <w:pPr>
              <w:keepNext/>
              <w:jc w:val="center"/>
            </w:pPr>
            <w:r/>
            <w:r>
              <w:rPr>
                <w:rFonts w:ascii="Times New Roman" w:hAnsi="Times New Roman"/>
                <w:b w:val="0"/>
                <w:sz w:val="16"/>
              </w:rPr>
              <w:t>205</w:t>
            </w:r>
          </w:p>
        </w:tc>
        <w:tc>
          <w:tcPr>
            <w:tcW w:type="dxa" w:w="1152"/>
          </w:tcPr>
          <w:p>
            <w:pPr>
              <w:keepNext/>
              <w:jc w:val="center"/>
            </w:pPr>
            <w:r/>
            <w:r>
              <w:rPr>
                <w:rFonts w:ascii="Times New Roman" w:hAnsi="Times New Roman"/>
                <w:b w:val="0"/>
                <w:sz w:val="16"/>
              </w:rPr>
              <w:t>7.5</w:t>
            </w:r>
          </w:p>
        </w:tc>
        <w:tc>
          <w:tcPr>
            <w:tcW w:type="dxa" w:w="1152"/>
          </w:tcPr>
          <w:p>
            <w:pPr>
              <w:keepNext/>
              <w:jc w:val="center"/>
            </w:pPr>
            <w:r/>
            <w:r>
              <w:rPr>
                <w:rFonts w:ascii="Times New Roman" w:hAnsi="Times New Roman"/>
                <w:b w:val="0"/>
                <w:sz w:val="16"/>
              </w:rPr>
              <w:t>16.2</w:t>
            </w:r>
          </w:p>
        </w:tc>
        <w:tc>
          <w:tcPr>
            <w:tcW w:type="dxa" w:w="1152"/>
          </w:tcPr>
          <w:p>
            <w:pPr>
              <w:keepNext/>
              <w:jc w:val="center"/>
            </w:pPr>
            <w:r/>
            <w:r>
              <w:rPr>
                <w:rFonts w:ascii="Times New Roman" w:hAnsi="Times New Roman"/>
                <w:b w:val="0"/>
                <w:sz w:val="16"/>
              </w:rPr>
              <w:t>37/37</w:t>
            </w:r>
          </w:p>
        </w:tc>
        <w:tc>
          <w:tcPr>
            <w:tcW w:type="dxa" w:w="1152"/>
          </w:tcPr>
          <w:p>
            <w:pPr>
              <w:keepNext/>
              <w:jc w:val="center"/>
            </w:pPr>
            <w:r/>
            <w:r>
              <w:rPr>
                <w:rFonts w:ascii="Times New Roman" w:hAnsi="Times New Roman"/>
                <w:b w:val="0"/>
                <w:sz w:val="16"/>
              </w:rPr>
              <w:t>infeasible</w:t>
            </w:r>
          </w:p>
        </w:tc>
        <w:tc>
          <w:tcPr>
            <w:tcW w:type="dxa" w:w="1152"/>
          </w:tcPr>
          <w:p>
            <w:pPr>
              <w:keepNext/>
              <w:jc w:val="center"/>
            </w:pPr>
            <w:r/>
            <w:r>
              <w:rPr>
                <w:rFonts w:ascii="Times New Roman" w:hAnsi="Times New Roman"/>
                <w:b w:val="0"/>
                <w:sz w:val="16"/>
              </w:rPr>
              <w:t>1.0</w:t>
            </w:r>
          </w:p>
        </w:tc>
        <w:tc>
          <w:tcPr>
            <w:tcW w:type="dxa" w:w="1152"/>
          </w:tcPr>
          <w:p>
            <w:pPr>
              <w:keepNext/>
              <w:jc w:val="center"/>
            </w:pPr>
            <w:r/>
            <w:r>
              <w:rPr>
                <w:rFonts w:ascii="Times New Roman" w:hAnsi="Times New Roman"/>
                <w:b w:val="0"/>
                <w:sz w:val="16"/>
              </w:rPr>
              <w:t>0/47</w:t>
            </w:r>
          </w:p>
        </w:tc>
      </w:tr>
      <w:tr>
        <w:trPr>
          <w:cantSplit/>
        </w:trPr>
        <w:tc>
          <w:tcPr>
            <w:tcW w:type="dxa" w:w="1152"/>
          </w:tcPr>
          <w:p>
            <w:pPr>
              <w:keepNext/>
              <w:jc w:val="left"/>
            </w:pPr>
            <w:r/>
            <w:r>
              <w:rPr>
                <w:rFonts w:ascii="Times New Roman" w:hAnsi="Times New Roman"/>
                <w:b w:val="0"/>
                <w:sz w:val="16"/>
              </w:rPr>
              <w:t>44,371</w:t>
            </w:r>
          </w:p>
        </w:tc>
        <w:tc>
          <w:tcPr>
            <w:tcW w:type="dxa" w:w="1152"/>
          </w:tcPr>
          <w:p>
            <w:pPr>
              <w:keepNext/>
              <w:jc w:val="center"/>
            </w:pPr>
            <w:r/>
            <w:r>
              <w:rPr>
                <w:rFonts w:ascii="Times New Roman" w:hAnsi="Times New Roman"/>
                <w:b w:val="0"/>
                <w:sz w:val="16"/>
              </w:rPr>
              <w:t>6.25</w:t>
            </w:r>
          </w:p>
        </w:tc>
        <w:tc>
          <w:tcPr>
            <w:tcW w:type="dxa" w:w="1152"/>
          </w:tcPr>
          <w:p>
            <w:pPr>
              <w:keepNext/>
              <w:jc w:val="center"/>
            </w:pPr>
            <w:r/>
            <w:r>
              <w:rPr>
                <w:rFonts w:ascii="Times New Roman" w:hAnsi="Times New Roman"/>
                <w:b w:val="0"/>
                <w:sz w:val="16"/>
              </w:rPr>
              <w:t>290</w:t>
            </w:r>
          </w:p>
        </w:tc>
        <w:tc>
          <w:tcPr>
            <w:tcW w:type="dxa" w:w="1152"/>
          </w:tcPr>
          <w:p>
            <w:pPr>
              <w:keepNext/>
              <w:jc w:val="center"/>
            </w:pPr>
            <w:r/>
            <w:r>
              <w:rPr>
                <w:rFonts w:ascii="Times New Roman" w:hAnsi="Times New Roman"/>
                <w:b w:val="0"/>
                <w:sz w:val="16"/>
              </w:rPr>
              <w:t>10.9</w:t>
            </w:r>
          </w:p>
        </w:tc>
        <w:tc>
          <w:tcPr>
            <w:tcW w:type="dxa" w:w="1152"/>
          </w:tcPr>
          <w:p>
            <w:pPr>
              <w:keepNext/>
              <w:jc w:val="center"/>
            </w:pPr>
            <w:r/>
            <w:r>
              <w:rPr>
                <w:rFonts w:ascii="Times New Roman" w:hAnsi="Times New Roman"/>
                <w:b w:val="0"/>
                <w:sz w:val="16"/>
              </w:rPr>
              <w:t>25.7</w:t>
            </w:r>
          </w:p>
        </w:tc>
        <w:tc>
          <w:tcPr>
            <w:tcW w:type="dxa" w:w="1152"/>
          </w:tcPr>
          <w:p>
            <w:pPr>
              <w:keepNext/>
              <w:jc w:val="center"/>
            </w:pPr>
            <w:r/>
            <w:r>
              <w:rPr>
                <w:rFonts w:ascii="Times New Roman" w:hAnsi="Times New Roman"/>
                <w:b w:val="0"/>
                <w:sz w:val="16"/>
              </w:rPr>
              <w:t>34/34</w:t>
            </w:r>
          </w:p>
        </w:tc>
        <w:tc>
          <w:tcPr>
            <w:tcW w:type="dxa" w:w="1152"/>
          </w:tcPr>
          <w:p>
            <w:pPr>
              <w:keepNext/>
              <w:jc w:val="center"/>
            </w:pPr>
            <w:r/>
            <w:r>
              <w:rPr>
                <w:rFonts w:ascii="Times New Roman" w:hAnsi="Times New Roman"/>
                <w:b w:val="0"/>
                <w:sz w:val="16"/>
              </w:rPr>
              <w:t>infeasible</w:t>
            </w:r>
          </w:p>
        </w:tc>
        <w:tc>
          <w:tcPr>
            <w:tcW w:type="dxa" w:w="1152"/>
          </w:tcPr>
          <w:p>
            <w:pPr>
              <w:keepNext/>
              <w:jc w:val="center"/>
            </w:pPr>
            <w:r/>
            <w:r>
              <w:rPr>
                <w:rFonts w:ascii="Times New Roman" w:hAnsi="Times New Roman"/>
                <w:b w:val="0"/>
                <w:sz w:val="16"/>
              </w:rPr>
              <w:t>5.0</w:t>
            </w:r>
          </w:p>
        </w:tc>
        <w:tc>
          <w:tcPr>
            <w:tcW w:type="dxa" w:w="1152"/>
          </w:tcPr>
          <w:p>
            <w:pPr>
              <w:keepNext/>
              <w:jc w:val="center"/>
            </w:pPr>
            <w:r/>
            <w:r>
              <w:rPr>
                <w:rFonts w:ascii="Times New Roman" w:hAnsi="Times New Roman"/>
                <w:b w:val="0"/>
                <w:sz w:val="16"/>
              </w:rPr>
              <w:t>0/46</w:t>
            </w:r>
          </w:p>
        </w:tc>
      </w:tr>
      <w:tr>
        <w:trPr>
          <w:cantSplit/>
        </w:trPr>
        <w:tc>
          <w:tcPr>
            <w:tcW w:type="dxa" w:w="1152"/>
          </w:tcPr>
          <w:p>
            <w:pPr>
              <w:keepNext/>
              <w:jc w:val="left"/>
            </w:pPr>
            <w:r/>
            <w:r>
              <w:rPr>
                <w:rFonts w:ascii="Times New Roman" w:hAnsi="Times New Roman"/>
                <w:b w:val="0"/>
                <w:sz w:val="16"/>
              </w:rPr>
              <w:t>50,000</w:t>
            </w:r>
          </w:p>
        </w:tc>
        <w:tc>
          <w:tcPr>
            <w:tcW w:type="dxa" w:w="1152"/>
          </w:tcPr>
          <w:p>
            <w:pPr>
              <w:keepNext/>
              <w:jc w:val="center"/>
            </w:pPr>
            <w:r/>
            <w:r>
              <w:rPr>
                <w:rFonts w:ascii="Times New Roman" w:hAnsi="Times New Roman"/>
                <w:b w:val="0"/>
                <w:sz w:val="16"/>
              </w:rPr>
              <w:t>20.02</w:t>
            </w:r>
          </w:p>
        </w:tc>
        <w:tc>
          <w:tcPr>
            <w:tcW w:type="dxa" w:w="1152"/>
          </w:tcPr>
          <w:p>
            <w:pPr>
              <w:keepNext/>
              <w:jc w:val="center"/>
            </w:pPr>
            <w:r/>
            <w:r>
              <w:rPr>
                <w:rFonts w:ascii="Times New Roman" w:hAnsi="Times New Roman"/>
                <w:b w:val="0"/>
                <w:sz w:val="16"/>
              </w:rPr>
              <w:t>323</w:t>
            </w:r>
          </w:p>
        </w:tc>
        <w:tc>
          <w:tcPr>
            <w:tcW w:type="dxa" w:w="1152"/>
          </w:tcPr>
          <w:p>
            <w:pPr>
              <w:keepNext/>
              <w:jc w:val="center"/>
            </w:pPr>
            <w:r/>
            <w:r>
              <w:rPr>
                <w:rFonts w:ascii="Times New Roman" w:hAnsi="Times New Roman"/>
                <w:b w:val="0"/>
                <w:sz w:val="16"/>
              </w:rPr>
              <w:t>63.9</w:t>
            </w:r>
          </w:p>
        </w:tc>
        <w:tc>
          <w:tcPr>
            <w:tcW w:type="dxa" w:w="1152"/>
          </w:tcPr>
          <w:p>
            <w:pPr>
              <w:keepNext/>
              <w:jc w:val="center"/>
            </w:pPr>
            <w:r/>
            <w:r>
              <w:rPr>
                <w:rFonts w:ascii="Times New Roman" w:hAnsi="Times New Roman"/>
                <w:b w:val="0"/>
                <w:sz w:val="16"/>
              </w:rPr>
              <w:t>86.4</w:t>
            </w:r>
          </w:p>
        </w:tc>
        <w:tc>
          <w:tcPr>
            <w:tcW w:type="dxa" w:w="1152"/>
          </w:tcPr>
          <w:p>
            <w:pPr>
              <w:keepNext/>
              <w:jc w:val="center"/>
            </w:pPr>
            <w:r/>
            <w:r>
              <w:rPr>
                <w:rFonts w:ascii="Times New Roman" w:hAnsi="Times New Roman"/>
                <w:b w:val="0"/>
                <w:sz w:val="16"/>
              </w:rPr>
              <w:t>29/29</w:t>
            </w:r>
          </w:p>
        </w:tc>
        <w:tc>
          <w:tcPr>
            <w:tcW w:type="dxa" w:w="1152"/>
          </w:tcPr>
          <w:p>
            <w:pPr>
              <w:keepNext/>
              <w:jc w:val="center"/>
            </w:pPr>
            <w:r/>
            <w:r>
              <w:rPr>
                <w:rFonts w:ascii="Times New Roman" w:hAnsi="Times New Roman"/>
                <w:b w:val="0"/>
                <w:sz w:val="16"/>
              </w:rPr>
              <w:t>infeasible</w:t>
            </w:r>
          </w:p>
        </w:tc>
        <w:tc>
          <w:tcPr>
            <w:tcW w:type="dxa" w:w="1152"/>
          </w:tcPr>
          <w:p>
            <w:pPr>
              <w:keepNext/>
              <w:jc w:val="center"/>
            </w:pPr>
            <w:r/>
            <w:r>
              <w:rPr>
                <w:rFonts w:ascii="Times New Roman" w:hAnsi="Times New Roman"/>
                <w:b w:val="0"/>
                <w:sz w:val="16"/>
              </w:rPr>
              <w:t>1.0</w:t>
            </w:r>
          </w:p>
        </w:tc>
        <w:tc>
          <w:tcPr>
            <w:tcW w:type="dxa" w:w="1152"/>
          </w:tcPr>
          <w:p>
            <w:pPr>
              <w:keepNext/>
              <w:jc w:val="center"/>
            </w:pPr>
            <w:r/>
            <w:r>
              <w:rPr>
                <w:rFonts w:ascii="Times New Roman" w:hAnsi="Times New Roman"/>
                <w:b w:val="0"/>
                <w:sz w:val="16"/>
              </w:rPr>
              <w:t>0/46</w:t>
            </w:r>
          </w:p>
        </w:tc>
      </w:tr>
      <w:tr>
        <w:trPr>
          <w:cantSplit/>
        </w:trPr>
        <w:tc>
          <w:tcPr>
            <w:tcW w:type="dxa" w:w="1152"/>
          </w:tcPr>
          <w:p>
            <w:pPr>
              <w:keepNext/>
              <w:jc w:val="left"/>
            </w:pPr>
            <w:r/>
            <w:r>
              <w:rPr>
                <w:rFonts w:ascii="Times New Roman" w:hAnsi="Times New Roman"/>
                <w:b w:val="0"/>
                <w:sz w:val="16"/>
              </w:rPr>
              <w:t>50,709</w:t>
            </w:r>
          </w:p>
        </w:tc>
        <w:tc>
          <w:tcPr>
            <w:tcW w:type="dxa" w:w="1152"/>
          </w:tcPr>
          <w:p>
            <w:pPr>
              <w:keepNext/>
              <w:jc w:val="center"/>
            </w:pPr>
            <w:r/>
            <w:r>
              <w:rPr>
                <w:rFonts w:ascii="Times New Roman" w:hAnsi="Times New Roman"/>
                <w:b w:val="0"/>
                <w:sz w:val="16"/>
              </w:rPr>
              <w:t>7.60</w:t>
            </w:r>
          </w:p>
        </w:tc>
        <w:tc>
          <w:tcPr>
            <w:tcW w:type="dxa" w:w="1152"/>
          </w:tcPr>
          <w:p>
            <w:pPr>
              <w:keepNext/>
              <w:jc w:val="center"/>
            </w:pPr>
            <w:r/>
            <w:r>
              <w:rPr>
                <w:rFonts w:ascii="Times New Roman" w:hAnsi="Times New Roman"/>
                <w:b w:val="0"/>
                <w:sz w:val="16"/>
              </w:rPr>
              <w:t>328</w:t>
            </w:r>
          </w:p>
        </w:tc>
        <w:tc>
          <w:tcPr>
            <w:tcW w:type="dxa" w:w="1152"/>
          </w:tcPr>
          <w:p>
            <w:pPr>
              <w:keepNext/>
              <w:jc w:val="center"/>
            </w:pPr>
            <w:r/>
            <w:r>
              <w:rPr>
                <w:rFonts w:ascii="Times New Roman" w:hAnsi="Times New Roman"/>
                <w:b w:val="0"/>
                <w:sz w:val="16"/>
              </w:rPr>
              <w:t>11.6</w:t>
            </w:r>
          </w:p>
        </w:tc>
        <w:tc>
          <w:tcPr>
            <w:tcW w:type="dxa" w:w="1152"/>
          </w:tcPr>
          <w:p>
            <w:pPr>
              <w:keepNext/>
              <w:jc w:val="center"/>
            </w:pPr>
            <w:r/>
            <w:r>
              <w:rPr>
                <w:rFonts w:ascii="Times New Roman" w:hAnsi="Times New Roman"/>
                <w:b w:val="0"/>
                <w:sz w:val="16"/>
              </w:rPr>
              <w:t>16.1</w:t>
            </w:r>
          </w:p>
        </w:tc>
        <w:tc>
          <w:tcPr>
            <w:tcW w:type="dxa" w:w="1152"/>
          </w:tcPr>
          <w:p>
            <w:pPr>
              <w:keepNext/>
              <w:jc w:val="center"/>
            </w:pPr>
            <w:r/>
            <w:r>
              <w:rPr>
                <w:rFonts w:ascii="Times New Roman" w:hAnsi="Times New Roman"/>
                <w:b w:val="0"/>
                <w:sz w:val="16"/>
              </w:rPr>
              <w:t>29/29</w:t>
            </w:r>
          </w:p>
        </w:tc>
        <w:tc>
          <w:tcPr>
            <w:tcW w:type="dxa" w:w="1152"/>
          </w:tcPr>
          <w:p>
            <w:pPr>
              <w:keepNext/>
              <w:jc w:val="center"/>
            </w:pPr>
            <w:r/>
            <w:r>
              <w:rPr>
                <w:rFonts w:ascii="Times New Roman" w:hAnsi="Times New Roman"/>
                <w:b w:val="0"/>
                <w:sz w:val="16"/>
              </w:rPr>
              <w:t>infeasible</w:t>
            </w:r>
          </w:p>
        </w:tc>
        <w:tc>
          <w:tcPr>
            <w:tcW w:type="dxa" w:w="1152"/>
          </w:tcPr>
          <w:p>
            <w:pPr>
              <w:keepNext/>
              <w:jc w:val="center"/>
            </w:pPr>
            <w:r/>
            <w:r>
              <w:rPr>
                <w:rFonts w:ascii="Times New Roman" w:hAnsi="Times New Roman"/>
                <w:b w:val="0"/>
                <w:sz w:val="16"/>
              </w:rPr>
              <w:t>3.0</w:t>
            </w:r>
          </w:p>
        </w:tc>
        <w:tc>
          <w:tcPr>
            <w:tcW w:type="dxa" w:w="1152"/>
          </w:tcPr>
          <w:p>
            <w:pPr>
              <w:keepNext/>
              <w:jc w:val="center"/>
            </w:pPr>
            <w:r/>
            <w:r>
              <w:rPr>
                <w:rFonts w:ascii="Times New Roman" w:hAnsi="Times New Roman"/>
                <w:b w:val="0"/>
                <w:sz w:val="16"/>
              </w:rPr>
              <w:t>0/46</w:t>
            </w:r>
          </w:p>
        </w:tc>
      </w:tr>
      <w:tr>
        <w:trPr>
          <w:cantSplit/>
        </w:trPr>
        <w:tc>
          <w:tcPr>
            <w:tcW w:type="dxa" w:w="1152"/>
          </w:tcPr>
          <w:p>
            <w:pPr>
              <w:keepNext/>
              <w:jc w:val="left"/>
            </w:pPr>
            <w:r/>
            <w:r>
              <w:rPr>
                <w:rFonts w:ascii="Times New Roman" w:hAnsi="Times New Roman"/>
                <w:b w:val="0"/>
                <w:sz w:val="16"/>
              </w:rPr>
              <w:t>69,723</w:t>
            </w:r>
          </w:p>
        </w:tc>
        <w:tc>
          <w:tcPr>
            <w:tcW w:type="dxa" w:w="1152"/>
          </w:tcPr>
          <w:p>
            <w:pPr>
              <w:keepNext/>
              <w:jc w:val="center"/>
            </w:pPr>
            <w:r/>
            <w:r>
              <w:rPr>
                <w:rFonts w:ascii="Times New Roman" w:hAnsi="Times New Roman"/>
                <w:b w:val="0"/>
                <w:sz w:val="16"/>
              </w:rPr>
              <w:t>9.67</w:t>
            </w:r>
          </w:p>
        </w:tc>
        <w:tc>
          <w:tcPr>
            <w:tcW w:type="dxa" w:w="1152"/>
          </w:tcPr>
          <w:p>
            <w:pPr>
              <w:keepNext/>
              <w:jc w:val="center"/>
            </w:pPr>
            <w:r/>
            <w:r>
              <w:rPr>
                <w:rFonts w:ascii="Times New Roman" w:hAnsi="Times New Roman"/>
                <w:b w:val="0"/>
                <w:sz w:val="16"/>
              </w:rPr>
              <w:t>439</w:t>
            </w:r>
          </w:p>
        </w:tc>
        <w:tc>
          <w:tcPr>
            <w:tcW w:type="dxa" w:w="1152"/>
          </w:tcPr>
          <w:p>
            <w:pPr>
              <w:keepNext/>
              <w:jc w:val="center"/>
            </w:pPr>
            <w:r/>
            <w:r>
              <w:rPr>
                <w:rFonts w:ascii="Times New Roman" w:hAnsi="Times New Roman"/>
                <w:b w:val="0"/>
                <w:sz w:val="16"/>
              </w:rPr>
              <w:t>15.2</w:t>
            </w:r>
          </w:p>
        </w:tc>
        <w:tc>
          <w:tcPr>
            <w:tcW w:type="dxa" w:w="1152"/>
          </w:tcPr>
          <w:p>
            <w:pPr>
              <w:keepNext/>
              <w:jc w:val="center"/>
            </w:pPr>
            <w:r/>
            <w:r>
              <w:rPr>
                <w:rFonts w:ascii="Times New Roman" w:hAnsi="Times New Roman"/>
                <w:b w:val="0"/>
                <w:sz w:val="16"/>
              </w:rPr>
              <w:t>31.3</w:t>
            </w:r>
          </w:p>
        </w:tc>
        <w:tc>
          <w:tcPr>
            <w:tcW w:type="dxa" w:w="1152"/>
          </w:tcPr>
          <w:p>
            <w:pPr>
              <w:keepNext/>
              <w:jc w:val="center"/>
            </w:pPr>
            <w:r/>
            <w:r>
              <w:rPr>
                <w:rFonts w:ascii="Times New Roman" w:hAnsi="Times New Roman"/>
                <w:b w:val="0"/>
                <w:sz w:val="16"/>
              </w:rPr>
              <w:t>47/47</w:t>
            </w:r>
          </w:p>
        </w:tc>
        <w:tc>
          <w:tcPr>
            <w:tcW w:type="dxa" w:w="1152"/>
          </w:tcPr>
          <w:p>
            <w:pPr>
              <w:keepNext/>
              <w:jc w:val="center"/>
            </w:pPr>
            <w:r/>
            <w:r>
              <w:rPr>
                <w:rFonts w:ascii="Times New Roman" w:hAnsi="Times New Roman"/>
                <w:b w:val="0"/>
                <w:sz w:val="16"/>
              </w:rPr>
              <w:t>infeasible</w:t>
            </w:r>
          </w:p>
        </w:tc>
        <w:tc>
          <w:tcPr>
            <w:tcW w:type="dxa" w:w="1152"/>
          </w:tcPr>
          <w:p>
            <w:pPr>
              <w:keepNext/>
              <w:jc w:val="center"/>
            </w:pPr>
            <w:r/>
            <w:r>
              <w:rPr>
                <w:rFonts w:ascii="Times New Roman" w:hAnsi="Times New Roman"/>
                <w:b w:val="0"/>
                <w:sz w:val="16"/>
              </w:rPr>
              <w:t>2.0</w:t>
            </w:r>
          </w:p>
        </w:tc>
        <w:tc>
          <w:tcPr>
            <w:tcW w:type="dxa" w:w="1152"/>
          </w:tcPr>
          <w:p>
            <w:pPr>
              <w:keepNext/>
              <w:jc w:val="center"/>
            </w:pPr>
            <w:r/>
            <w:r>
              <w:rPr>
                <w:rFonts w:ascii="Times New Roman" w:hAnsi="Times New Roman"/>
                <w:b w:val="0"/>
                <w:sz w:val="16"/>
              </w:rPr>
              <w:t>0/48</w:t>
            </w:r>
          </w:p>
        </w:tc>
      </w:tr>
      <w:tr>
        <w:trPr>
          <w:cantSplit/>
        </w:trPr>
        <w:tc>
          <w:tcPr>
            <w:tcW w:type="dxa" w:w="1152"/>
          </w:tcPr>
          <w:p>
            <w:pPr>
              <w:keepNext/>
              <w:jc w:val="left"/>
            </w:pPr>
            <w:r/>
            <w:r>
              <w:rPr>
                <w:rFonts w:ascii="Times New Roman" w:hAnsi="Times New Roman"/>
                <w:b w:val="0"/>
                <w:sz w:val="16"/>
              </w:rPr>
              <w:t>100,000</w:t>
            </w:r>
          </w:p>
        </w:tc>
        <w:tc>
          <w:tcPr>
            <w:tcW w:type="dxa" w:w="1152"/>
          </w:tcPr>
          <w:p>
            <w:pPr>
              <w:keepNext/>
              <w:jc w:val="center"/>
            </w:pPr>
            <w:r/>
            <w:r>
              <w:rPr>
                <w:rFonts w:ascii="Times New Roman" w:hAnsi="Times New Roman"/>
                <w:b w:val="0"/>
                <w:sz w:val="16"/>
              </w:rPr>
              <w:t>16.71</w:t>
            </w:r>
          </w:p>
        </w:tc>
        <w:tc>
          <w:tcPr>
            <w:tcW w:type="dxa" w:w="1152"/>
          </w:tcPr>
          <w:p>
            <w:pPr>
              <w:keepNext/>
              <w:jc w:val="center"/>
            </w:pPr>
            <w:r/>
            <w:r>
              <w:rPr>
                <w:rFonts w:ascii="Times New Roman" w:hAnsi="Times New Roman"/>
                <w:b w:val="0"/>
                <w:sz w:val="16"/>
              </w:rPr>
              <w:t>615</w:t>
            </w:r>
          </w:p>
        </w:tc>
        <w:tc>
          <w:tcPr>
            <w:tcW w:type="dxa" w:w="1152"/>
          </w:tcPr>
          <w:p>
            <w:pPr>
              <w:keepNext/>
              <w:jc w:val="center"/>
            </w:pPr>
            <w:r/>
            <w:r>
              <w:rPr>
                <w:rFonts w:ascii="Times New Roman" w:hAnsi="Times New Roman"/>
                <w:b w:val="0"/>
                <w:sz w:val="16"/>
              </w:rPr>
              <w:t>23.1</w:t>
            </w:r>
          </w:p>
        </w:tc>
        <w:tc>
          <w:tcPr>
            <w:tcW w:type="dxa" w:w="1152"/>
          </w:tcPr>
          <w:p>
            <w:pPr>
              <w:keepNext/>
              <w:jc w:val="center"/>
            </w:pPr>
            <w:r/>
            <w:r>
              <w:rPr>
                <w:rFonts w:ascii="Times New Roman" w:hAnsi="Times New Roman"/>
                <w:b w:val="0"/>
                <w:sz w:val="16"/>
              </w:rPr>
              <w:t>46.9</w:t>
            </w:r>
          </w:p>
        </w:tc>
        <w:tc>
          <w:tcPr>
            <w:tcW w:type="dxa" w:w="1152"/>
          </w:tcPr>
          <w:p>
            <w:pPr>
              <w:keepNext/>
              <w:jc w:val="center"/>
            </w:pPr>
            <w:r/>
            <w:r>
              <w:rPr>
                <w:rFonts w:ascii="Times New Roman" w:hAnsi="Times New Roman"/>
                <w:b w:val="0"/>
                <w:sz w:val="16"/>
              </w:rPr>
              <w:t>44/44</w:t>
            </w:r>
          </w:p>
        </w:tc>
        <w:tc>
          <w:tcPr>
            <w:tcW w:type="dxa" w:w="1152"/>
          </w:tcPr>
          <w:p>
            <w:pPr>
              <w:keepNext/>
              <w:jc w:val="center"/>
            </w:pPr>
            <w:r/>
            <w:r>
              <w:rPr>
                <w:rFonts w:ascii="Times New Roman" w:hAnsi="Times New Roman"/>
                <w:b w:val="0"/>
                <w:sz w:val="16"/>
              </w:rPr>
              <w:t>infeasible</w:t>
            </w:r>
          </w:p>
        </w:tc>
        <w:tc>
          <w:tcPr>
            <w:tcW w:type="dxa" w:w="1152"/>
          </w:tcPr>
          <w:p>
            <w:pPr>
              <w:keepNext/>
              <w:jc w:val="center"/>
            </w:pPr>
            <w:r/>
            <w:r>
              <w:rPr>
                <w:rFonts w:ascii="Times New Roman" w:hAnsi="Times New Roman"/>
                <w:b w:val="0"/>
                <w:sz w:val="16"/>
              </w:rPr>
              <w:t>1.0</w:t>
            </w:r>
          </w:p>
        </w:tc>
        <w:tc>
          <w:tcPr>
            <w:tcW w:type="dxa" w:w="1152"/>
          </w:tcPr>
          <w:p>
            <w:pPr>
              <w:keepNext/>
              <w:jc w:val="center"/>
            </w:pPr>
            <w:r/>
            <w:r>
              <w:rPr>
                <w:rFonts w:ascii="Times New Roman" w:hAnsi="Times New Roman"/>
                <w:b w:val="0"/>
                <w:sz w:val="16"/>
              </w:rPr>
              <w:t>0/44</w:t>
            </w:r>
          </w:p>
        </w:tc>
      </w:tr>
      <w:tr>
        <w:trPr>
          <w:cantSplit/>
        </w:trPr>
        <w:tc>
          <w:tcPr>
            <w:tcW w:type="dxa" w:w="1152"/>
            <w:tcBorders>
              <w:bottom w:val="single" w:sz="12" w:color="000000"/>
            </w:tcBorders>
          </w:tcPr>
          <w:p>
            <w:pPr>
              <w:jc w:val="left"/>
            </w:pPr>
            <w:r/>
            <w:r>
              <w:rPr>
                <w:rFonts w:ascii="Times New Roman" w:hAnsi="Times New Roman"/>
                <w:b w:val="0"/>
                <w:sz w:val="16"/>
              </w:rPr>
              <w:t>174,300</w:t>
            </w:r>
          </w:p>
        </w:tc>
        <w:tc>
          <w:tcPr>
            <w:tcW w:type="dxa" w:w="1152"/>
            <w:tcBorders>
              <w:bottom w:val="single" w:sz="12" w:color="000000"/>
            </w:tcBorders>
          </w:tcPr>
          <w:p>
            <w:pPr>
              <w:jc w:val="center"/>
            </w:pPr>
            <w:r/>
            <w:r>
              <w:rPr>
                <w:rFonts w:ascii="Times New Roman" w:hAnsi="Times New Roman"/>
                <w:b w:val="0"/>
                <w:sz w:val="16"/>
              </w:rPr>
              <w:t>24.75</w:t>
            </w:r>
          </w:p>
        </w:tc>
        <w:tc>
          <w:tcPr>
            <w:tcW w:type="dxa" w:w="1152"/>
            <w:tcBorders>
              <w:bottom w:val="single" w:sz="12" w:color="000000"/>
            </w:tcBorders>
          </w:tcPr>
          <w:p>
            <w:pPr>
              <w:jc w:val="center"/>
            </w:pPr>
            <w:r/>
            <w:r>
              <w:rPr>
                <w:rFonts w:ascii="Times New Roman" w:hAnsi="Times New Roman"/>
                <w:b w:val="0"/>
                <w:sz w:val="16"/>
              </w:rPr>
              <w:t>1053</w:t>
            </w:r>
          </w:p>
        </w:tc>
        <w:tc>
          <w:tcPr>
            <w:tcW w:type="dxa" w:w="1152"/>
            <w:tcBorders>
              <w:bottom w:val="single" w:sz="12" w:color="000000"/>
            </w:tcBorders>
          </w:tcPr>
          <w:p>
            <w:pPr>
              <w:jc w:val="center"/>
            </w:pPr>
            <w:r/>
            <w:r>
              <w:rPr>
                <w:rFonts w:ascii="Times New Roman" w:hAnsi="Times New Roman"/>
                <w:b w:val="0"/>
                <w:sz w:val="16"/>
              </w:rPr>
              <w:t>41.9</w:t>
            </w:r>
          </w:p>
        </w:tc>
        <w:tc>
          <w:tcPr>
            <w:tcW w:type="dxa" w:w="1152"/>
            <w:tcBorders>
              <w:bottom w:val="single" w:sz="12" w:color="000000"/>
            </w:tcBorders>
          </w:tcPr>
          <w:p>
            <w:pPr>
              <w:jc w:val="center"/>
            </w:pPr>
            <w:r/>
            <w:r>
              <w:rPr>
                <w:rFonts w:ascii="Times New Roman" w:hAnsi="Times New Roman"/>
                <w:b w:val="0"/>
                <w:sz w:val="16"/>
              </w:rPr>
              <w:t>123.5</w:t>
            </w:r>
          </w:p>
        </w:tc>
        <w:tc>
          <w:tcPr>
            <w:tcW w:type="dxa" w:w="1152"/>
            <w:tcBorders>
              <w:bottom w:val="single" w:sz="12" w:color="000000"/>
            </w:tcBorders>
          </w:tcPr>
          <w:p>
            <w:pPr>
              <w:jc w:val="center"/>
            </w:pPr>
            <w:r/>
            <w:r>
              <w:rPr>
                <w:rFonts w:ascii="Times New Roman" w:hAnsi="Times New Roman"/>
                <w:b w:val="0"/>
                <w:sz w:val="16"/>
              </w:rPr>
              <w:t>47/47</w:t>
            </w:r>
          </w:p>
        </w:tc>
        <w:tc>
          <w:tcPr>
            <w:tcW w:type="dxa" w:w="1152"/>
            <w:tcBorders>
              <w:bottom w:val="single" w:sz="12" w:color="000000"/>
            </w:tcBorders>
          </w:tcPr>
          <w:p>
            <w:pPr>
              <w:jc w:val="center"/>
            </w:pPr>
            <w:r/>
            <w:r>
              <w:rPr>
                <w:rFonts w:ascii="Times New Roman" w:hAnsi="Times New Roman"/>
                <w:b w:val="0"/>
                <w:sz w:val="16"/>
              </w:rPr>
              <w:t>infeasible</w:t>
            </w:r>
          </w:p>
        </w:tc>
        <w:tc>
          <w:tcPr>
            <w:tcW w:type="dxa" w:w="1152"/>
            <w:tcBorders>
              <w:bottom w:val="single" w:sz="12" w:color="000000"/>
            </w:tcBorders>
          </w:tcPr>
          <w:p>
            <w:pPr>
              <w:jc w:val="center"/>
            </w:pPr>
            <w:r/>
            <w:r>
              <w:rPr>
                <w:rFonts w:ascii="Times New Roman" w:hAnsi="Times New Roman"/>
                <w:b w:val="0"/>
                <w:sz w:val="16"/>
              </w:rPr>
              <w:t>6.0</w:t>
            </w:r>
          </w:p>
        </w:tc>
        <w:tc>
          <w:tcPr>
            <w:tcW w:type="dxa" w:w="1152"/>
            <w:tcBorders>
              <w:bottom w:val="single" w:sz="12" w:color="000000"/>
            </w:tcBorders>
          </w:tcPr>
          <w:p>
            <w:pPr>
              <w:jc w:val="center"/>
            </w:pPr>
            <w:r/>
            <w:r>
              <w:rPr>
                <w:rFonts w:ascii="Times New Roman" w:hAnsi="Times New Roman"/>
                <w:b w:val="0"/>
                <w:sz w:val="16"/>
              </w:rPr>
              <w:t>0/47</w:t>
            </w:r>
          </w:p>
        </w:tc>
      </w:tr>
    </w:tbl>
    <w:p>
      <w:pPr>
        <w:spacing w:after="40"/>
      </w:pPr>
    </w:p>
    <w:p>
      <w:pPr>
        <w:sectPr w:rsidR="007E713A" w:rsidSect="00002FAF">
          <w:headerReference w:type="default" r:id="rId9"/>
          <w:type w:val="continuous"/>
          <w:pgSz w:w="12240" w:h="15840"/>
          <w:pgMar w:top="1008" w:right="936" w:bottom="1008" w:left="936" w:header="432" w:footer="432" w:gutter="0"/>
          <w:cols w:space="288"/>
        </w:sectPr>
      </w:pPr>
    </w:p>
    <w:p>
      <w:pPr>
        <w:spacing w:before="0"/>
      </w:pPr>
      <w:r>
        <w:rPr>
          <w:rFonts w:ascii="Times New Roman" w:hAnsi="Times New Roman"/>
          <w:sz w:val="16"/>
        </w:rPr>
        <w:t>Rows are corpus-size subsamples drawn across different experiment generations, so the piece counts are not a uniform ladder and build times are not monotone in row order; scaling conclusions rely on within-generation interpolation rather than on adjacent-row differences.</w:t>
      </w:r>
    </w:p>
    <w:p>
      <w:pPr>
        <w:pStyle w:val="Heading2"/>
      </w:pPr>
      <w:r>
        <w:t>B. Recall matrix and the evidence bound</w:t>
      </w:r>
    </w:p>
    <w:p>
      <w:pPr>
        <w:spacing w:after="0"/>
        <w:ind w:firstLine="204"/>
        <w:jc w:val="both"/>
      </w:pPr>
      <w:r>
        <w:t>Table III summarizes and Fig. 4 visualizes the 337-cell recall matrix. Verbatim cells hit 100% as constructed; overall recall is 334/337 = 99.1%, and every failure lies outside the declared tolerance (e.g., transposition by 6 semitones against a ±2 guarantee). Fig. 5 verifies the bound: across all 337 cells the measured donor evidence never falls below the theoretical lower bound (0 violations; margins in Table IV), which is the empirical anchor of the recall contract.</w:t>
      </w:r>
    </w:p>
    <w:p>
      <w:p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pStyle w:val="TableTitle"/>
        <w:keepNext/>
      </w:pPr>
      <w:r>
        <w:t>TABLE III.</w:t>
      </w:r>
    </w:p>
    <w:p>
      <w:pPr>
        <w:pStyle w:val="TableTitle"/>
        <w:keepNext/>
      </w:pPr>
      <w:r>
        <w:t>Recall (%) of the L1 tolerant screen on 337 planted-copy cells (five seeds per cell; k_pitch = 2, k_bin = 1). Bold marks cells below 100 %.</w:t>
      </w:r>
    </w:p>
    <w:tbl>
      <w:tblPr>
        <w:tblW w:type="auto" w:w="0"/>
        <w:jc w:val="center"/>
        <w:tblLayout w:type="autofit"/>
        <w:tblLook w:firstColumn="1" w:firstRow="1" w:lastColumn="0" w:lastRow="0" w:noHBand="0" w:noVBand="1" w:val="04A0"/>
      </w:tblPr>
      <w:tblGrid>
        <w:gridCol w:w="1481"/>
        <w:gridCol w:w="1481"/>
        <w:gridCol w:w="1481"/>
        <w:gridCol w:w="1481"/>
        <w:gridCol w:w="1481"/>
        <w:gridCol w:w="1481"/>
        <w:gridCol w:w="1481"/>
      </w:tblGrid>
      <w:tr>
        <w:trPr>
          <w:cantSplit/>
        </w:trPr>
        <w:tc>
          <w:tcPr>
            <w:tcW w:type="dxa" w:w="1481"/>
            <w:tcBorders>
              <w:top w:val="single" w:sz="12" w:color="000000"/>
              <w:bottom w:val="single" w:sz="6" w:color="000000"/>
            </w:tcBorders>
          </w:tcPr>
          <w:p>
            <w:pPr>
              <w:keepNext/>
              <w:jc w:val="left"/>
            </w:pPr>
            <w:r/>
            <w:r>
              <w:rPr>
                <w:rFonts w:ascii="Times New Roman" w:hAnsi="Times New Roman"/>
                <w:b/>
                <w:sz w:val="16"/>
              </w:rPr>
              <w:t>Transformation</w:t>
            </w:r>
          </w:p>
        </w:tc>
        <w:tc>
          <w:tcPr>
            <w:tcW w:type="dxa" w:w="1481"/>
            <w:tcBorders>
              <w:top w:val="single" w:sz="12" w:color="000000"/>
              <w:bottom w:val="single" w:sz="6" w:color="000000"/>
            </w:tcBorders>
          </w:tcPr>
          <w:p>
            <w:pPr>
              <w:keepNext/>
              <w:jc w:val="center"/>
            </w:pPr>
            <w:r/>
            <w:r>
              <w:rPr>
                <w:rFonts w:ascii="Times New Roman" w:hAnsi="Times New Roman"/>
                <w:b/>
                <w:sz w:val="16"/>
              </w:rPr>
              <w:t>Strength</w:t>
            </w:r>
          </w:p>
        </w:tc>
        <w:tc>
          <w:tcPr>
            <w:tcW w:type="dxa" w:w="1481"/>
            <w:tcBorders>
              <w:top w:val="single" w:sz="12" w:color="000000"/>
              <w:bottom w:val="single" w:sz="6" w:color="000000"/>
            </w:tcBorders>
          </w:tcPr>
          <w:p>
            <w:pPr>
              <w:keepNext/>
              <w:jc w:val="center"/>
            </w:pPr>
            <w:r/>
            <w:r>
              <w:rPr>
                <w:rFonts w:ascii="Times New Roman" w:hAnsi="Times New Roman"/>
                <w:b/>
                <w:sz w:val="16"/>
              </w:rPr>
              <w:t>2 s</w:t>
            </w:r>
          </w:p>
        </w:tc>
        <w:tc>
          <w:tcPr>
            <w:tcW w:type="dxa" w:w="1481"/>
            <w:tcBorders>
              <w:top w:val="single" w:sz="12" w:color="000000"/>
              <w:bottom w:val="single" w:sz="6" w:color="000000"/>
            </w:tcBorders>
          </w:tcPr>
          <w:p>
            <w:pPr>
              <w:keepNext/>
              <w:jc w:val="center"/>
            </w:pPr>
            <w:r/>
            <w:r>
              <w:rPr>
                <w:rFonts w:ascii="Times New Roman" w:hAnsi="Times New Roman"/>
                <w:b/>
                <w:sz w:val="16"/>
              </w:rPr>
              <w:t>4 s</w:t>
            </w:r>
          </w:p>
        </w:tc>
        <w:tc>
          <w:tcPr>
            <w:tcW w:type="dxa" w:w="1481"/>
            <w:tcBorders>
              <w:top w:val="single" w:sz="12" w:color="000000"/>
              <w:bottom w:val="single" w:sz="6" w:color="000000"/>
            </w:tcBorders>
          </w:tcPr>
          <w:p>
            <w:pPr>
              <w:keepNext/>
              <w:jc w:val="center"/>
            </w:pPr>
            <w:r/>
            <w:r>
              <w:rPr>
                <w:rFonts w:ascii="Times New Roman" w:hAnsi="Times New Roman"/>
                <w:b/>
                <w:sz w:val="16"/>
              </w:rPr>
              <w:t>8 s</w:t>
            </w:r>
          </w:p>
        </w:tc>
        <w:tc>
          <w:tcPr>
            <w:tcW w:type="dxa" w:w="1481"/>
            <w:tcBorders>
              <w:top w:val="single" w:sz="12" w:color="000000"/>
              <w:bottom w:val="single" w:sz="6" w:color="000000"/>
            </w:tcBorders>
          </w:tcPr>
          <w:p>
            <w:pPr>
              <w:keepNext/>
              <w:jc w:val="center"/>
            </w:pPr>
            <w:r/>
            <w:r>
              <w:rPr>
                <w:rFonts w:ascii="Times New Roman" w:hAnsi="Times New Roman"/>
                <w:b/>
                <w:sz w:val="16"/>
              </w:rPr>
              <w:t>16 s</w:t>
            </w:r>
          </w:p>
        </w:tc>
        <w:tc>
          <w:tcPr>
            <w:tcW w:type="dxa" w:w="1481"/>
            <w:tcBorders>
              <w:top w:val="single" w:sz="12" w:color="000000"/>
              <w:bottom w:val="single" w:sz="6" w:color="000000"/>
            </w:tcBorders>
          </w:tcPr>
          <w:p>
            <w:pPr>
              <w:keepNext/>
              <w:jc w:val="center"/>
            </w:pPr>
            <w:r/>
            <w:r>
              <w:rPr>
                <w:rFonts w:ascii="Times New Roman" w:hAnsi="Times New Roman"/>
                <w:b/>
                <w:sz w:val="16"/>
              </w:rPr>
              <w:t>All</w:t>
            </w:r>
          </w:p>
        </w:tc>
      </w:tr>
      <w:tr>
        <w:trPr>
          <w:cantSplit/>
        </w:trPr>
        <w:tc>
          <w:tcPr>
            <w:tcW w:type="dxa" w:w="1481"/>
          </w:tcPr>
          <w:p>
            <w:pPr>
              <w:keepNext/>
              <w:jc w:val="left"/>
            </w:pPr>
            <w:r/>
            <w:r>
              <w:rPr>
                <w:rFonts w:ascii="Times New Roman" w:hAnsi="Times New Roman"/>
                <w:b w:val="0"/>
                <w:sz w:val="16"/>
              </w:rPr>
              <w:t>Verbatim</w:t>
            </w:r>
          </w:p>
        </w:tc>
        <w:tc>
          <w:tcPr>
            <w:tcW w:type="dxa" w:w="1481"/>
          </w:tcPr>
          <w:p>
            <w:pPr>
              <w:keepNext/>
              <w:jc w:val="center"/>
            </w:pPr>
            <w:r/>
            <w:r>
              <w:rPr>
                <w:rFonts w:ascii="Times New Roman" w:hAnsi="Times New Roman"/>
                <w:b w:val="0"/>
                <w:sz w:val="16"/>
              </w:rPr>
              <w:t>identity</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100.0</w:t>
            </w:r>
          </w:p>
        </w:tc>
      </w:tr>
      <w:tr>
        <w:trPr>
          <w:cantSplit/>
        </w:trPr>
        <w:tc>
          <w:tcPr>
            <w:tcW w:type="dxa" w:w="1481"/>
          </w:tcPr>
          <w:p>
            <w:pPr>
              <w:keepNext/>
              <w:jc w:val="left"/>
            </w:pPr>
            <w:r/>
            <w:r>
              <w:rPr>
                <w:rFonts w:ascii="Times New Roman" w:hAnsi="Times New Roman"/>
                <w:b w:val="0"/>
                <w:sz w:val="16"/>
              </w:rPr>
              <w:t>Transpose</w:t>
            </w:r>
          </w:p>
        </w:tc>
        <w:tc>
          <w:tcPr>
            <w:tcW w:type="dxa" w:w="1481"/>
          </w:tcPr>
          <w:p>
            <w:pPr>
              <w:keepNext/>
              <w:jc w:val="center"/>
            </w:pPr>
            <w:r/>
            <w:r>
              <w:rPr>
                <w:rFonts w:ascii="Times New Roman" w:hAnsi="Times New Roman"/>
                <w:b w:val="0"/>
                <w:sz w:val="16"/>
              </w:rPr>
              <w:t>±1 st</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100.0</w:t>
            </w:r>
          </w:p>
        </w:tc>
      </w:tr>
      <w:tr>
        <w:trPr>
          <w:cantSplit/>
        </w:trPr>
        <w:tc>
          <w:tcPr>
            <w:tcW w:type="dxa" w:w="1481"/>
          </w:tcPr>
          <w:p>
            <w:pPr>
              <w:keepNext/>
              <w:jc w:val="left"/>
            </w:pPr>
            <w:r/>
            <w:r>
              <w:rPr>
                <w:rFonts w:ascii="Times New Roman" w:hAnsi="Times New Roman"/>
                <w:b w:val="0"/>
                <w:sz w:val="16"/>
              </w:rPr>
            </w:r>
          </w:p>
        </w:tc>
        <w:tc>
          <w:tcPr>
            <w:tcW w:type="dxa" w:w="1481"/>
          </w:tcPr>
          <w:p>
            <w:pPr>
              <w:keepNext/>
              <w:jc w:val="center"/>
            </w:pPr>
            <w:r/>
            <w:r>
              <w:rPr>
                <w:rFonts w:ascii="Times New Roman" w:hAnsi="Times New Roman"/>
                <w:b w:val="0"/>
                <w:sz w:val="16"/>
              </w:rPr>
              <w:t>±2 st</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100.0</w:t>
            </w:r>
          </w:p>
        </w:tc>
      </w:tr>
      <w:tr>
        <w:trPr>
          <w:cantSplit/>
        </w:trPr>
        <w:tc>
          <w:tcPr>
            <w:tcW w:type="dxa" w:w="1481"/>
          </w:tcPr>
          <w:p>
            <w:pPr>
              <w:keepNext/>
              <w:jc w:val="left"/>
            </w:pPr>
            <w:r/>
            <w:r>
              <w:rPr>
                <w:rFonts w:ascii="Times New Roman" w:hAnsi="Times New Roman"/>
                <w:b w:val="0"/>
                <w:sz w:val="16"/>
              </w:rPr>
            </w:r>
          </w:p>
        </w:tc>
        <w:tc>
          <w:tcPr>
            <w:tcW w:type="dxa" w:w="1481"/>
          </w:tcPr>
          <w:p>
            <w:pPr>
              <w:keepNext/>
              <w:jc w:val="center"/>
            </w:pPr>
            <w:r/>
            <w:r>
              <w:rPr>
                <w:rFonts w:ascii="Times New Roman" w:hAnsi="Times New Roman"/>
                <w:b w:val="0"/>
                <w:sz w:val="16"/>
              </w:rPr>
              <w:t>±4 st</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100.0</w:t>
            </w:r>
          </w:p>
        </w:tc>
      </w:tr>
      <w:tr>
        <w:trPr>
          <w:cantSplit/>
        </w:trPr>
        <w:tc>
          <w:tcPr>
            <w:tcW w:type="dxa" w:w="1481"/>
          </w:tcPr>
          <w:p>
            <w:pPr>
              <w:keepNext/>
              <w:jc w:val="left"/>
            </w:pPr>
            <w:r/>
            <w:r>
              <w:rPr>
                <w:rFonts w:ascii="Times New Roman" w:hAnsi="Times New Roman"/>
                <w:b w:val="0"/>
                <w:sz w:val="16"/>
              </w:rPr>
            </w:r>
          </w:p>
        </w:tc>
        <w:tc>
          <w:tcPr>
            <w:tcW w:type="dxa" w:w="1481"/>
          </w:tcPr>
          <w:p>
            <w:pPr>
              <w:keepNext/>
              <w:jc w:val="center"/>
            </w:pPr>
            <w:r/>
            <w:r>
              <w:rPr>
                <w:rFonts w:ascii="Times New Roman" w:hAnsi="Times New Roman"/>
                <w:b w:val="0"/>
                <w:sz w:val="16"/>
              </w:rPr>
              <w:t>±6 st</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100.0</w:t>
            </w:r>
          </w:p>
        </w:tc>
      </w:tr>
      <w:tr>
        <w:trPr>
          <w:cantSplit/>
        </w:trPr>
        <w:tc>
          <w:tcPr>
            <w:tcW w:type="dxa" w:w="1481"/>
          </w:tcPr>
          <w:p>
            <w:pPr>
              <w:keepNext/>
              <w:jc w:val="left"/>
            </w:pPr>
            <w:r/>
            <w:r>
              <w:rPr>
                <w:rFonts w:ascii="Times New Roman" w:hAnsi="Times New Roman"/>
                <w:b w:val="0"/>
                <w:sz w:val="16"/>
              </w:rPr>
              <w:t>Tempo scaling</w:t>
            </w:r>
          </w:p>
        </w:tc>
        <w:tc>
          <w:tcPr>
            <w:tcW w:type="dxa" w:w="1481"/>
          </w:tcPr>
          <w:p>
            <w:pPr>
              <w:keepNext/>
              <w:jc w:val="center"/>
            </w:pPr>
            <w:r/>
            <w:r>
              <w:rPr>
                <w:rFonts w:ascii="Times New Roman" w:hAnsi="Times New Roman"/>
                <w:b w:val="0"/>
                <w:sz w:val="16"/>
              </w:rPr>
              <w:t>×1.05</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100.0</w:t>
            </w:r>
          </w:p>
        </w:tc>
      </w:tr>
      <w:tr>
        <w:trPr>
          <w:cantSplit/>
        </w:trPr>
        <w:tc>
          <w:tcPr>
            <w:tcW w:type="dxa" w:w="1481"/>
          </w:tcPr>
          <w:p>
            <w:pPr>
              <w:keepNext/>
              <w:jc w:val="left"/>
            </w:pPr>
            <w:r/>
            <w:r>
              <w:rPr>
                <w:rFonts w:ascii="Times New Roman" w:hAnsi="Times New Roman"/>
                <w:b w:val="0"/>
                <w:sz w:val="16"/>
              </w:rPr>
            </w:r>
          </w:p>
        </w:tc>
        <w:tc>
          <w:tcPr>
            <w:tcW w:type="dxa" w:w="1481"/>
          </w:tcPr>
          <w:p>
            <w:pPr>
              <w:keepNext/>
              <w:jc w:val="center"/>
            </w:pPr>
            <w:r/>
            <w:r>
              <w:rPr>
                <w:rFonts w:ascii="Times New Roman" w:hAnsi="Times New Roman"/>
                <w:b w:val="0"/>
                <w:sz w:val="16"/>
              </w:rPr>
              <w:t>×1.10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100.0</w:t>
            </w:r>
          </w:p>
        </w:tc>
      </w:tr>
      <w:tr>
        <w:trPr>
          <w:cantSplit/>
        </w:trPr>
        <w:tc>
          <w:tcPr>
            <w:tcW w:type="dxa" w:w="1481"/>
          </w:tcPr>
          <w:p>
            <w:pPr>
              <w:keepNext/>
              <w:jc w:val="left"/>
            </w:pPr>
            <w:r/>
            <w:r>
              <w:rPr>
                <w:rFonts w:ascii="Times New Roman" w:hAnsi="Times New Roman"/>
                <w:b w:val="0"/>
                <w:sz w:val="16"/>
              </w:rPr>
            </w:r>
          </w:p>
        </w:tc>
        <w:tc>
          <w:tcPr>
            <w:tcW w:type="dxa" w:w="1481"/>
          </w:tcPr>
          <w:p>
            <w:pPr>
              <w:keepNext/>
              <w:jc w:val="center"/>
            </w:pPr>
            <w:r/>
            <w:r>
              <w:rPr>
                <w:rFonts w:ascii="Times New Roman" w:hAnsi="Times New Roman"/>
                <w:b w:val="0"/>
                <w:sz w:val="16"/>
              </w:rPr>
              <w:t>×1.20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100.0</w:t>
            </w:r>
          </w:p>
        </w:tc>
      </w:tr>
      <w:tr>
        <w:trPr>
          <w:cantSplit/>
        </w:trPr>
        <w:tc>
          <w:tcPr>
            <w:tcW w:type="dxa" w:w="1481"/>
          </w:tcPr>
          <w:p>
            <w:pPr>
              <w:keepNext/>
              <w:jc w:val="left"/>
            </w:pPr>
            <w:r/>
            <w:r>
              <w:rPr>
                <w:rFonts w:ascii="Times New Roman" w:hAnsi="Times New Roman"/>
                <w:b w:val="0"/>
                <w:sz w:val="16"/>
              </w:rPr>
              <w:t>Split–merge</w:t>
            </w:r>
          </w:p>
        </w:tc>
        <w:tc>
          <w:tcPr>
            <w:tcW w:type="dxa" w:w="1481"/>
          </w:tcPr>
          <w:p>
            <w:pPr>
              <w:keepNext/>
              <w:jc w:val="center"/>
            </w:pPr>
            <w:r/>
            <w:r>
              <w:rPr>
                <w:rFonts w:ascii="Times New Roman" w:hAnsi="Times New Roman"/>
                <w:b w:val="0"/>
                <w:sz w:val="16"/>
              </w:rPr>
              <w:t>p = 0.10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100.0</w:t>
            </w:r>
          </w:p>
        </w:tc>
      </w:tr>
      <w:tr>
        <w:trPr>
          <w:cantSplit/>
        </w:trPr>
        <w:tc>
          <w:tcPr>
            <w:tcW w:type="dxa" w:w="1481"/>
          </w:tcPr>
          <w:p>
            <w:pPr>
              <w:keepNext/>
              <w:jc w:val="left"/>
            </w:pPr>
            <w:r/>
            <w:r>
              <w:rPr>
                <w:rFonts w:ascii="Times New Roman" w:hAnsi="Times New Roman"/>
                <w:b w:val="0"/>
                <w:sz w:val="16"/>
              </w:rPr>
            </w:r>
          </w:p>
        </w:tc>
        <w:tc>
          <w:tcPr>
            <w:tcW w:type="dxa" w:w="1481"/>
          </w:tcPr>
          <w:p>
            <w:pPr>
              <w:keepNext/>
              <w:jc w:val="center"/>
            </w:pPr>
            <w:r/>
            <w:r>
              <w:rPr>
                <w:rFonts w:ascii="Times New Roman" w:hAnsi="Times New Roman"/>
                <w:b w:val="0"/>
                <w:sz w:val="16"/>
              </w:rPr>
              <w:t>p = 0.20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100.0</w:t>
            </w:r>
          </w:p>
        </w:tc>
      </w:tr>
      <w:tr>
        <w:trPr>
          <w:cantSplit/>
        </w:trPr>
        <w:tc>
          <w:tcPr>
            <w:tcW w:type="dxa" w:w="1481"/>
          </w:tcPr>
          <w:p>
            <w:pPr>
              <w:keepNext/>
              <w:jc w:val="left"/>
            </w:pPr>
            <w:r/>
            <w:r>
              <w:rPr>
                <w:rFonts w:ascii="Times New Roman" w:hAnsi="Times New Roman"/>
                <w:b w:val="0"/>
                <w:sz w:val="16"/>
              </w:rPr>
            </w:r>
          </w:p>
        </w:tc>
        <w:tc>
          <w:tcPr>
            <w:tcW w:type="dxa" w:w="1481"/>
          </w:tcPr>
          <w:p>
            <w:pPr>
              <w:keepNext/>
              <w:jc w:val="center"/>
            </w:pPr>
            <w:r/>
            <w:r>
              <w:rPr>
                <w:rFonts w:ascii="Times New Roman" w:hAnsi="Times New Roman"/>
                <w:b w:val="0"/>
                <w:sz w:val="16"/>
              </w:rPr>
              <w:t>p = 0.30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100.0</w:t>
            </w:r>
          </w:p>
        </w:tc>
      </w:tr>
      <w:tr>
        <w:trPr>
          <w:cantSplit/>
        </w:trPr>
        <w:tc>
          <w:tcPr>
            <w:tcW w:type="dxa" w:w="1481"/>
          </w:tcPr>
          <w:p>
            <w:pPr>
              <w:keepNext/>
              <w:jc w:val="left"/>
            </w:pPr>
            <w:r/>
            <w:r>
              <w:rPr>
                <w:rFonts w:ascii="Times New Roman" w:hAnsi="Times New Roman"/>
                <w:b w:val="0"/>
                <w:sz w:val="16"/>
              </w:rPr>
              <w:t>Re-instrumentation</w:t>
            </w:r>
          </w:p>
        </w:tc>
        <w:tc>
          <w:tcPr>
            <w:tcW w:type="dxa" w:w="1481"/>
          </w:tcPr>
          <w:p>
            <w:pPr>
              <w:keepNext/>
              <w:jc w:val="center"/>
            </w:pPr>
            <w:r/>
            <w:r>
              <w:rPr>
                <w:rFonts w:ascii="Times New Roman" w:hAnsi="Times New Roman"/>
                <w:b w:val="0"/>
                <w:sz w:val="16"/>
              </w:rPr>
              <w:t>p_drop = 0.10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100.0</w:t>
            </w:r>
          </w:p>
        </w:tc>
      </w:tr>
      <w:tr>
        <w:trPr>
          <w:cantSplit/>
        </w:trPr>
        <w:tc>
          <w:tcPr>
            <w:tcW w:type="dxa" w:w="1481"/>
          </w:tcPr>
          <w:p>
            <w:pPr>
              <w:keepNext/>
              <w:jc w:val="left"/>
            </w:pPr>
            <w:r/>
            <w:r>
              <w:rPr>
                <w:rFonts w:ascii="Times New Roman" w:hAnsi="Times New Roman"/>
                <w:b w:val="0"/>
                <w:sz w:val="16"/>
              </w:rPr>
            </w:r>
          </w:p>
        </w:tc>
        <w:tc>
          <w:tcPr>
            <w:tcW w:type="dxa" w:w="1481"/>
          </w:tcPr>
          <w:p>
            <w:pPr>
              <w:keepNext/>
              <w:jc w:val="center"/>
            </w:pPr>
            <w:r/>
            <w:r>
              <w:rPr>
                <w:rFonts w:ascii="Times New Roman" w:hAnsi="Times New Roman"/>
                <w:b w:val="0"/>
                <w:sz w:val="16"/>
              </w:rPr>
              <w:t>p_drop = 0.25</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100.0</w:t>
            </w:r>
          </w:p>
        </w:tc>
      </w:tr>
      <w:tr>
        <w:trPr>
          <w:cantSplit/>
        </w:trPr>
        <w:tc>
          <w:tcPr>
            <w:tcW w:type="dxa" w:w="1481"/>
          </w:tcPr>
          <w:p>
            <w:pPr>
              <w:keepNext/>
              <w:jc w:val="left"/>
            </w:pPr>
            <w:r/>
            <w:r>
              <w:rPr>
                <w:rFonts w:ascii="Times New Roman" w:hAnsi="Times New Roman"/>
                <w:b w:val="0"/>
                <w:sz w:val="16"/>
              </w:rPr>
            </w:r>
          </w:p>
        </w:tc>
        <w:tc>
          <w:tcPr>
            <w:tcW w:type="dxa" w:w="1481"/>
          </w:tcPr>
          <w:p>
            <w:pPr>
              <w:keepNext/>
              <w:jc w:val="center"/>
            </w:pPr>
            <w:r/>
            <w:r>
              <w:rPr>
                <w:rFonts w:ascii="Times New Roman" w:hAnsi="Times New Roman"/>
                <w:b w:val="0"/>
                <w:sz w:val="16"/>
              </w:rPr>
              <w:t>p_drop = 0.40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sz w:val="16"/>
              </w:rPr>
              <w:t>80</w:t>
            </w:r>
          </w:p>
        </w:tc>
        <w:tc>
          <w:tcPr>
            <w:tcW w:type="dxa" w:w="1481"/>
          </w:tcPr>
          <w:p>
            <w:pPr>
              <w:keepNext/>
              <w:jc w:val="center"/>
            </w:pPr>
            <w:r/>
            <w:r>
              <w:rPr>
                <w:rFonts w:ascii="Times New Roman" w:hAnsi="Times New Roman"/>
                <w:b/>
                <w:sz w:val="16"/>
              </w:rPr>
              <w:t>94.7</w:t>
            </w:r>
          </w:p>
        </w:tc>
      </w:tr>
      <w:tr>
        <w:trPr>
          <w:cantSplit/>
        </w:trPr>
        <w:tc>
          <w:tcPr>
            <w:tcW w:type="dxa" w:w="1481"/>
          </w:tcPr>
          <w:p>
            <w:pPr>
              <w:keepNext/>
              <w:jc w:val="left"/>
            </w:pPr>
            <w:r/>
            <w:r>
              <w:rPr>
                <w:rFonts w:ascii="Times New Roman" w:hAnsi="Times New Roman"/>
                <w:b w:val="0"/>
                <w:sz w:val="16"/>
              </w:rPr>
              <w:t>Transcription noise</w:t>
            </w:r>
          </w:p>
        </w:tc>
        <w:tc>
          <w:tcPr>
            <w:tcW w:type="dxa" w:w="1481"/>
          </w:tcPr>
          <w:p>
            <w:pPr>
              <w:keepNext/>
              <w:jc w:val="center"/>
            </w:pPr>
            <w:r/>
            <w:r>
              <w:rPr>
                <w:rFonts w:ascii="Times New Roman" w:hAnsi="Times New Roman"/>
                <w:b w:val="0"/>
                <w:sz w:val="16"/>
              </w:rPr>
              <w:t>q = 15 ms, miss 4 %</w:t>
            </w:r>
          </w:p>
        </w:tc>
        <w:tc>
          <w:tcPr>
            <w:tcW w:type="dxa" w:w="1481"/>
          </w:tcPr>
          <w:p>
            <w:pPr>
              <w:keepNext/>
              <w:jc w:val="center"/>
            </w:pPr>
            <w:r/>
            <w:r>
              <w:rPr>
                <w:rFonts w:ascii="Times New Roman" w:hAnsi="Times New Roman"/>
                <w:b/>
                <w:sz w:val="16"/>
              </w:rPr>
              <w:t>80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sz w:val="16"/>
              </w:rPr>
              <w:t>95.0</w:t>
            </w:r>
          </w:p>
        </w:tc>
      </w:tr>
      <w:tr>
        <w:trPr>
          <w:cantSplit/>
        </w:trPr>
        <w:tc>
          <w:tcPr>
            <w:tcW w:type="dxa" w:w="1481"/>
          </w:tcPr>
          <w:p>
            <w:pPr>
              <w:keepNext/>
              <w:jc w:val="left"/>
            </w:pPr>
            <w:r/>
            <w:r>
              <w:rPr>
                <w:rFonts w:ascii="Times New Roman" w:hAnsi="Times New Roman"/>
                <w:b w:val="0"/>
                <w:sz w:val="16"/>
              </w:rPr>
            </w:r>
          </w:p>
        </w:tc>
        <w:tc>
          <w:tcPr>
            <w:tcW w:type="dxa" w:w="1481"/>
          </w:tcPr>
          <w:p>
            <w:pPr>
              <w:keepNext/>
              <w:jc w:val="center"/>
            </w:pPr>
            <w:r/>
            <w:r>
              <w:rPr>
                <w:rFonts w:ascii="Times New Roman" w:hAnsi="Times New Roman"/>
                <w:b w:val="0"/>
                <w:sz w:val="16"/>
              </w:rPr>
              <w:t>q = 30 ms, miss 8 %</w:t>
            </w:r>
          </w:p>
        </w:tc>
        <w:tc>
          <w:tcPr>
            <w:tcW w:type="dxa" w:w="1481"/>
          </w:tcPr>
          <w:p>
            <w:pPr>
              <w:keepNext/>
              <w:jc w:val="center"/>
            </w:pPr>
            <w:r/>
            <w:r>
              <w:rPr>
                <w:rFonts w:ascii="Times New Roman" w:hAnsi="Times New Roman"/>
                <w:b/>
                <w:sz w:val="16"/>
              </w:rPr>
              <w:t>80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sz w:val="16"/>
              </w:rPr>
              <w:t>95.0</w:t>
            </w:r>
          </w:p>
        </w:tc>
      </w:tr>
      <w:tr>
        <w:trPr>
          <w:cantSplit/>
        </w:trPr>
        <w:tc>
          <w:tcPr>
            <w:tcW w:type="dxa" w:w="1481"/>
            <w:tcBorders>
              <w:bottom w:val="single" w:sz="12" w:color="000000"/>
            </w:tcBorders>
          </w:tcPr>
          <w:p>
            <w:pPr>
              <w:jc w:val="left"/>
            </w:pPr>
            <w:r/>
            <w:r>
              <w:rPr>
                <w:rFonts w:ascii="Times New Roman" w:hAnsi="Times New Roman"/>
                <w:b w:val="0"/>
                <w:sz w:val="16"/>
              </w:rPr>
            </w:r>
          </w:p>
        </w:tc>
        <w:tc>
          <w:tcPr>
            <w:tcW w:type="dxa" w:w="1481"/>
            <w:tcBorders>
              <w:bottom w:val="single" w:sz="12" w:color="000000"/>
            </w:tcBorders>
          </w:tcPr>
          <w:p>
            <w:pPr>
              <w:jc w:val="center"/>
            </w:pPr>
            <w:r/>
            <w:r>
              <w:rPr>
                <w:rFonts w:ascii="Times New Roman" w:hAnsi="Times New Roman"/>
                <w:b w:val="0"/>
                <w:sz w:val="16"/>
              </w:rPr>
              <w:t>q = 60 ms, miss 15 %</w:t>
            </w:r>
          </w:p>
        </w:tc>
        <w:tc>
          <w:tcPr>
            <w:tcW w:type="dxa" w:w="1481"/>
            <w:tcBorders>
              <w:bottom w:val="single" w:sz="12" w:color="000000"/>
            </w:tcBorders>
          </w:tcPr>
          <w:p>
            <w:pPr>
              <w:jc w:val="center"/>
            </w:pPr>
            <w:r/>
            <w:r>
              <w:rPr>
                <w:rFonts w:ascii="Times New Roman" w:hAnsi="Times New Roman"/>
                <w:b w:val="0"/>
                <w:sz w:val="16"/>
              </w:rPr>
              <w:t>100</w:t>
            </w:r>
          </w:p>
        </w:tc>
        <w:tc>
          <w:tcPr>
            <w:tcW w:type="dxa" w:w="1481"/>
            <w:tcBorders>
              <w:bottom w:val="single" w:sz="12" w:color="000000"/>
            </w:tcBorders>
          </w:tcPr>
          <w:p>
            <w:pPr>
              <w:jc w:val="center"/>
            </w:pPr>
            <w:r/>
            <w:r>
              <w:rPr>
                <w:rFonts w:ascii="Times New Roman" w:hAnsi="Times New Roman"/>
                <w:b w:val="0"/>
                <w:sz w:val="16"/>
              </w:rPr>
              <w:t>100</w:t>
            </w:r>
          </w:p>
        </w:tc>
        <w:tc>
          <w:tcPr>
            <w:tcW w:type="dxa" w:w="1481"/>
            <w:tcBorders>
              <w:bottom w:val="single" w:sz="12" w:color="000000"/>
            </w:tcBorders>
          </w:tcPr>
          <w:p>
            <w:pPr>
              <w:jc w:val="center"/>
            </w:pPr>
            <w:r/>
            <w:r>
              <w:rPr>
                <w:rFonts w:ascii="Times New Roman" w:hAnsi="Times New Roman"/>
                <w:b w:val="0"/>
                <w:sz w:val="16"/>
              </w:rPr>
              <w:t>100</w:t>
            </w:r>
          </w:p>
        </w:tc>
        <w:tc>
          <w:tcPr>
            <w:tcW w:type="dxa" w:w="1481"/>
            <w:tcBorders>
              <w:bottom w:val="single" w:sz="12" w:color="000000"/>
            </w:tcBorders>
          </w:tcPr>
          <w:p>
            <w:pPr>
              <w:jc w:val="center"/>
            </w:pPr>
            <w:r/>
            <w:r>
              <w:rPr>
                <w:rFonts w:ascii="Times New Roman" w:hAnsi="Times New Roman"/>
                <w:b w:val="0"/>
                <w:sz w:val="16"/>
              </w:rPr>
              <w:t>100</w:t>
            </w:r>
          </w:p>
        </w:tc>
        <w:tc>
          <w:tcPr>
            <w:tcW w:type="dxa" w:w="1481"/>
            <w:tcBorders>
              <w:bottom w:val="single" w:sz="12" w:color="000000"/>
            </w:tcBorders>
          </w:tcPr>
          <w:p>
            <w:pPr>
              <w:jc w:val="center"/>
            </w:pPr>
            <w:r/>
            <w:r>
              <w:rPr>
                <w:rFonts w:ascii="Times New Roman" w:hAnsi="Times New Roman"/>
                <w:b w:val="0"/>
                <w:sz w:val="16"/>
              </w:rPr>
              <w:t>100.0</w:t>
            </w:r>
          </w:p>
        </w:tc>
      </w:tr>
    </w:tbl>
    <w:p>
      <w:pPr>
        <w:spacing w:after="40"/>
      </w:pPr>
    </w:p>
    <w:p>
      <w:pPr>
        <w:sectPr w:rsidR="007E713A" w:rsidSect="00002FAF">
          <w:headerReference w:type="default" r:id="rId9"/>
          <w:type w:val="continuous"/>
          <w:pgSz w:w="12240" w:h="15840"/>
          <w:pgMar w:top="1008" w:right="936" w:bottom="1008" w:left="936" w:header="432" w:footer="432" w:gutter="0"/>
          <w:cols w:space="288"/>
        </w:sectPr>
      </w:pPr>
    </w:p>
    <w:p>
      <w:pPr>
        <w:keepNext/>
        <w:jc w:val="center"/>
      </w:pPr>
      <w:drawing xmlns:a="http://schemas.openxmlformats.org/drawingml/2006/main" xmlns:pic="http://schemas.openxmlformats.org/drawingml/2006/picture">
        <wp:inline distT="0" distB="0" distL="0" distR="0">
          <wp:extent cx="2880000" cy="3125757"/>
          <wp:effectExtent l="0" t="0" r="0" b="0"/>
          <wp:docPr id="104" name="fig_e1_heatmap.emf"/>
          <wp:cNvGraphicFramePr/>
          <a:graphic>
            <a:graphicData uri="http://schemas.openxmlformats.org/drawingml/2006/picture">
              <pic:pic>
                <pic:nvPicPr>
                  <pic:cNvPr id="0" name="fig_e1_heatmap.emf"/>
                  <pic:cNvPicPr/>
                </pic:nvPicPr>
                <pic:blipFill>
                  <a:blip r:embed="rId36"/>
                  <a:stretch>
                    <a:fillRect/>
                  </a:stretch>
                </pic:blipFill>
                <pic:spPr>
                  <a:xfrm>
                    <a:off x="0" y="0"/>
                    <a:ext cx="2880000" cy="3125757"/>
                  </a:xfrm>
                  <a:prstGeom prst="rect">
                    <a:avLst/>
                  </a:prstGeom>
                </pic:spPr>
              </pic:pic>
            </a:graphicData>
          </a:graphic>
        </wp:inline>
      </w:drawing>
    </w:p>
    <w:p>
      <w:pPr>
        <w:pStyle w:val="FigureCaption"/>
      </w:pPr>
      <w:r>
        <w:rPr>
          <w:sz w:val="19"/>
        </w:rPr>
        <w:t>Fig. 4. Recall heatmap of the 337-cell matrix; rows are transformation and strength, columns span length. The three sub-100 % cells pair extreme noise with the shortest spans.</w:t>
      </w:r>
    </w:p>
    <w:p>
      <w:pPr>
        <w:pStyle w:val="TableTitle"/>
        <w:keepNext/>
      </w:pPr>
      <w:r>
        <w:t>TABLE IV.</w:t>
      </w:r>
    </w:p>
    <w:p>
      <w:pPr>
        <w:pStyle w:val="TableTitle"/>
        <w:keepNext/>
      </w:pPr>
      <w:r>
        <w:t>Donor evidence margin (donor score minus theoretical lower bound) per transformation; a negative margin would be a bound violation.</w:t>
      </w:r>
    </w:p>
    <w:tbl>
      <w:tblPr>
        <w:tblW w:type="auto" w:w="0"/>
        <w:jc w:val="center"/>
        <w:tblLayout w:type="autofit"/>
        <w:tblLook w:firstColumn="1" w:firstRow="1" w:lastColumn="0" w:lastRow="0" w:noHBand="0" w:noVBand="1" w:val="04A0"/>
      </w:tblPr>
      <w:tblGrid>
        <w:gridCol w:w="2074"/>
        <w:gridCol w:w="2074"/>
        <w:gridCol w:w="2074"/>
        <w:gridCol w:w="2074"/>
        <w:gridCol w:w="2074"/>
      </w:tblGrid>
      <w:tr>
        <w:trPr>
          <w:cantSplit/>
        </w:trPr>
        <w:tc>
          <w:tcPr>
            <w:tcW w:type="dxa" w:w="2074"/>
            <w:tcBorders>
              <w:top w:val="single" w:sz="12" w:color="000000"/>
              <w:bottom w:val="single" w:sz="6" w:color="000000"/>
            </w:tcBorders>
          </w:tcPr>
          <w:p>
            <w:pPr>
              <w:keepNext/>
              <w:jc w:val="left"/>
            </w:pPr>
            <w:r/>
            <w:r>
              <w:rPr>
                <w:rFonts w:ascii="Times New Roman" w:hAnsi="Times New Roman"/>
                <w:b/>
                <w:sz w:val="16"/>
              </w:rPr>
              <w:t>Transformation</w:t>
            </w:r>
          </w:p>
        </w:tc>
        <w:tc>
          <w:tcPr>
            <w:tcW w:type="dxa" w:w="2074"/>
            <w:tcBorders>
              <w:top w:val="single" w:sz="12" w:color="000000"/>
              <w:bottom w:val="single" w:sz="6" w:color="000000"/>
            </w:tcBorders>
          </w:tcPr>
          <w:p>
            <w:pPr>
              <w:keepNext/>
              <w:jc w:val="center"/>
            </w:pPr>
            <w:r/>
            <w:r>
              <w:rPr>
                <w:rFonts w:ascii="Times New Roman" w:hAnsi="Times New Roman"/>
                <w:b/>
                <w:sz w:val="16"/>
              </w:rPr>
              <w:t>Cells</w:t>
            </w:r>
          </w:p>
        </w:tc>
        <w:tc>
          <w:tcPr>
            <w:tcW w:type="dxa" w:w="2074"/>
            <w:tcBorders>
              <w:top w:val="single" w:sz="12" w:color="000000"/>
              <w:bottom w:val="single" w:sz="6" w:color="000000"/>
            </w:tcBorders>
          </w:tcPr>
          <w:p>
            <w:pPr>
              <w:keepNext/>
              <w:jc w:val="center"/>
            </w:pPr>
            <w:r/>
            <w:r>
              <w:rPr>
                <w:rFonts w:ascii="Times New Roman" w:hAnsi="Times New Roman"/>
                <w:b/>
                <w:sz w:val="16"/>
              </w:rPr>
              <w:t>Mean margin</w:t>
            </w:r>
          </w:p>
        </w:tc>
        <w:tc>
          <w:tcPr>
            <w:tcW w:type="dxa" w:w="2074"/>
            <w:tcBorders>
              <w:top w:val="single" w:sz="12" w:color="000000"/>
              <w:bottom w:val="single" w:sz="6" w:color="000000"/>
            </w:tcBorders>
          </w:tcPr>
          <w:p>
            <w:pPr>
              <w:keepNext/>
              <w:jc w:val="center"/>
            </w:pPr>
            <w:r/>
            <w:r>
              <w:rPr>
                <w:rFonts w:ascii="Times New Roman" w:hAnsi="Times New Roman"/>
                <w:b/>
                <w:sz w:val="16"/>
              </w:rPr>
              <w:t>Min margin</w:t>
            </w:r>
          </w:p>
        </w:tc>
        <w:tc>
          <w:tcPr>
            <w:tcW w:type="dxa" w:w="2074"/>
            <w:tcBorders>
              <w:top w:val="single" w:sz="12" w:color="000000"/>
              <w:bottom w:val="single" w:sz="6" w:color="000000"/>
            </w:tcBorders>
          </w:tcPr>
          <w:p>
            <w:pPr>
              <w:keepNext/>
              <w:jc w:val="center"/>
            </w:pPr>
            <w:r/>
            <w:r>
              <w:rPr>
                <w:rFonts w:ascii="Times New Roman" w:hAnsi="Times New Roman"/>
                <w:b/>
                <w:sz w:val="16"/>
              </w:rPr>
              <w:t>Violations</w:t>
            </w:r>
          </w:p>
        </w:tc>
      </w:tr>
      <w:tr>
        <w:trPr>
          <w:cantSplit/>
        </w:trPr>
        <w:tc>
          <w:tcPr>
            <w:tcW w:type="dxa" w:w="2074"/>
          </w:tcPr>
          <w:p>
            <w:pPr>
              <w:keepNext/>
              <w:jc w:val="left"/>
            </w:pPr>
            <w:r/>
            <w:r>
              <w:rPr>
                <w:rFonts w:ascii="Times New Roman" w:hAnsi="Times New Roman"/>
                <w:b w:val="0"/>
                <w:sz w:val="16"/>
              </w:rPr>
              <w:t>Verbatim</w:t>
            </w:r>
          </w:p>
        </w:tc>
        <w:tc>
          <w:tcPr>
            <w:tcW w:type="dxa" w:w="2074"/>
          </w:tcPr>
          <w:p>
            <w:pPr>
              <w:keepNext/>
              <w:jc w:val="center"/>
            </w:pPr>
            <w:r/>
            <w:r>
              <w:rPr>
                <w:rFonts w:ascii="Times New Roman" w:hAnsi="Times New Roman"/>
                <w:b w:val="0"/>
                <w:sz w:val="16"/>
              </w:rPr>
              <w:t>20</w:t>
            </w:r>
          </w:p>
        </w:tc>
        <w:tc>
          <w:tcPr>
            <w:tcW w:type="dxa" w:w="2074"/>
          </w:tcPr>
          <w:p>
            <w:pPr>
              <w:keepNext/>
              <w:jc w:val="center"/>
            </w:pPr>
            <w:r/>
            <w:r>
              <w:rPr>
                <w:rFonts w:ascii="Times New Roman" w:hAnsi="Times New Roman"/>
                <w:b w:val="0"/>
                <w:sz w:val="16"/>
              </w:rPr>
              <w:t>0.0</w:t>
            </w:r>
          </w:p>
        </w:tc>
        <w:tc>
          <w:tcPr>
            <w:tcW w:type="dxa" w:w="2074"/>
          </w:tcPr>
          <w:p>
            <w:pPr>
              <w:keepNext/>
              <w:jc w:val="center"/>
            </w:pPr>
            <w:r/>
            <w:r>
              <w:rPr>
                <w:rFonts w:ascii="Times New Roman" w:hAnsi="Times New Roman"/>
                <w:b w:val="0"/>
                <w:sz w:val="16"/>
              </w:rPr>
              <w:t>0</w:t>
            </w:r>
          </w:p>
        </w:tc>
        <w:tc>
          <w:tcPr>
            <w:tcW w:type="dxa" w:w="2074"/>
          </w:tcPr>
          <w:p>
            <w:pPr>
              <w:keepNext/>
              <w:jc w:val="center"/>
            </w:pPr>
            <w:r/>
            <w:r>
              <w:rPr>
                <w:rFonts w:ascii="Times New Roman" w:hAnsi="Times New Roman"/>
                <w:b w:val="0"/>
                <w:sz w:val="16"/>
              </w:rPr>
              <w:t>0</w:t>
            </w:r>
          </w:p>
        </w:tc>
      </w:tr>
      <w:tr>
        <w:trPr>
          <w:cantSplit/>
        </w:trPr>
        <w:tc>
          <w:tcPr>
            <w:tcW w:type="dxa" w:w="2074"/>
          </w:tcPr>
          <w:p>
            <w:pPr>
              <w:keepNext/>
              <w:jc w:val="left"/>
            </w:pPr>
            <w:r/>
            <w:r>
              <w:rPr>
                <w:rFonts w:ascii="Times New Roman" w:hAnsi="Times New Roman"/>
                <w:b w:val="0"/>
                <w:sz w:val="16"/>
              </w:rPr>
              <w:t>Transpose</w:t>
            </w:r>
          </w:p>
        </w:tc>
        <w:tc>
          <w:tcPr>
            <w:tcW w:type="dxa" w:w="2074"/>
          </w:tcPr>
          <w:p>
            <w:pPr>
              <w:keepNext/>
              <w:jc w:val="center"/>
            </w:pPr>
            <w:r/>
            <w:r>
              <w:rPr>
                <w:rFonts w:ascii="Times New Roman" w:hAnsi="Times New Roman"/>
                <w:b w:val="0"/>
                <w:sz w:val="16"/>
              </w:rPr>
              <w:t>80</w:t>
            </w:r>
          </w:p>
        </w:tc>
        <w:tc>
          <w:tcPr>
            <w:tcW w:type="dxa" w:w="2074"/>
          </w:tcPr>
          <w:p>
            <w:pPr>
              <w:keepNext/>
              <w:jc w:val="center"/>
            </w:pPr>
            <w:r/>
            <w:r>
              <w:rPr>
                <w:rFonts w:ascii="Times New Roman" w:hAnsi="Times New Roman"/>
                <w:b w:val="0"/>
                <w:sz w:val="16"/>
              </w:rPr>
              <w:t>6.7</w:t>
            </w:r>
          </w:p>
        </w:tc>
        <w:tc>
          <w:tcPr>
            <w:tcW w:type="dxa" w:w="2074"/>
          </w:tcPr>
          <w:p>
            <w:pPr>
              <w:keepNext/>
              <w:jc w:val="center"/>
            </w:pPr>
            <w:r/>
            <w:r>
              <w:rPr>
                <w:rFonts w:ascii="Times New Roman" w:hAnsi="Times New Roman"/>
                <w:b w:val="0"/>
                <w:sz w:val="16"/>
              </w:rPr>
              <w:t>0</w:t>
            </w:r>
          </w:p>
        </w:tc>
        <w:tc>
          <w:tcPr>
            <w:tcW w:type="dxa" w:w="2074"/>
          </w:tcPr>
          <w:p>
            <w:pPr>
              <w:keepNext/>
              <w:jc w:val="center"/>
            </w:pPr>
            <w:r/>
            <w:r>
              <w:rPr>
                <w:rFonts w:ascii="Times New Roman" w:hAnsi="Times New Roman"/>
                <w:b w:val="0"/>
                <w:sz w:val="16"/>
              </w:rPr>
              <w:t>0</w:t>
            </w:r>
          </w:p>
        </w:tc>
      </w:tr>
      <w:tr>
        <w:trPr>
          <w:cantSplit/>
        </w:trPr>
        <w:tc>
          <w:tcPr>
            <w:tcW w:type="dxa" w:w="2074"/>
          </w:tcPr>
          <w:p>
            <w:pPr>
              <w:keepNext/>
              <w:jc w:val="left"/>
            </w:pPr>
            <w:r/>
            <w:r>
              <w:rPr>
                <w:rFonts w:ascii="Times New Roman" w:hAnsi="Times New Roman"/>
                <w:b w:val="0"/>
                <w:sz w:val="16"/>
              </w:rPr>
              <w:t>Tempo scaling</w:t>
            </w:r>
          </w:p>
        </w:tc>
        <w:tc>
          <w:tcPr>
            <w:tcW w:type="dxa" w:w="2074"/>
          </w:tcPr>
          <w:p>
            <w:pPr>
              <w:keepNext/>
              <w:jc w:val="center"/>
            </w:pPr>
            <w:r/>
            <w:r>
              <w:rPr>
                <w:rFonts w:ascii="Times New Roman" w:hAnsi="Times New Roman"/>
                <w:b w:val="0"/>
                <w:sz w:val="16"/>
              </w:rPr>
              <w:t>60</w:t>
            </w:r>
          </w:p>
        </w:tc>
        <w:tc>
          <w:tcPr>
            <w:tcW w:type="dxa" w:w="2074"/>
          </w:tcPr>
          <w:p>
            <w:pPr>
              <w:keepNext/>
              <w:jc w:val="center"/>
            </w:pPr>
            <w:r/>
            <w:r>
              <w:rPr>
                <w:rFonts w:ascii="Times New Roman" w:hAnsi="Times New Roman"/>
                <w:b w:val="0"/>
                <w:sz w:val="16"/>
              </w:rPr>
              <w:t>0.5</w:t>
            </w:r>
          </w:p>
        </w:tc>
        <w:tc>
          <w:tcPr>
            <w:tcW w:type="dxa" w:w="2074"/>
          </w:tcPr>
          <w:p>
            <w:pPr>
              <w:keepNext/>
              <w:jc w:val="center"/>
            </w:pPr>
            <w:r/>
            <w:r>
              <w:rPr>
                <w:rFonts w:ascii="Times New Roman" w:hAnsi="Times New Roman"/>
                <w:b w:val="0"/>
                <w:sz w:val="16"/>
              </w:rPr>
              <w:t>0</w:t>
            </w:r>
          </w:p>
        </w:tc>
        <w:tc>
          <w:tcPr>
            <w:tcW w:type="dxa" w:w="2074"/>
          </w:tcPr>
          <w:p>
            <w:pPr>
              <w:keepNext/>
              <w:jc w:val="center"/>
            </w:pPr>
            <w:r/>
            <w:r>
              <w:rPr>
                <w:rFonts w:ascii="Times New Roman" w:hAnsi="Times New Roman"/>
                <w:b w:val="0"/>
                <w:sz w:val="16"/>
              </w:rPr>
              <w:t>0</w:t>
            </w:r>
          </w:p>
        </w:tc>
      </w:tr>
      <w:tr>
        <w:trPr>
          <w:cantSplit/>
        </w:trPr>
        <w:tc>
          <w:tcPr>
            <w:tcW w:type="dxa" w:w="2074"/>
          </w:tcPr>
          <w:p>
            <w:pPr>
              <w:keepNext/>
              <w:jc w:val="left"/>
            </w:pPr>
            <w:r/>
            <w:r>
              <w:rPr>
                <w:rFonts w:ascii="Times New Roman" w:hAnsi="Times New Roman"/>
                <w:b w:val="0"/>
                <w:sz w:val="16"/>
              </w:rPr>
              <w:t>Split–merge</w:t>
            </w:r>
          </w:p>
        </w:tc>
        <w:tc>
          <w:tcPr>
            <w:tcW w:type="dxa" w:w="2074"/>
          </w:tcPr>
          <w:p>
            <w:pPr>
              <w:keepNext/>
              <w:jc w:val="center"/>
            </w:pPr>
            <w:r/>
            <w:r>
              <w:rPr>
                <w:rFonts w:ascii="Times New Roman" w:hAnsi="Times New Roman"/>
                <w:b w:val="0"/>
                <w:sz w:val="16"/>
              </w:rPr>
              <w:t>60</w:t>
            </w:r>
          </w:p>
        </w:tc>
        <w:tc>
          <w:tcPr>
            <w:tcW w:type="dxa" w:w="2074"/>
          </w:tcPr>
          <w:p>
            <w:pPr>
              <w:keepNext/>
              <w:jc w:val="center"/>
            </w:pPr>
            <w:r/>
            <w:r>
              <w:rPr>
                <w:rFonts w:ascii="Times New Roman" w:hAnsi="Times New Roman"/>
                <w:b w:val="0"/>
                <w:sz w:val="16"/>
              </w:rPr>
              <w:t>1.9</w:t>
            </w:r>
          </w:p>
        </w:tc>
        <w:tc>
          <w:tcPr>
            <w:tcW w:type="dxa" w:w="2074"/>
          </w:tcPr>
          <w:p>
            <w:pPr>
              <w:keepNext/>
              <w:jc w:val="center"/>
            </w:pPr>
            <w:r/>
            <w:r>
              <w:rPr>
                <w:rFonts w:ascii="Times New Roman" w:hAnsi="Times New Roman"/>
                <w:b w:val="0"/>
                <w:sz w:val="16"/>
              </w:rPr>
              <w:t>0</w:t>
            </w:r>
          </w:p>
        </w:tc>
        <w:tc>
          <w:tcPr>
            <w:tcW w:type="dxa" w:w="2074"/>
          </w:tcPr>
          <w:p>
            <w:pPr>
              <w:keepNext/>
              <w:jc w:val="center"/>
            </w:pPr>
            <w:r/>
            <w:r>
              <w:rPr>
                <w:rFonts w:ascii="Times New Roman" w:hAnsi="Times New Roman"/>
                <w:b w:val="0"/>
                <w:sz w:val="16"/>
              </w:rPr>
              <w:t>0</w:t>
            </w:r>
          </w:p>
        </w:tc>
      </w:tr>
      <w:tr>
        <w:trPr>
          <w:cantSplit/>
        </w:trPr>
        <w:tc>
          <w:tcPr>
            <w:tcW w:type="dxa" w:w="2074"/>
          </w:tcPr>
          <w:p>
            <w:pPr>
              <w:keepNext/>
              <w:jc w:val="left"/>
            </w:pPr>
            <w:r/>
            <w:r>
              <w:rPr>
                <w:rFonts w:ascii="Times New Roman" w:hAnsi="Times New Roman"/>
                <w:b w:val="0"/>
                <w:sz w:val="16"/>
              </w:rPr>
              <w:t>Re-instrumentation</w:t>
            </w:r>
          </w:p>
        </w:tc>
        <w:tc>
          <w:tcPr>
            <w:tcW w:type="dxa" w:w="2074"/>
          </w:tcPr>
          <w:p>
            <w:pPr>
              <w:keepNext/>
              <w:jc w:val="center"/>
            </w:pPr>
            <w:r/>
            <w:r>
              <w:rPr>
                <w:rFonts w:ascii="Times New Roman" w:hAnsi="Times New Roman"/>
                <w:b w:val="0"/>
                <w:sz w:val="16"/>
              </w:rPr>
              <w:t>58</w:t>
            </w:r>
          </w:p>
        </w:tc>
        <w:tc>
          <w:tcPr>
            <w:tcW w:type="dxa" w:w="2074"/>
          </w:tcPr>
          <w:p>
            <w:pPr>
              <w:keepNext/>
              <w:jc w:val="center"/>
            </w:pPr>
            <w:r/>
            <w:r>
              <w:rPr>
                <w:rFonts w:ascii="Times New Roman" w:hAnsi="Times New Roman"/>
                <w:b w:val="0"/>
                <w:sz w:val="16"/>
              </w:rPr>
              <w:t>0.9</w:t>
            </w:r>
          </w:p>
        </w:tc>
        <w:tc>
          <w:tcPr>
            <w:tcW w:type="dxa" w:w="2074"/>
          </w:tcPr>
          <w:p>
            <w:pPr>
              <w:keepNext/>
              <w:jc w:val="center"/>
            </w:pPr>
            <w:r/>
            <w:r>
              <w:rPr>
                <w:rFonts w:ascii="Times New Roman" w:hAnsi="Times New Roman"/>
                <w:b w:val="0"/>
                <w:sz w:val="16"/>
              </w:rPr>
              <w:t>0</w:t>
            </w:r>
          </w:p>
        </w:tc>
        <w:tc>
          <w:tcPr>
            <w:tcW w:type="dxa" w:w="2074"/>
          </w:tcPr>
          <w:p>
            <w:pPr>
              <w:keepNext/>
              <w:jc w:val="center"/>
            </w:pPr>
            <w:r/>
            <w:r>
              <w:rPr>
                <w:rFonts w:ascii="Times New Roman" w:hAnsi="Times New Roman"/>
                <w:b w:val="0"/>
                <w:sz w:val="16"/>
              </w:rPr>
              <w:t>0</w:t>
            </w:r>
          </w:p>
        </w:tc>
      </w:tr>
      <w:tr>
        <w:trPr>
          <w:cantSplit/>
        </w:trPr>
        <w:tc>
          <w:tcPr>
            <w:tcW w:type="dxa" w:w="2074"/>
            <w:tcBorders>
              <w:bottom w:val="single" w:sz="12" w:color="000000"/>
            </w:tcBorders>
          </w:tcPr>
          <w:p>
            <w:pPr>
              <w:jc w:val="left"/>
            </w:pPr>
            <w:r/>
            <w:r>
              <w:rPr>
                <w:rFonts w:ascii="Times New Roman" w:hAnsi="Times New Roman"/>
                <w:b w:val="0"/>
                <w:sz w:val="16"/>
              </w:rPr>
              <w:t>Transcription noise</w:t>
            </w:r>
          </w:p>
        </w:tc>
        <w:tc>
          <w:tcPr>
            <w:tcW w:type="dxa" w:w="2074"/>
            <w:tcBorders>
              <w:bottom w:val="single" w:sz="12" w:color="000000"/>
            </w:tcBorders>
          </w:tcPr>
          <w:p>
            <w:pPr>
              <w:jc w:val="center"/>
            </w:pPr>
            <w:r/>
            <w:r>
              <w:rPr>
                <w:rFonts w:ascii="Times New Roman" w:hAnsi="Times New Roman"/>
                <w:b w:val="0"/>
                <w:sz w:val="16"/>
              </w:rPr>
              <w:t>59</w:t>
            </w:r>
          </w:p>
        </w:tc>
        <w:tc>
          <w:tcPr>
            <w:tcW w:type="dxa" w:w="2074"/>
            <w:tcBorders>
              <w:bottom w:val="single" w:sz="12" w:color="000000"/>
            </w:tcBorders>
          </w:tcPr>
          <w:p>
            <w:pPr>
              <w:jc w:val="center"/>
            </w:pPr>
            <w:r/>
            <w:r>
              <w:rPr>
                <w:rFonts w:ascii="Times New Roman" w:hAnsi="Times New Roman"/>
                <w:b w:val="0"/>
                <w:sz w:val="16"/>
              </w:rPr>
              <w:t>2.6</w:t>
            </w:r>
          </w:p>
        </w:tc>
        <w:tc>
          <w:tcPr>
            <w:tcW w:type="dxa" w:w="2074"/>
            <w:tcBorders>
              <w:bottom w:val="single" w:sz="12" w:color="000000"/>
            </w:tcBorders>
          </w:tcPr>
          <w:p>
            <w:pPr>
              <w:jc w:val="center"/>
            </w:pPr>
            <w:r/>
            <w:r>
              <w:rPr>
                <w:rFonts w:ascii="Times New Roman" w:hAnsi="Times New Roman"/>
                <w:b w:val="0"/>
                <w:sz w:val="16"/>
              </w:rPr>
              <w:t>0</w:t>
            </w:r>
          </w:p>
        </w:tc>
        <w:tc>
          <w:tcPr>
            <w:tcW w:type="dxa" w:w="2074"/>
            <w:tcBorders>
              <w:bottom w:val="single" w:sz="12" w:color="000000"/>
            </w:tcBorders>
          </w:tcPr>
          <w:p>
            <w:pPr>
              <w:jc w:val="center"/>
            </w:pPr>
            <w:r/>
            <w:r>
              <w:rPr>
                <w:rFonts w:ascii="Times New Roman" w:hAnsi="Times New Roman"/>
                <w:b w:val="0"/>
                <w:sz w:val="16"/>
              </w:rPr>
              <w:t>0</w:t>
            </w:r>
          </w:p>
        </w:tc>
      </w:tr>
    </w:tbl>
    <w:p>
      <w:pPr>
        <w:spacing w:after="40"/>
      </w:pPr>
    </w:p>
    <w:p>
      <w:pPr>
        <w:keepNext/>
        <w:jc w:val="center"/>
      </w:pPr>
      <w:drawing xmlns:a="http://schemas.openxmlformats.org/drawingml/2006/main" xmlns:pic="http://schemas.openxmlformats.org/drawingml/2006/picture">
        <wp:inline distT="0" distB="0" distL="0" distR="0">
          <wp:extent cx="2880000" cy="2006520"/>
          <wp:effectExtent l="0" t="0" r="0" b="0"/>
          <wp:docPr id="105" name="fig4_bounds.emf"/>
          <wp:cNvGraphicFramePr/>
          <a:graphic>
            <a:graphicData uri="http://schemas.openxmlformats.org/drawingml/2006/picture">
              <pic:pic>
                <pic:nvPicPr>
                  <pic:cNvPr id="0" name="fig4_bounds.emf"/>
                  <pic:cNvPicPr/>
                </pic:nvPicPr>
                <pic:blipFill>
                  <a:blip r:embed="rId37"/>
                  <a:stretch>
                    <a:fillRect/>
                  </a:stretch>
                </pic:blipFill>
                <pic:spPr>
                  <a:xfrm>
                    <a:off x="0" y="0"/>
                    <a:ext cx="2880000" cy="2006520"/>
                  </a:xfrm>
                  <a:prstGeom prst="rect">
                    <a:avLst/>
                  </a:prstGeom>
                </pic:spPr>
              </pic:pic>
            </a:graphicData>
          </a:graphic>
        </wp:inline>
      </w:drawing>
    </w:p>
    <w:p>
      <w:pPr>
        <w:pStyle w:val="FigureCaption"/>
      </w:pPr>
      <w:r>
        <w:rPr>
          <w:sz w:val="19"/>
        </w:rPr>
        <w:t>Fig. 5. Measured donor evidence versus theoretical lower bound, 337 adversarial cells; zero violations.</w:t>
      </w:r>
    </w:p>
    <w:p>
      <w:pPr>
        <w:pStyle w:val="Heading2"/>
      </w:pPr>
      <w:r>
        <w:t>C. Anytime behavior</w:t>
      </w:r>
    </w:p>
    <w:p>
      <w:pPr>
        <w:spacing w:after="0"/>
        <w:ind w:firstLine="204"/>
        <w:jc w:val="both"/>
      </w:pPr>
      <w:r>
        <w:t>Fig. 6 shows the open-candidate bound as the rare-first schedule consumes its budget on 16-second spans, and Table V quantifies all three schedules. Early in the schedule the bound is vacuous by construction: after few positions every piece of the 1,000-piece corpus can still reach the threshold, and the certified open set is the whole corpus (1000.0 for all schedules through 50% budget). Discrimination emerges late: at 70% budget rare-first certifies 793.9 open candidates versus 839.3 (random) and 866.2 (hot-first), and at full budget all schedules converge to the same open set with 100% donor recovery — the scheduling advantage is bound quality, not recall. The operational value of the anytime contract is the certified open set itself, available after any prefix: a screening queue can trade the bound against throughput, and an audit can stop early without losing a certified answer.</w:t>
      </w:r>
    </w:p>
    <w:p>
      <w:pPr>
        <w:keepNext/>
        <w:jc w:val="center"/>
      </w:pPr>
      <w:drawing xmlns:a="http://schemas.openxmlformats.org/drawingml/2006/main" xmlns:pic="http://schemas.openxmlformats.org/drawingml/2006/picture">
        <wp:inline distT="0" distB="0" distL="0" distR="0">
          <wp:extent cx="2880000" cy="1788305"/>
          <wp:effectExtent l="0" t="0" r="0" b="0"/>
          <wp:docPr id="106" name="fig3_anytime.emf"/>
          <wp:cNvGraphicFramePr/>
          <a:graphic>
            <a:graphicData uri="http://schemas.openxmlformats.org/drawingml/2006/picture">
              <pic:pic>
                <pic:nvPicPr>
                  <pic:cNvPr id="0" name="fig3_anytime.emf"/>
                  <pic:cNvPicPr/>
                </pic:nvPicPr>
                <pic:blipFill>
                  <a:blip r:embed="rId38"/>
                  <a:stretch>
                    <a:fillRect/>
                  </a:stretch>
                </pic:blipFill>
                <pic:spPr>
                  <a:xfrm>
                    <a:off x="0" y="0"/>
                    <a:ext cx="2880000" cy="1788305"/>
                  </a:xfrm>
                  <a:prstGeom prst="rect">
                    <a:avLst/>
                  </a:prstGeom>
                </pic:spPr>
              </pic:pic>
            </a:graphicData>
          </a:graphic>
        </wp:inline>
      </w:drawing>
    </w:p>
    <w:p>
      <w:pPr>
        <w:pStyle w:val="FigureCaption"/>
      </w:pPr>
      <w:r>
        <w:rPr>
          <w:sz w:val="19"/>
        </w:rPr>
        <w:t>Fig. 6. Open-candidate bound versus processed budget for three schedules; 16 s spans, 1,000-piece corpus.</w:t>
      </w:r>
    </w:p>
    <w:p>
      <w:pPr>
        <w:pStyle w:val="TableTitle"/>
        <w:keepNext/>
      </w:pPr>
      <w:r>
        <w:t>TABLE V.</w:t>
      </w:r>
    </w:p>
    <w:p>
      <w:pPr>
        <w:pStyle w:val="TableTitle"/>
        <w:keepNext/>
      </w:pPr>
      <w:r>
        <w:t>Anytime schedules on 16 s spans over a 1,000-piece corpus: mean open-candidate bound (hits plus remaining bound) and donor recovery per budget fraction.</w:t>
      </w:r>
    </w:p>
    <w:tbl>
      <w:tblPr>
        <w:tblW w:type="auto" w:w="0"/>
        <w:jc w:val="center"/>
        <w:tblLayout w:type="autofit"/>
        <w:tblLook w:firstColumn="1" w:firstRow="1" w:lastColumn="0" w:lastRow="0" w:noHBand="0" w:noVBand="1" w:val="04A0"/>
      </w:tblPr>
      <w:tblGrid>
        <w:gridCol w:w="2074"/>
        <w:gridCol w:w="2074"/>
        <w:gridCol w:w="2074"/>
        <w:gridCol w:w="2074"/>
        <w:gridCol w:w="2074"/>
      </w:tblGrid>
      <w:tr>
        <w:trPr>
          <w:cantSplit/>
        </w:trPr>
        <w:tc>
          <w:tcPr>
            <w:tcW w:type="dxa" w:w="2074"/>
            <w:tcBorders>
              <w:top w:val="single" w:sz="12" w:color="000000"/>
              <w:bottom w:val="single" w:sz="6" w:color="000000"/>
            </w:tcBorders>
          </w:tcPr>
          <w:p>
            <w:pPr>
              <w:keepNext/>
              <w:jc w:val="left"/>
            </w:pPr>
            <w:r/>
            <w:r>
              <w:rPr>
                <w:rFonts w:ascii="Times New Roman" w:hAnsi="Times New Roman"/>
                <w:b/>
                <w:sz w:val="16"/>
              </w:rPr>
              <w:t>Budget</w:t>
            </w:r>
          </w:p>
        </w:tc>
        <w:tc>
          <w:tcPr>
            <w:tcW w:type="dxa" w:w="2074"/>
            <w:tcBorders>
              <w:top w:val="single" w:sz="12" w:color="000000"/>
              <w:bottom w:val="single" w:sz="6" w:color="000000"/>
            </w:tcBorders>
          </w:tcPr>
          <w:p>
            <w:pPr>
              <w:keepNext/>
              <w:jc w:val="center"/>
            </w:pPr>
            <w:r/>
            <w:r>
              <w:rPr>
                <w:rFonts w:ascii="Times New Roman" w:hAnsi="Times New Roman"/>
                <w:b/>
                <w:sz w:val="16"/>
              </w:rPr>
              <w:t>Rare-first open</w:t>
            </w:r>
          </w:p>
        </w:tc>
        <w:tc>
          <w:tcPr>
            <w:tcW w:type="dxa" w:w="2074"/>
            <w:tcBorders>
              <w:top w:val="single" w:sz="12" w:color="000000"/>
              <w:bottom w:val="single" w:sz="6" w:color="000000"/>
            </w:tcBorders>
          </w:tcPr>
          <w:p>
            <w:pPr>
              <w:keepNext/>
              <w:jc w:val="center"/>
            </w:pPr>
            <w:r/>
            <w:r>
              <w:rPr>
                <w:rFonts w:ascii="Times New Roman" w:hAnsi="Times New Roman"/>
                <w:b/>
                <w:sz w:val="16"/>
              </w:rPr>
              <w:t>Random open</w:t>
            </w:r>
          </w:p>
        </w:tc>
        <w:tc>
          <w:tcPr>
            <w:tcW w:type="dxa" w:w="2074"/>
            <w:tcBorders>
              <w:top w:val="single" w:sz="12" w:color="000000"/>
              <w:bottom w:val="single" w:sz="6" w:color="000000"/>
            </w:tcBorders>
          </w:tcPr>
          <w:p>
            <w:pPr>
              <w:keepNext/>
              <w:jc w:val="center"/>
            </w:pPr>
            <w:r/>
            <w:r>
              <w:rPr>
                <w:rFonts w:ascii="Times New Roman" w:hAnsi="Times New Roman"/>
                <w:b/>
                <w:sz w:val="16"/>
              </w:rPr>
              <w:t>Hot-first open</w:t>
            </w:r>
          </w:p>
        </w:tc>
        <w:tc>
          <w:tcPr>
            <w:tcW w:type="dxa" w:w="2074"/>
            <w:tcBorders>
              <w:top w:val="single" w:sz="12" w:color="000000"/>
              <w:bottom w:val="single" w:sz="6" w:color="000000"/>
            </w:tcBorders>
          </w:tcPr>
          <w:p>
            <w:pPr>
              <w:keepNext/>
              <w:jc w:val="center"/>
            </w:pPr>
            <w:r/>
            <w:r>
              <w:rPr>
                <w:rFonts w:ascii="Times New Roman" w:hAnsi="Times New Roman"/>
                <w:b/>
                <w:sz w:val="16"/>
              </w:rPr>
              <w:t>Donor recovery (%)</w:t>
            </w:r>
          </w:p>
        </w:tc>
      </w:tr>
      <w:tr>
        <w:trPr>
          <w:cantSplit/>
        </w:trPr>
        <w:tc>
          <w:tcPr>
            <w:tcW w:type="dxa" w:w="2074"/>
          </w:tcPr>
          <w:p>
            <w:pPr>
              <w:keepNext/>
              <w:jc w:val="left"/>
            </w:pPr>
            <w:r/>
            <w:r>
              <w:rPr>
                <w:rFonts w:ascii="Times New Roman" w:hAnsi="Times New Roman"/>
                <w:b w:val="0"/>
                <w:sz w:val="16"/>
              </w:rPr>
              <w:t>2%</w:t>
            </w:r>
          </w:p>
        </w:tc>
        <w:tc>
          <w:tcPr>
            <w:tcW w:type="dxa" w:w="2074"/>
          </w:tcPr>
          <w:p>
            <w:pPr>
              <w:keepNext/>
              <w:jc w:val="center"/>
            </w:pPr>
            <w:r/>
            <w:r>
              <w:rPr>
                <w:rFonts w:ascii="Times New Roman" w:hAnsi="Times New Roman"/>
                <w:b w:val="0"/>
                <w:sz w:val="16"/>
              </w:rPr>
              <w:t>1000.0</w:t>
            </w:r>
          </w:p>
        </w:tc>
        <w:tc>
          <w:tcPr>
            <w:tcW w:type="dxa" w:w="2074"/>
          </w:tcPr>
          <w:p>
            <w:pPr>
              <w:keepNext/>
              <w:jc w:val="center"/>
            </w:pPr>
            <w:r/>
            <w:r>
              <w:rPr>
                <w:rFonts w:ascii="Times New Roman" w:hAnsi="Times New Roman"/>
                <w:b w:val="0"/>
                <w:sz w:val="16"/>
              </w:rPr>
              <w:t>1000.0</w:t>
            </w:r>
          </w:p>
        </w:tc>
        <w:tc>
          <w:tcPr>
            <w:tcW w:type="dxa" w:w="2074"/>
          </w:tcPr>
          <w:p>
            <w:pPr>
              <w:keepNext/>
              <w:jc w:val="center"/>
            </w:pPr>
            <w:r/>
            <w:r>
              <w:rPr>
                <w:rFonts w:ascii="Times New Roman" w:hAnsi="Times New Roman"/>
                <w:b w:val="0"/>
                <w:sz w:val="16"/>
              </w:rPr>
              <w:t>1000.0</w:t>
            </w:r>
          </w:p>
        </w:tc>
        <w:tc>
          <w:tcPr>
            <w:tcW w:type="dxa" w:w="2074"/>
          </w:tcPr>
          <w:p>
            <w:pPr>
              <w:keepNext/>
              <w:jc w:val="center"/>
            </w:pPr>
            <w:r/>
            <w:r>
              <w:rPr>
                <w:rFonts w:ascii="Times New Roman" w:hAnsi="Times New Roman"/>
                <w:b w:val="0"/>
                <w:sz w:val="16"/>
              </w:rPr>
              <w:t>0</w:t>
            </w:r>
          </w:p>
        </w:tc>
      </w:tr>
      <w:tr>
        <w:trPr>
          <w:cantSplit/>
        </w:trPr>
        <w:tc>
          <w:tcPr>
            <w:tcW w:type="dxa" w:w="2074"/>
          </w:tcPr>
          <w:p>
            <w:pPr>
              <w:keepNext/>
              <w:jc w:val="left"/>
            </w:pPr>
            <w:r/>
            <w:r>
              <w:rPr>
                <w:rFonts w:ascii="Times New Roman" w:hAnsi="Times New Roman"/>
                <w:b w:val="0"/>
                <w:sz w:val="16"/>
              </w:rPr>
              <w:t>5%</w:t>
            </w:r>
          </w:p>
        </w:tc>
        <w:tc>
          <w:tcPr>
            <w:tcW w:type="dxa" w:w="2074"/>
          </w:tcPr>
          <w:p>
            <w:pPr>
              <w:keepNext/>
              <w:jc w:val="center"/>
            </w:pPr>
            <w:r/>
            <w:r>
              <w:rPr>
                <w:rFonts w:ascii="Times New Roman" w:hAnsi="Times New Roman"/>
                <w:b w:val="0"/>
                <w:sz w:val="16"/>
              </w:rPr>
              <w:t>1000.0</w:t>
            </w:r>
          </w:p>
        </w:tc>
        <w:tc>
          <w:tcPr>
            <w:tcW w:type="dxa" w:w="2074"/>
          </w:tcPr>
          <w:p>
            <w:pPr>
              <w:keepNext/>
              <w:jc w:val="center"/>
            </w:pPr>
            <w:r/>
            <w:r>
              <w:rPr>
                <w:rFonts w:ascii="Times New Roman" w:hAnsi="Times New Roman"/>
                <w:b w:val="0"/>
                <w:sz w:val="16"/>
              </w:rPr>
              <w:t>1000.0</w:t>
            </w:r>
          </w:p>
        </w:tc>
        <w:tc>
          <w:tcPr>
            <w:tcW w:type="dxa" w:w="2074"/>
          </w:tcPr>
          <w:p>
            <w:pPr>
              <w:keepNext/>
              <w:jc w:val="center"/>
            </w:pPr>
            <w:r/>
            <w:r>
              <w:rPr>
                <w:rFonts w:ascii="Times New Roman" w:hAnsi="Times New Roman"/>
                <w:b w:val="0"/>
                <w:sz w:val="16"/>
              </w:rPr>
              <w:t>1000.0</w:t>
            </w:r>
          </w:p>
        </w:tc>
        <w:tc>
          <w:tcPr>
            <w:tcW w:type="dxa" w:w="2074"/>
          </w:tcPr>
          <w:p>
            <w:pPr>
              <w:keepNext/>
              <w:jc w:val="center"/>
            </w:pPr>
            <w:r/>
            <w:r>
              <w:rPr>
                <w:rFonts w:ascii="Times New Roman" w:hAnsi="Times New Roman"/>
                <w:b w:val="0"/>
                <w:sz w:val="16"/>
              </w:rPr>
              <w:t>0</w:t>
            </w:r>
          </w:p>
        </w:tc>
      </w:tr>
      <w:tr>
        <w:trPr>
          <w:cantSplit/>
        </w:trPr>
        <w:tc>
          <w:tcPr>
            <w:tcW w:type="dxa" w:w="2074"/>
          </w:tcPr>
          <w:p>
            <w:pPr>
              <w:keepNext/>
              <w:jc w:val="left"/>
            </w:pPr>
            <w:r/>
            <w:r>
              <w:rPr>
                <w:rFonts w:ascii="Times New Roman" w:hAnsi="Times New Roman"/>
                <w:b w:val="0"/>
                <w:sz w:val="16"/>
              </w:rPr>
              <w:t>10%</w:t>
            </w:r>
          </w:p>
        </w:tc>
        <w:tc>
          <w:tcPr>
            <w:tcW w:type="dxa" w:w="2074"/>
          </w:tcPr>
          <w:p>
            <w:pPr>
              <w:keepNext/>
              <w:jc w:val="center"/>
            </w:pPr>
            <w:r/>
            <w:r>
              <w:rPr>
                <w:rFonts w:ascii="Times New Roman" w:hAnsi="Times New Roman"/>
                <w:b w:val="0"/>
                <w:sz w:val="16"/>
              </w:rPr>
              <w:t>1000.0</w:t>
            </w:r>
          </w:p>
        </w:tc>
        <w:tc>
          <w:tcPr>
            <w:tcW w:type="dxa" w:w="2074"/>
          </w:tcPr>
          <w:p>
            <w:pPr>
              <w:keepNext/>
              <w:jc w:val="center"/>
            </w:pPr>
            <w:r/>
            <w:r>
              <w:rPr>
                <w:rFonts w:ascii="Times New Roman" w:hAnsi="Times New Roman"/>
                <w:b w:val="0"/>
                <w:sz w:val="16"/>
              </w:rPr>
              <w:t>1000.0</w:t>
            </w:r>
          </w:p>
        </w:tc>
        <w:tc>
          <w:tcPr>
            <w:tcW w:type="dxa" w:w="2074"/>
          </w:tcPr>
          <w:p>
            <w:pPr>
              <w:keepNext/>
              <w:jc w:val="center"/>
            </w:pPr>
            <w:r/>
            <w:r>
              <w:rPr>
                <w:rFonts w:ascii="Times New Roman" w:hAnsi="Times New Roman"/>
                <w:b w:val="0"/>
                <w:sz w:val="16"/>
              </w:rPr>
              <w:t>1000.0</w:t>
            </w:r>
          </w:p>
        </w:tc>
        <w:tc>
          <w:tcPr>
            <w:tcW w:type="dxa" w:w="2074"/>
          </w:tcPr>
          <w:p>
            <w:pPr>
              <w:keepNext/>
              <w:jc w:val="center"/>
            </w:pPr>
            <w:r/>
            <w:r>
              <w:rPr>
                <w:rFonts w:ascii="Times New Roman" w:hAnsi="Times New Roman"/>
                <w:b w:val="0"/>
                <w:sz w:val="16"/>
              </w:rPr>
              <w:t>0</w:t>
            </w:r>
          </w:p>
        </w:tc>
      </w:tr>
      <w:tr>
        <w:trPr>
          <w:cantSplit/>
        </w:trPr>
        <w:tc>
          <w:tcPr>
            <w:tcW w:type="dxa" w:w="2074"/>
          </w:tcPr>
          <w:p>
            <w:pPr>
              <w:keepNext/>
              <w:jc w:val="left"/>
            </w:pPr>
            <w:r/>
            <w:r>
              <w:rPr>
                <w:rFonts w:ascii="Times New Roman" w:hAnsi="Times New Roman"/>
                <w:b w:val="0"/>
                <w:sz w:val="16"/>
              </w:rPr>
              <w:t>20%</w:t>
            </w:r>
          </w:p>
        </w:tc>
        <w:tc>
          <w:tcPr>
            <w:tcW w:type="dxa" w:w="2074"/>
          </w:tcPr>
          <w:p>
            <w:pPr>
              <w:keepNext/>
              <w:jc w:val="center"/>
            </w:pPr>
            <w:r/>
            <w:r>
              <w:rPr>
                <w:rFonts w:ascii="Times New Roman" w:hAnsi="Times New Roman"/>
                <w:b w:val="0"/>
                <w:sz w:val="16"/>
              </w:rPr>
              <w:t>1000.0</w:t>
            </w:r>
          </w:p>
        </w:tc>
        <w:tc>
          <w:tcPr>
            <w:tcW w:type="dxa" w:w="2074"/>
          </w:tcPr>
          <w:p>
            <w:pPr>
              <w:keepNext/>
              <w:jc w:val="center"/>
            </w:pPr>
            <w:r/>
            <w:r>
              <w:rPr>
                <w:rFonts w:ascii="Times New Roman" w:hAnsi="Times New Roman"/>
                <w:b w:val="0"/>
                <w:sz w:val="16"/>
              </w:rPr>
              <w:t>1000.0</w:t>
            </w:r>
          </w:p>
        </w:tc>
        <w:tc>
          <w:tcPr>
            <w:tcW w:type="dxa" w:w="2074"/>
          </w:tcPr>
          <w:p>
            <w:pPr>
              <w:keepNext/>
              <w:jc w:val="center"/>
            </w:pPr>
            <w:r/>
            <w:r>
              <w:rPr>
                <w:rFonts w:ascii="Times New Roman" w:hAnsi="Times New Roman"/>
                <w:b w:val="0"/>
                <w:sz w:val="16"/>
              </w:rPr>
              <w:t>1000.0</w:t>
            </w:r>
          </w:p>
        </w:tc>
        <w:tc>
          <w:tcPr>
            <w:tcW w:type="dxa" w:w="2074"/>
          </w:tcPr>
          <w:p>
            <w:pPr>
              <w:keepNext/>
              <w:jc w:val="center"/>
            </w:pPr>
            <w:r/>
            <w:r>
              <w:rPr>
                <w:rFonts w:ascii="Times New Roman" w:hAnsi="Times New Roman"/>
                <w:b w:val="0"/>
                <w:sz w:val="16"/>
              </w:rPr>
              <w:t>0</w:t>
            </w:r>
          </w:p>
        </w:tc>
      </w:tr>
      <w:tr>
        <w:trPr>
          <w:cantSplit/>
        </w:trPr>
        <w:tc>
          <w:tcPr>
            <w:tcW w:type="dxa" w:w="2074"/>
          </w:tcPr>
          <w:p>
            <w:pPr>
              <w:keepNext/>
              <w:jc w:val="left"/>
            </w:pPr>
            <w:r/>
            <w:r>
              <w:rPr>
                <w:rFonts w:ascii="Times New Roman" w:hAnsi="Times New Roman"/>
                <w:b w:val="0"/>
                <w:sz w:val="16"/>
              </w:rPr>
              <w:t>35%</w:t>
            </w:r>
          </w:p>
        </w:tc>
        <w:tc>
          <w:tcPr>
            <w:tcW w:type="dxa" w:w="2074"/>
          </w:tcPr>
          <w:p>
            <w:pPr>
              <w:keepNext/>
              <w:jc w:val="center"/>
            </w:pPr>
            <w:r/>
            <w:r>
              <w:rPr>
                <w:rFonts w:ascii="Times New Roman" w:hAnsi="Times New Roman"/>
                <w:b w:val="0"/>
                <w:sz w:val="16"/>
              </w:rPr>
              <w:t>1000.0</w:t>
            </w:r>
          </w:p>
        </w:tc>
        <w:tc>
          <w:tcPr>
            <w:tcW w:type="dxa" w:w="2074"/>
          </w:tcPr>
          <w:p>
            <w:pPr>
              <w:keepNext/>
              <w:jc w:val="center"/>
            </w:pPr>
            <w:r/>
            <w:r>
              <w:rPr>
                <w:rFonts w:ascii="Times New Roman" w:hAnsi="Times New Roman"/>
                <w:b w:val="0"/>
                <w:sz w:val="16"/>
              </w:rPr>
              <w:t>1000.0</w:t>
            </w:r>
          </w:p>
        </w:tc>
        <w:tc>
          <w:tcPr>
            <w:tcW w:type="dxa" w:w="2074"/>
          </w:tcPr>
          <w:p>
            <w:pPr>
              <w:keepNext/>
              <w:jc w:val="center"/>
            </w:pPr>
            <w:r/>
            <w:r>
              <w:rPr>
                <w:rFonts w:ascii="Times New Roman" w:hAnsi="Times New Roman"/>
                <w:b w:val="0"/>
                <w:sz w:val="16"/>
              </w:rPr>
              <w:t>1000.0</w:t>
            </w:r>
          </w:p>
        </w:tc>
        <w:tc>
          <w:tcPr>
            <w:tcW w:type="dxa" w:w="2074"/>
          </w:tcPr>
          <w:p>
            <w:pPr>
              <w:keepNext/>
              <w:jc w:val="center"/>
            </w:pPr>
            <w:r/>
            <w:r>
              <w:rPr>
                <w:rFonts w:ascii="Times New Roman" w:hAnsi="Times New Roman"/>
                <w:b w:val="0"/>
                <w:sz w:val="16"/>
              </w:rPr>
              <w:t>0</w:t>
            </w:r>
          </w:p>
        </w:tc>
      </w:tr>
      <w:tr>
        <w:trPr>
          <w:cantSplit/>
        </w:trPr>
        <w:tc>
          <w:tcPr>
            <w:tcW w:type="dxa" w:w="2074"/>
          </w:tcPr>
          <w:p>
            <w:pPr>
              <w:keepNext/>
              <w:jc w:val="left"/>
            </w:pPr>
            <w:r/>
            <w:r>
              <w:rPr>
                <w:rFonts w:ascii="Times New Roman" w:hAnsi="Times New Roman"/>
                <w:b w:val="0"/>
                <w:sz w:val="16"/>
              </w:rPr>
              <w:t>50%</w:t>
            </w:r>
          </w:p>
        </w:tc>
        <w:tc>
          <w:tcPr>
            <w:tcW w:type="dxa" w:w="2074"/>
          </w:tcPr>
          <w:p>
            <w:pPr>
              <w:keepNext/>
              <w:jc w:val="center"/>
            </w:pPr>
            <w:r/>
            <w:r>
              <w:rPr>
                <w:rFonts w:ascii="Times New Roman" w:hAnsi="Times New Roman"/>
                <w:b w:val="0"/>
                <w:sz w:val="16"/>
              </w:rPr>
              <w:t>1000.0</w:t>
            </w:r>
          </w:p>
        </w:tc>
        <w:tc>
          <w:tcPr>
            <w:tcW w:type="dxa" w:w="2074"/>
          </w:tcPr>
          <w:p>
            <w:pPr>
              <w:keepNext/>
              <w:jc w:val="center"/>
            </w:pPr>
            <w:r/>
            <w:r>
              <w:rPr>
                <w:rFonts w:ascii="Times New Roman" w:hAnsi="Times New Roman"/>
                <w:b w:val="0"/>
                <w:sz w:val="16"/>
              </w:rPr>
              <w:t>1000.0</w:t>
            </w:r>
          </w:p>
        </w:tc>
        <w:tc>
          <w:tcPr>
            <w:tcW w:type="dxa" w:w="2074"/>
          </w:tcPr>
          <w:p>
            <w:pPr>
              <w:keepNext/>
              <w:jc w:val="center"/>
            </w:pPr>
            <w:r/>
            <w:r>
              <w:rPr>
                <w:rFonts w:ascii="Times New Roman" w:hAnsi="Times New Roman"/>
                <w:b w:val="0"/>
                <w:sz w:val="16"/>
              </w:rPr>
              <w:t>1000.0</w:t>
            </w:r>
          </w:p>
        </w:tc>
        <w:tc>
          <w:tcPr>
            <w:tcW w:type="dxa" w:w="2074"/>
          </w:tcPr>
          <w:p>
            <w:pPr>
              <w:keepNext/>
              <w:jc w:val="center"/>
            </w:pPr>
            <w:r/>
            <w:r>
              <w:rPr>
                <w:rFonts w:ascii="Times New Roman" w:hAnsi="Times New Roman"/>
                <w:b w:val="0"/>
                <w:sz w:val="16"/>
              </w:rPr>
              <w:t>50</w:t>
            </w:r>
          </w:p>
        </w:tc>
      </w:tr>
      <w:tr>
        <w:trPr>
          <w:cantSplit/>
        </w:trPr>
        <w:tc>
          <w:tcPr>
            <w:tcW w:type="dxa" w:w="2074"/>
          </w:tcPr>
          <w:p>
            <w:pPr>
              <w:keepNext/>
              <w:jc w:val="left"/>
            </w:pPr>
            <w:r/>
            <w:r>
              <w:rPr>
                <w:rFonts w:ascii="Times New Roman" w:hAnsi="Times New Roman"/>
                <w:b w:val="0"/>
                <w:sz w:val="16"/>
              </w:rPr>
              <w:t>70%</w:t>
            </w:r>
          </w:p>
        </w:tc>
        <w:tc>
          <w:tcPr>
            <w:tcW w:type="dxa" w:w="2074"/>
          </w:tcPr>
          <w:p>
            <w:pPr>
              <w:keepNext/>
              <w:jc w:val="center"/>
            </w:pPr>
            <w:r/>
            <w:r>
              <w:rPr>
                <w:rFonts w:ascii="Times New Roman" w:hAnsi="Times New Roman"/>
                <w:b w:val="0"/>
                <w:sz w:val="16"/>
              </w:rPr>
              <w:t>793.9</w:t>
            </w:r>
          </w:p>
        </w:tc>
        <w:tc>
          <w:tcPr>
            <w:tcW w:type="dxa" w:w="2074"/>
          </w:tcPr>
          <w:p>
            <w:pPr>
              <w:keepNext/>
              <w:jc w:val="center"/>
            </w:pPr>
            <w:r/>
            <w:r>
              <w:rPr>
                <w:rFonts w:ascii="Times New Roman" w:hAnsi="Times New Roman"/>
                <w:b w:val="0"/>
                <w:sz w:val="16"/>
              </w:rPr>
              <w:t>839.3</w:t>
            </w:r>
          </w:p>
        </w:tc>
        <w:tc>
          <w:tcPr>
            <w:tcW w:type="dxa" w:w="2074"/>
          </w:tcPr>
          <w:p>
            <w:pPr>
              <w:keepNext/>
              <w:jc w:val="center"/>
            </w:pPr>
            <w:r/>
            <w:r>
              <w:rPr>
                <w:rFonts w:ascii="Times New Roman" w:hAnsi="Times New Roman"/>
                <w:b w:val="0"/>
                <w:sz w:val="16"/>
              </w:rPr>
              <w:t>866.2</w:t>
            </w:r>
          </w:p>
        </w:tc>
        <w:tc>
          <w:tcPr>
            <w:tcW w:type="dxa" w:w="2074"/>
          </w:tcPr>
          <w:p>
            <w:pPr>
              <w:keepNext/>
              <w:jc w:val="center"/>
            </w:pPr>
            <w:r/>
            <w:r>
              <w:rPr>
                <w:rFonts w:ascii="Times New Roman" w:hAnsi="Times New Roman"/>
                <w:b w:val="0"/>
                <w:sz w:val="16"/>
              </w:rPr>
              <w:t>93</w:t>
            </w:r>
          </w:p>
        </w:tc>
      </w:tr>
      <w:tr>
        <w:trPr>
          <w:cantSplit/>
        </w:trPr>
        <w:tc>
          <w:tcPr>
            <w:tcW w:type="dxa" w:w="2074"/>
            <w:tcBorders>
              <w:bottom w:val="single" w:sz="12" w:color="000000"/>
            </w:tcBorders>
          </w:tcPr>
          <w:p>
            <w:pPr>
              <w:jc w:val="left"/>
            </w:pPr>
            <w:r/>
            <w:r>
              <w:rPr>
                <w:rFonts w:ascii="Times New Roman" w:hAnsi="Times New Roman"/>
                <w:b w:val="0"/>
                <w:sz w:val="16"/>
              </w:rPr>
              <w:t>100%</w:t>
            </w:r>
          </w:p>
        </w:tc>
        <w:tc>
          <w:tcPr>
            <w:tcW w:type="dxa" w:w="2074"/>
            <w:tcBorders>
              <w:bottom w:val="single" w:sz="12" w:color="000000"/>
            </w:tcBorders>
          </w:tcPr>
          <w:p>
            <w:pPr>
              <w:jc w:val="center"/>
            </w:pPr>
            <w:r/>
            <w:r>
              <w:rPr>
                <w:rFonts w:ascii="Times New Roman" w:hAnsi="Times New Roman"/>
                <w:b w:val="0"/>
                <w:sz w:val="16"/>
              </w:rPr>
              <w:t>676.6</w:t>
            </w:r>
          </w:p>
        </w:tc>
        <w:tc>
          <w:tcPr>
            <w:tcW w:type="dxa" w:w="2074"/>
            <w:tcBorders>
              <w:bottom w:val="single" w:sz="12" w:color="000000"/>
            </w:tcBorders>
          </w:tcPr>
          <w:p>
            <w:pPr>
              <w:jc w:val="center"/>
            </w:pPr>
            <w:r/>
            <w:r>
              <w:rPr>
                <w:rFonts w:ascii="Times New Roman" w:hAnsi="Times New Roman"/>
                <w:b w:val="0"/>
                <w:sz w:val="16"/>
              </w:rPr>
              <w:t>676.6</w:t>
            </w:r>
          </w:p>
        </w:tc>
        <w:tc>
          <w:tcPr>
            <w:tcW w:type="dxa" w:w="2074"/>
            <w:tcBorders>
              <w:bottom w:val="single" w:sz="12" w:color="000000"/>
            </w:tcBorders>
          </w:tcPr>
          <w:p>
            <w:pPr>
              <w:jc w:val="center"/>
            </w:pPr>
            <w:r/>
            <w:r>
              <w:rPr>
                <w:rFonts w:ascii="Times New Roman" w:hAnsi="Times New Roman"/>
                <w:b w:val="0"/>
                <w:sz w:val="16"/>
              </w:rPr>
              <w:t>676.6</w:t>
            </w:r>
          </w:p>
        </w:tc>
        <w:tc>
          <w:tcPr>
            <w:tcW w:type="dxa" w:w="2074"/>
            <w:tcBorders>
              <w:bottom w:val="single" w:sz="12" w:color="000000"/>
            </w:tcBorders>
          </w:tcPr>
          <w:p>
            <w:pPr>
              <w:jc w:val="center"/>
            </w:pPr>
            <w:r/>
            <w:r>
              <w:rPr>
                <w:rFonts w:ascii="Times New Roman" w:hAnsi="Times New Roman"/>
                <w:b w:val="0"/>
                <w:sz w:val="16"/>
              </w:rPr>
              <w:t>100</w:t>
            </w:r>
          </w:p>
        </w:tc>
      </w:tr>
    </w:tbl>
    <w:p>
      <w:pPr>
        <w:spacing w:after="40"/>
      </w:pPr>
    </w:p>
    <w:p>
      <w:pPr>
        <w:pStyle w:val="Heading2"/>
      </w:pPr>
      <w:r>
        <w:t>D. The key negative result: screening is not deciding</w:t>
      </w:r>
    </w:p>
    <w:p>
      <w:pPr>
        <w:spacing w:after="0"/>
        <w:ind w:firstLine="204"/>
        <w:jc w:val="both"/>
      </w:pPr>
      <w:r>
        <w:t xml:space="preserve">On the hard-negative pools, the tolerant screen alone produces a 93% fragment-level false-positive rate, and raising the threshold cannot repair it: recall falls below 80% before the false-positive rate reaches 43%. Verbatim counts alone rank well (donor in top-20: 93.7%) but still flag 22% of fragments. Fig. 7 and Table VI break the phenomenon down by donor-margin distribution and fragment length. This is a property of item-level encodings—pop repertoire shares large amounts of grid-quantized material—and it motivates the confirmation layer. </w:t>
      </w:r>
    </w:p>
    <w:p>
      <w:pPr>
        <w:spacing w:after="0"/>
        <w:ind w:firstLine="204"/>
        <w:jc w:val="both"/>
      </w:pPr>
      <w:r>
        <w:t>Sample sizes are small (238 fragments; 95% half-width ≈ 1.8 pp near 2% incidence and ≈ 6.3 pp near 50%), so we treat single-percentage-point differences as ties and rely on margins larger than the half-width.</w:t>
      </w:r>
    </w:p>
    <w:p>
      <w:p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keepNext/>
        <w:jc w:val="center"/>
      </w:pPr>
      <w:drawing xmlns:a="http://schemas.openxmlformats.org/drawingml/2006/main" xmlns:pic="http://schemas.openxmlformats.org/drawingml/2006/picture">
        <wp:inline distT="0" distB="0" distL="0" distR="0">
          <wp:extent cx="5760000" cy="1981628"/>
          <wp:effectExtent l="0" t="0" r="0" b="0"/>
          <wp:docPr id="107" name="fig_e13_margins.emf"/>
          <wp:cNvGraphicFramePr/>
          <a:graphic>
            <a:graphicData uri="http://schemas.openxmlformats.org/drawingml/2006/picture">
              <pic:pic>
                <pic:nvPicPr>
                  <pic:cNvPr id="0" name="fig_e13_margins.emf"/>
                  <pic:cNvPicPr/>
                </pic:nvPicPr>
                <pic:blipFill>
                  <a:blip r:embed="rId39"/>
                  <a:stretch>
                    <a:fillRect/>
                  </a:stretch>
                </pic:blipFill>
                <pic:spPr>
                  <a:xfrm>
                    <a:off x="0" y="0"/>
                    <a:ext cx="5760000" cy="1981628"/>
                  </a:xfrm>
                  <a:prstGeom prst="rect">
                    <a:avLst/>
                  </a:prstGeom>
                </pic:spPr>
              </pic:pic>
            </a:graphicData>
          </a:graphic>
        </wp:inline>
      </w:drawing>
    </w:p>
    <w:p>
      <w:pPr>
        <w:pStyle w:val="FigureCaption"/>
      </w:pPr>
      <w:r>
        <w:rPr>
          <w:sz w:val="19"/>
        </w:rPr>
        <w:t>Fig. 7. Donor score margin (donor minus best non-donor) on 238 hard-negative fragments; the annotated rate is the fragment-level flag rate of each layer.</w:t>
      </w:r>
    </w:p>
    <w:p>
      <w:pPr>
        <w:sectPr w:rsidR="007E713A" w:rsidSect="00002FAF">
          <w:headerReference w:type="default" r:id="rId9"/>
          <w:type w:val="continuous"/>
          <w:pgSz w:w="12240" w:h="15840"/>
          <w:pgMar w:top="1008" w:right="936" w:bottom="1008" w:left="936" w:header="432" w:footer="432" w:gutter="0"/>
          <w:cols w:space="288"/>
        </w:sectPr>
      </w:pPr>
    </w:p>
    <w:p>
      <w:pPr>
        <w:pStyle w:val="TableTitle"/>
        <w:keepNext/>
      </w:pPr>
      <w:r>
        <w:t>TABLE VI.</w:t>
      </w:r>
    </w:p>
    <w:p>
      <w:pPr>
        <w:pStyle w:val="TableTitle"/>
        <w:keepNext/>
      </w:pPr>
      <w:r>
        <w:t>Single-layer screening on style-similar hard negatives (80 donors, transcribed fragments), by fragment length.</w:t>
      </w:r>
    </w:p>
    <w:tbl>
      <w:tblPr>
        <w:tblW w:type="auto" w:w="0"/>
        <w:jc w:val="center"/>
        <w:tblLayout w:type="autofit"/>
        <w:tblLook w:firstColumn="1" w:firstRow="1" w:lastColumn="0" w:lastRow="0" w:noHBand="0" w:noVBand="1" w:val="04A0"/>
      </w:tblPr>
      <w:tblGrid>
        <w:gridCol w:w="2074"/>
        <w:gridCol w:w="2074"/>
        <w:gridCol w:w="2074"/>
        <w:gridCol w:w="2074"/>
        <w:gridCol w:w="2074"/>
      </w:tblGrid>
      <w:tr>
        <w:trPr>
          <w:cantSplit/>
        </w:trPr>
        <w:tc>
          <w:tcPr>
            <w:tcW w:type="dxa" w:w="2074"/>
            <w:tcBorders>
              <w:top w:val="single" w:sz="12" w:color="000000"/>
              <w:bottom w:val="single" w:sz="6" w:color="000000"/>
            </w:tcBorders>
          </w:tcPr>
          <w:p>
            <w:pPr>
              <w:keepNext/>
              <w:jc w:val="left"/>
            </w:pPr>
            <w:r/>
            <w:r>
              <w:rPr>
                <w:rFonts w:ascii="Times New Roman" w:hAnsi="Times New Roman"/>
                <w:b/>
                <w:sz w:val="16"/>
              </w:rPr>
              <w:t>Span (s)</w:t>
            </w:r>
          </w:p>
        </w:tc>
        <w:tc>
          <w:tcPr>
            <w:tcW w:type="dxa" w:w="2074"/>
            <w:tcBorders>
              <w:top w:val="single" w:sz="12" w:color="000000"/>
              <w:bottom w:val="single" w:sz="6" w:color="000000"/>
            </w:tcBorders>
          </w:tcPr>
          <w:p>
            <w:pPr>
              <w:keepNext/>
              <w:jc w:val="center"/>
            </w:pPr>
            <w:r/>
            <w:r>
              <w:rPr>
                <w:rFonts w:ascii="Times New Roman" w:hAnsi="Times New Roman"/>
                <w:b/>
                <w:sz w:val="16"/>
              </w:rPr>
              <w:t>Fragments</w:t>
            </w:r>
          </w:p>
        </w:tc>
        <w:tc>
          <w:tcPr>
            <w:tcW w:type="dxa" w:w="2074"/>
            <w:tcBorders>
              <w:top w:val="single" w:sz="12" w:color="000000"/>
              <w:bottom w:val="single" w:sz="6" w:color="000000"/>
            </w:tcBorders>
          </w:tcPr>
          <w:p>
            <w:pPr>
              <w:keepNext/>
              <w:jc w:val="center"/>
            </w:pPr>
            <w:r/>
            <w:r>
              <w:rPr>
                <w:rFonts w:ascii="Times New Roman" w:hAnsi="Times New Roman"/>
                <w:b/>
                <w:sz w:val="16"/>
              </w:rPr>
              <w:t>L1 tolerant FP (%)</w:t>
            </w:r>
          </w:p>
        </w:tc>
        <w:tc>
          <w:tcPr>
            <w:tcW w:type="dxa" w:w="2074"/>
            <w:tcBorders>
              <w:top w:val="single" w:sz="12" w:color="000000"/>
              <w:bottom w:val="single" w:sz="6" w:color="000000"/>
            </w:tcBorders>
          </w:tcPr>
          <w:p>
            <w:pPr>
              <w:keepNext/>
              <w:jc w:val="center"/>
            </w:pPr>
            <w:r/>
            <w:r>
              <w:rPr>
                <w:rFonts w:ascii="Times New Roman" w:hAnsi="Times New Roman"/>
                <w:b/>
                <w:sz w:val="16"/>
              </w:rPr>
              <w:t>L2 verbatim FP (%)</w:t>
            </w:r>
          </w:p>
        </w:tc>
        <w:tc>
          <w:tcPr>
            <w:tcW w:type="dxa" w:w="2074"/>
            <w:tcBorders>
              <w:top w:val="single" w:sz="12" w:color="000000"/>
              <w:bottom w:val="single" w:sz="6" w:color="000000"/>
            </w:tcBorders>
          </w:tcPr>
          <w:p>
            <w:pPr>
              <w:keepNext/>
              <w:jc w:val="center"/>
            </w:pPr>
            <w:r/>
            <w:r>
              <w:rPr>
                <w:rFonts w:ascii="Times New Roman" w:hAnsi="Times New Roman"/>
                <w:b/>
                <w:sz w:val="16"/>
              </w:rPr>
              <w:t>L2 donor in top-20 (%)</w:t>
            </w:r>
          </w:p>
        </w:tc>
      </w:tr>
      <w:tr>
        <w:trPr>
          <w:cantSplit/>
        </w:trPr>
        <w:tc>
          <w:tcPr>
            <w:tcW w:type="dxa" w:w="2074"/>
          </w:tcPr>
          <w:p>
            <w:pPr>
              <w:keepNext/>
              <w:jc w:val="left"/>
            </w:pPr>
            <w:r/>
            <w:r>
              <w:rPr>
                <w:rFonts w:ascii="Times New Roman" w:hAnsi="Times New Roman"/>
                <w:b w:val="0"/>
                <w:sz w:val="16"/>
              </w:rPr>
              <w:t>4</w:t>
            </w:r>
          </w:p>
        </w:tc>
        <w:tc>
          <w:tcPr>
            <w:tcW w:type="dxa" w:w="2074"/>
          </w:tcPr>
          <w:p>
            <w:pPr>
              <w:keepNext/>
              <w:jc w:val="center"/>
            </w:pPr>
            <w:r/>
            <w:r>
              <w:rPr>
                <w:rFonts w:ascii="Times New Roman" w:hAnsi="Times New Roman"/>
                <w:b w:val="0"/>
                <w:sz w:val="16"/>
              </w:rPr>
              <w:t>79</w:t>
            </w:r>
          </w:p>
        </w:tc>
        <w:tc>
          <w:tcPr>
            <w:tcW w:type="dxa" w:w="2074"/>
          </w:tcPr>
          <w:p>
            <w:pPr>
              <w:keepNext/>
              <w:jc w:val="center"/>
            </w:pPr>
            <w:r/>
            <w:r>
              <w:rPr>
                <w:rFonts w:ascii="Times New Roman" w:hAnsi="Times New Roman"/>
                <w:b w:val="0"/>
                <w:sz w:val="16"/>
              </w:rPr>
              <w:t>93.7</w:t>
            </w:r>
          </w:p>
        </w:tc>
        <w:tc>
          <w:tcPr>
            <w:tcW w:type="dxa" w:w="2074"/>
          </w:tcPr>
          <w:p>
            <w:pPr>
              <w:keepNext/>
              <w:jc w:val="center"/>
            </w:pPr>
            <w:r/>
            <w:r>
              <w:rPr>
                <w:rFonts w:ascii="Times New Roman" w:hAnsi="Times New Roman"/>
                <w:b w:val="0"/>
                <w:sz w:val="16"/>
              </w:rPr>
              <w:t>31.6</w:t>
            </w:r>
          </w:p>
        </w:tc>
        <w:tc>
          <w:tcPr>
            <w:tcW w:type="dxa" w:w="2074"/>
          </w:tcPr>
          <w:p>
            <w:pPr>
              <w:keepNext/>
              <w:jc w:val="center"/>
            </w:pPr>
            <w:r/>
            <w:r>
              <w:rPr>
                <w:rFonts w:ascii="Times New Roman" w:hAnsi="Times New Roman"/>
                <w:b w:val="0"/>
                <w:sz w:val="16"/>
              </w:rPr>
              <w:t>94.9</w:t>
            </w:r>
          </w:p>
        </w:tc>
      </w:tr>
      <w:tr>
        <w:trPr>
          <w:cantSplit/>
        </w:trPr>
        <w:tc>
          <w:tcPr>
            <w:tcW w:type="dxa" w:w="2074"/>
          </w:tcPr>
          <w:p>
            <w:pPr>
              <w:keepNext/>
              <w:jc w:val="left"/>
            </w:pPr>
            <w:r/>
            <w:r>
              <w:rPr>
                <w:rFonts w:ascii="Times New Roman" w:hAnsi="Times New Roman"/>
                <w:b w:val="0"/>
                <w:sz w:val="16"/>
              </w:rPr>
              <w:t>8</w:t>
            </w:r>
          </w:p>
        </w:tc>
        <w:tc>
          <w:tcPr>
            <w:tcW w:type="dxa" w:w="2074"/>
          </w:tcPr>
          <w:p>
            <w:pPr>
              <w:keepNext/>
              <w:jc w:val="center"/>
            </w:pPr>
            <w:r/>
            <w:r>
              <w:rPr>
                <w:rFonts w:ascii="Times New Roman" w:hAnsi="Times New Roman"/>
                <w:b w:val="0"/>
                <w:sz w:val="16"/>
              </w:rPr>
              <w:t>79</w:t>
            </w:r>
          </w:p>
        </w:tc>
        <w:tc>
          <w:tcPr>
            <w:tcW w:type="dxa" w:w="2074"/>
          </w:tcPr>
          <w:p>
            <w:pPr>
              <w:keepNext/>
              <w:jc w:val="center"/>
            </w:pPr>
            <w:r/>
            <w:r>
              <w:rPr>
                <w:rFonts w:ascii="Times New Roman" w:hAnsi="Times New Roman"/>
                <w:b w:val="0"/>
                <w:sz w:val="16"/>
              </w:rPr>
              <w:t>93.7</w:t>
            </w:r>
          </w:p>
        </w:tc>
        <w:tc>
          <w:tcPr>
            <w:tcW w:type="dxa" w:w="2074"/>
          </w:tcPr>
          <w:p>
            <w:pPr>
              <w:keepNext/>
              <w:jc w:val="center"/>
            </w:pPr>
            <w:r/>
            <w:r>
              <w:rPr>
                <w:rFonts w:ascii="Times New Roman" w:hAnsi="Times New Roman"/>
                <w:b w:val="0"/>
                <w:sz w:val="16"/>
              </w:rPr>
              <w:t>22.8</w:t>
            </w:r>
          </w:p>
        </w:tc>
        <w:tc>
          <w:tcPr>
            <w:tcW w:type="dxa" w:w="2074"/>
          </w:tcPr>
          <w:p>
            <w:pPr>
              <w:keepNext/>
              <w:jc w:val="center"/>
            </w:pPr>
            <w:r/>
            <w:r>
              <w:rPr>
                <w:rFonts w:ascii="Times New Roman" w:hAnsi="Times New Roman"/>
                <w:b w:val="0"/>
                <w:sz w:val="16"/>
              </w:rPr>
              <w:t>92.4</w:t>
            </w:r>
          </w:p>
        </w:tc>
      </w:tr>
      <w:tr>
        <w:trPr>
          <w:cantSplit/>
        </w:trPr>
        <w:tc>
          <w:tcPr>
            <w:tcW w:type="dxa" w:w="2074"/>
          </w:tcPr>
          <w:p>
            <w:pPr>
              <w:keepNext/>
              <w:jc w:val="left"/>
            </w:pPr>
            <w:r/>
            <w:r>
              <w:rPr>
                <w:rFonts w:ascii="Times New Roman" w:hAnsi="Times New Roman"/>
                <w:b w:val="0"/>
                <w:sz w:val="16"/>
              </w:rPr>
              <w:t>16</w:t>
            </w:r>
          </w:p>
        </w:tc>
        <w:tc>
          <w:tcPr>
            <w:tcW w:type="dxa" w:w="2074"/>
          </w:tcPr>
          <w:p>
            <w:pPr>
              <w:keepNext/>
              <w:jc w:val="center"/>
            </w:pPr>
            <w:r/>
            <w:r>
              <w:rPr>
                <w:rFonts w:ascii="Times New Roman" w:hAnsi="Times New Roman"/>
                <w:b w:val="0"/>
                <w:sz w:val="16"/>
              </w:rPr>
              <w:t>80</w:t>
            </w:r>
          </w:p>
        </w:tc>
        <w:tc>
          <w:tcPr>
            <w:tcW w:type="dxa" w:w="2074"/>
          </w:tcPr>
          <w:p>
            <w:pPr>
              <w:keepNext/>
              <w:jc w:val="center"/>
            </w:pPr>
            <w:r/>
            <w:r>
              <w:rPr>
                <w:rFonts w:ascii="Times New Roman" w:hAnsi="Times New Roman"/>
                <w:b w:val="0"/>
                <w:sz w:val="16"/>
              </w:rPr>
              <w:t>92.5</w:t>
            </w:r>
          </w:p>
        </w:tc>
        <w:tc>
          <w:tcPr>
            <w:tcW w:type="dxa" w:w="2074"/>
          </w:tcPr>
          <w:p>
            <w:pPr>
              <w:keepNext/>
              <w:jc w:val="center"/>
            </w:pPr>
            <w:r/>
            <w:r>
              <w:rPr>
                <w:rFonts w:ascii="Times New Roman" w:hAnsi="Times New Roman"/>
                <w:b w:val="0"/>
                <w:sz w:val="16"/>
              </w:rPr>
              <w:t>12.5</w:t>
            </w:r>
          </w:p>
        </w:tc>
        <w:tc>
          <w:tcPr>
            <w:tcW w:type="dxa" w:w="2074"/>
          </w:tcPr>
          <w:p>
            <w:pPr>
              <w:keepNext/>
              <w:jc w:val="center"/>
            </w:pPr>
            <w:r/>
            <w:r>
              <w:rPr>
                <w:rFonts w:ascii="Times New Roman" w:hAnsi="Times New Roman"/>
                <w:b w:val="0"/>
                <w:sz w:val="16"/>
              </w:rPr>
              <w:t>93.8</w:t>
            </w:r>
          </w:p>
        </w:tc>
      </w:tr>
      <w:tr>
        <w:trPr>
          <w:cantSplit/>
        </w:trPr>
        <w:tc>
          <w:tcPr>
            <w:tcW w:type="dxa" w:w="2074"/>
            <w:tcBorders>
              <w:bottom w:val="single" w:sz="12" w:color="000000"/>
            </w:tcBorders>
          </w:tcPr>
          <w:p>
            <w:pPr>
              <w:jc w:val="left"/>
            </w:pPr>
            <w:r/>
            <w:r>
              <w:rPr>
                <w:rFonts w:ascii="Times New Roman" w:hAnsi="Times New Roman"/>
                <w:b w:val="0"/>
                <w:sz w:val="16"/>
              </w:rPr>
              <w:t>All</w:t>
            </w:r>
          </w:p>
        </w:tc>
        <w:tc>
          <w:tcPr>
            <w:tcW w:type="dxa" w:w="2074"/>
            <w:tcBorders>
              <w:bottom w:val="single" w:sz="12" w:color="000000"/>
            </w:tcBorders>
          </w:tcPr>
          <w:p>
            <w:pPr>
              <w:jc w:val="center"/>
            </w:pPr>
            <w:r/>
            <w:r>
              <w:rPr>
                <w:rFonts w:ascii="Times New Roman" w:hAnsi="Times New Roman"/>
                <w:b w:val="0"/>
                <w:sz w:val="16"/>
              </w:rPr>
              <w:t>238</w:t>
            </w:r>
          </w:p>
        </w:tc>
        <w:tc>
          <w:tcPr>
            <w:tcW w:type="dxa" w:w="2074"/>
            <w:tcBorders>
              <w:bottom w:val="single" w:sz="12" w:color="000000"/>
            </w:tcBorders>
          </w:tcPr>
          <w:p>
            <w:pPr>
              <w:jc w:val="center"/>
            </w:pPr>
            <w:r/>
            <w:r>
              <w:rPr>
                <w:rFonts w:ascii="Times New Roman" w:hAnsi="Times New Roman"/>
                <w:b w:val="0"/>
                <w:sz w:val="16"/>
              </w:rPr>
              <w:t>93.3</w:t>
            </w:r>
          </w:p>
        </w:tc>
        <w:tc>
          <w:tcPr>
            <w:tcW w:type="dxa" w:w="2074"/>
            <w:tcBorders>
              <w:bottom w:val="single" w:sz="12" w:color="000000"/>
            </w:tcBorders>
          </w:tcPr>
          <w:p>
            <w:pPr>
              <w:jc w:val="center"/>
            </w:pPr>
            <w:r/>
            <w:r>
              <w:rPr>
                <w:rFonts w:ascii="Times New Roman" w:hAnsi="Times New Roman"/>
                <w:b w:val="0"/>
                <w:sz w:val="16"/>
              </w:rPr>
              <w:t>22.3</w:t>
            </w:r>
          </w:p>
        </w:tc>
        <w:tc>
          <w:tcPr>
            <w:tcW w:type="dxa" w:w="2074"/>
            <w:tcBorders>
              <w:bottom w:val="single" w:sz="12" w:color="000000"/>
            </w:tcBorders>
          </w:tcPr>
          <w:p>
            <w:pPr>
              <w:jc w:val="center"/>
            </w:pPr>
            <w:r/>
            <w:r>
              <w:rPr>
                <w:rFonts w:ascii="Times New Roman" w:hAnsi="Times New Roman"/>
                <w:b w:val="0"/>
                <w:sz w:val="16"/>
              </w:rPr>
              <w:t>93.7</w:t>
            </w:r>
          </w:p>
        </w:tc>
      </w:tr>
    </w:tbl>
    <w:p>
      <w:pPr>
        <w:spacing w:after="40"/>
      </w:pPr>
    </w:p>
    <w:p>
      <w:pPr>
        <w:pStyle w:val="Heading2"/>
      </w:pPr>
      <w:r>
        <w:t>E. Confirmation precision and the cascade</w:t>
      </w:r>
    </w:p>
    <w:p>
      <w:pPr>
        <w:spacing w:after="0"/>
        <w:ind w:firstLine="204"/>
        <w:jc w:val="both"/>
      </w:pPr>
      <w:r>
        <w:t>Strict-tolerance chain confirmation reaches a 2.1% fragment-level false-positive rate at 83.9% recall (ρ=0.5), and 7.2% at 98.3% recall (ρ=0.4); Table VII and Fig. 8 map the full recall/FP trade-off over three anchor-tolerance regimes and four contiguity thresholds. Table VIII and Fig. 9 place the full cascade against its single-layer ablations. The cascade's remaining bottleneck is candidate retention: verbatim top-C keeps 93.1% (C=20) and 96.6% (C=50) of donors; the union of tolerant and verbatim top-C feeds—adopted in the final system—lifts retention above 99%.</w:t>
      </w:r>
    </w:p>
    <w:p>
      <w:pPr>
        <w:spacing w:after="0"/>
        <w:ind w:firstLine="204"/>
        <w:jc w:val="both"/>
      </w:pPr>
      <w:r>
        <w:t>Both metrics share one denominator: the 236 fragment queries of the confirmation suite, each a true transcription copy of one of the 80 donors. The recall numerator counts fragments whose donor is confirmed; the FP numerator counts fragments in which at least one non-donor piece is confirmed at the same threshold, so recall and FP are measured on exactly the same queries. The two contiguity anchors answer two different workflows: ρ = 0.5 (2.1% FP, 83.9% recall) is the decision-grade operating point, at which a confirmed flag can be acted on directly; ρ = 0.4 (7.2% FP, 98.3% recall) is the high-recall triage point for pre-filtering large corpora before human review. “Decision-grade” is used here in an operational sense: the threshold is fixed before measurement, applied uniformly across corpora, and the quoted error rate is the measured fragment-level FP on style-similar hard negatives rather than a per-corpus tuned value.</w:t>
      </w:r>
    </w:p>
    <w:p>
      <w:pPr>
        <w:pStyle w:val="TableTitle"/>
        <w:keepNext/>
      </w:pPr>
      <w:r>
        <w:t>TABLE VII.</w:t>
      </w:r>
    </w:p>
    <w:p>
      <w:pPr>
        <w:pStyle w:val="TableTitle"/>
        <w:keepNext/>
      </w:pPr>
      <w:r>
        <w:t>Confirmation recall / fragment-level FP (%) by anchor-tolerance regime and contiguity threshold ρ (236 hard-negative fragments).</w:t>
      </w:r>
    </w:p>
    <w:tbl>
      <w:tblPr>
        <w:tblW w:type="auto" w:w="0"/>
        <w:jc w:val="center"/>
        <w:tblLayout w:type="autofit"/>
        <w:tblLook w:firstColumn="1" w:firstRow="1" w:lastColumn="0" w:lastRow="0" w:noHBand="0" w:noVBand="1" w:val="04A0"/>
      </w:tblPr>
      <w:tblGrid>
        <w:gridCol w:w="2074"/>
        <w:gridCol w:w="2074"/>
        <w:gridCol w:w="2074"/>
        <w:gridCol w:w="2074"/>
        <w:gridCol w:w="2074"/>
      </w:tblGrid>
      <w:tr>
        <w:trPr>
          <w:cantSplit/>
        </w:trPr>
        <w:tc>
          <w:tcPr>
            <w:tcW w:type="dxa" w:w="2074"/>
            <w:tcBorders>
              <w:top w:val="single" w:sz="12" w:color="000000"/>
              <w:bottom w:val="single" w:sz="6" w:color="000000"/>
            </w:tcBorders>
          </w:tcPr>
          <w:p>
            <w:pPr>
              <w:keepNext/>
              <w:jc w:val="left"/>
            </w:pPr>
            <w:r/>
            <w:r>
              <w:rPr>
                <w:rFonts w:ascii="Times New Roman" w:hAnsi="Times New Roman"/>
                <w:b/>
                <w:sz w:val="16"/>
              </w:rPr>
              <w:t>Anchor tolerance</w:t>
            </w:r>
          </w:p>
        </w:tc>
        <w:tc>
          <w:tcPr>
            <w:tcW w:type="dxa" w:w="2074"/>
            <w:tcBorders>
              <w:top w:val="single" w:sz="12" w:color="000000"/>
              <w:bottom w:val="single" w:sz="6" w:color="000000"/>
            </w:tcBorders>
          </w:tcPr>
          <w:p>
            <w:pPr>
              <w:keepNext/>
              <w:jc w:val="center"/>
            </w:pPr>
            <w:r/>
            <w:r>
              <w:rPr>
                <w:rFonts w:ascii="Times New Roman" w:hAnsi="Times New Roman"/>
                <w:b/>
                <w:sz w:val="16"/>
              </w:rPr>
              <w:t>ρ = 0.3</w:t>
            </w:r>
          </w:p>
        </w:tc>
        <w:tc>
          <w:tcPr>
            <w:tcW w:type="dxa" w:w="2074"/>
            <w:tcBorders>
              <w:top w:val="single" w:sz="12" w:color="000000"/>
              <w:bottom w:val="single" w:sz="6" w:color="000000"/>
            </w:tcBorders>
          </w:tcPr>
          <w:p>
            <w:pPr>
              <w:keepNext/>
              <w:jc w:val="center"/>
            </w:pPr>
            <w:r/>
            <w:r>
              <w:rPr>
                <w:rFonts w:ascii="Times New Roman" w:hAnsi="Times New Roman"/>
                <w:b/>
                <w:sz w:val="16"/>
              </w:rPr>
              <w:t>ρ = 0.4</w:t>
            </w:r>
          </w:p>
        </w:tc>
        <w:tc>
          <w:tcPr>
            <w:tcW w:type="dxa" w:w="2074"/>
            <w:tcBorders>
              <w:top w:val="single" w:sz="12" w:color="000000"/>
              <w:bottom w:val="single" w:sz="6" w:color="000000"/>
            </w:tcBorders>
          </w:tcPr>
          <w:p>
            <w:pPr>
              <w:keepNext/>
              <w:jc w:val="center"/>
            </w:pPr>
            <w:r/>
            <w:r>
              <w:rPr>
                <w:rFonts w:ascii="Times New Roman" w:hAnsi="Times New Roman"/>
                <w:b/>
                <w:sz w:val="16"/>
              </w:rPr>
              <w:t>ρ = 0.5</w:t>
            </w:r>
          </w:p>
        </w:tc>
        <w:tc>
          <w:tcPr>
            <w:tcW w:type="dxa" w:w="2074"/>
            <w:tcBorders>
              <w:top w:val="single" w:sz="12" w:color="000000"/>
              <w:bottom w:val="single" w:sz="6" w:color="000000"/>
            </w:tcBorders>
          </w:tcPr>
          <w:p>
            <w:pPr>
              <w:keepNext/>
              <w:jc w:val="center"/>
            </w:pPr>
            <w:r/>
            <w:r>
              <w:rPr>
                <w:rFonts w:ascii="Times New Roman" w:hAnsi="Times New Roman"/>
                <w:b/>
                <w:sz w:val="16"/>
              </w:rPr>
              <w:t>ρ = 0.6</w:t>
            </w:r>
          </w:p>
        </w:tc>
      </w:tr>
      <w:tr>
        <w:trPr>
          <w:cantSplit/>
        </w:trPr>
        <w:tc>
          <w:tcPr>
            <w:tcW w:type="dxa" w:w="2074"/>
          </w:tcPr>
          <w:p>
            <w:pPr>
              <w:keepNext/>
              <w:jc w:val="left"/>
            </w:pPr>
            <w:r/>
            <w:r>
              <w:rPr>
                <w:rFonts w:ascii="Times New Roman" w:hAnsi="Times New Roman"/>
                <w:b w:val="0"/>
                <w:sz w:val="16"/>
              </w:rPr>
              <w:t>Strict anchors</w:t>
            </w:r>
          </w:p>
        </w:tc>
        <w:tc>
          <w:tcPr>
            <w:tcW w:type="dxa" w:w="2074"/>
          </w:tcPr>
          <w:p>
            <w:pPr>
              <w:keepNext/>
              <w:jc w:val="center"/>
            </w:pPr>
            <w:r/>
            <w:r>
              <w:rPr>
                <w:rFonts w:ascii="Times New Roman" w:hAnsi="Times New Roman"/>
                <w:b w:val="0"/>
                <w:sz w:val="16"/>
              </w:rPr>
              <w:t>100.0 / 13.6</w:t>
            </w:r>
          </w:p>
        </w:tc>
        <w:tc>
          <w:tcPr>
            <w:tcW w:type="dxa" w:w="2074"/>
          </w:tcPr>
          <w:p>
            <w:pPr>
              <w:keepNext/>
              <w:jc w:val="center"/>
            </w:pPr>
            <w:r/>
            <w:r>
              <w:rPr>
                <w:rFonts w:ascii="Times New Roman" w:hAnsi="Times New Roman"/>
                <w:b w:val="0"/>
                <w:sz w:val="16"/>
              </w:rPr>
              <w:t>98.3 / 7.2</w:t>
            </w:r>
          </w:p>
        </w:tc>
        <w:tc>
          <w:tcPr>
            <w:tcW w:type="dxa" w:w="2074"/>
          </w:tcPr>
          <w:p>
            <w:pPr>
              <w:keepNext/>
              <w:jc w:val="center"/>
            </w:pPr>
            <w:r/>
            <w:r>
              <w:rPr>
                <w:rFonts w:ascii="Times New Roman" w:hAnsi="Times New Roman"/>
                <w:b w:val="0"/>
                <w:sz w:val="16"/>
              </w:rPr>
              <w:t>83.9 / 2.1</w:t>
            </w:r>
          </w:p>
        </w:tc>
        <w:tc>
          <w:tcPr>
            <w:tcW w:type="dxa" w:w="2074"/>
          </w:tcPr>
          <w:p>
            <w:pPr>
              <w:keepNext/>
              <w:jc w:val="center"/>
            </w:pPr>
            <w:r/>
            <w:r>
              <w:rPr>
                <w:rFonts w:ascii="Times New Roman" w:hAnsi="Times New Roman"/>
                <w:b w:val="0"/>
                <w:sz w:val="16"/>
              </w:rPr>
              <w:t>43.2 / 0.4</w:t>
            </w:r>
          </w:p>
        </w:tc>
      </w:tr>
      <w:tr>
        <w:trPr>
          <w:cantSplit/>
        </w:trPr>
        <w:tc>
          <w:tcPr>
            <w:tcW w:type="dxa" w:w="2074"/>
          </w:tcPr>
          <w:p>
            <w:pPr>
              <w:keepNext/>
              <w:jc w:val="left"/>
            </w:pPr>
            <w:r/>
            <w:r>
              <w:rPr>
                <w:rFonts w:ascii="Times New Roman" w:hAnsi="Times New Roman"/>
                <w:b w:val="0"/>
                <w:sz w:val="16"/>
              </w:rPr>
              <w:t>Mid tolerance</w:t>
            </w:r>
          </w:p>
        </w:tc>
        <w:tc>
          <w:tcPr>
            <w:tcW w:type="dxa" w:w="2074"/>
          </w:tcPr>
          <w:p>
            <w:pPr>
              <w:keepNext/>
              <w:jc w:val="center"/>
            </w:pPr>
            <w:r/>
            <w:r>
              <w:rPr>
                <w:rFonts w:ascii="Times New Roman" w:hAnsi="Times New Roman"/>
                <w:b w:val="0"/>
                <w:sz w:val="16"/>
              </w:rPr>
              <w:t>100.0 / 88.6</w:t>
            </w:r>
          </w:p>
        </w:tc>
        <w:tc>
          <w:tcPr>
            <w:tcW w:type="dxa" w:w="2074"/>
          </w:tcPr>
          <w:p>
            <w:pPr>
              <w:keepNext/>
              <w:jc w:val="center"/>
            </w:pPr>
            <w:r/>
            <w:r>
              <w:rPr>
                <w:rFonts w:ascii="Times New Roman" w:hAnsi="Times New Roman"/>
                <w:b w:val="0"/>
                <w:sz w:val="16"/>
              </w:rPr>
              <w:t>100.0 / 66.5</w:t>
            </w:r>
          </w:p>
        </w:tc>
        <w:tc>
          <w:tcPr>
            <w:tcW w:type="dxa" w:w="2074"/>
          </w:tcPr>
          <w:p>
            <w:pPr>
              <w:keepNext/>
              <w:jc w:val="center"/>
            </w:pPr>
            <w:r/>
            <w:r>
              <w:rPr>
                <w:rFonts w:ascii="Times New Roman" w:hAnsi="Times New Roman"/>
                <w:b w:val="0"/>
                <w:sz w:val="16"/>
              </w:rPr>
              <w:t>99.6 / 50.4</w:t>
            </w:r>
          </w:p>
        </w:tc>
        <w:tc>
          <w:tcPr>
            <w:tcW w:type="dxa" w:w="2074"/>
          </w:tcPr>
          <w:p>
            <w:pPr>
              <w:keepNext/>
              <w:jc w:val="center"/>
            </w:pPr>
            <w:r/>
            <w:r>
              <w:rPr>
                <w:rFonts w:ascii="Times New Roman" w:hAnsi="Times New Roman"/>
                <w:b w:val="0"/>
                <w:sz w:val="16"/>
              </w:rPr>
              <w:t>97.5 / 36.0</w:t>
            </w:r>
          </w:p>
        </w:tc>
      </w:tr>
      <w:tr>
        <w:trPr>
          <w:cantSplit/>
        </w:trPr>
        <w:tc>
          <w:tcPr>
            <w:tcW w:type="dxa" w:w="2074"/>
            <w:tcBorders>
              <w:bottom w:val="single" w:sz="12" w:color="000000"/>
            </w:tcBorders>
          </w:tcPr>
          <w:p>
            <w:pPr>
              <w:jc w:val="left"/>
            </w:pPr>
            <w:r/>
            <w:r>
              <w:rPr>
                <w:rFonts w:ascii="Times New Roman" w:hAnsi="Times New Roman"/>
                <w:b w:val="0"/>
                <w:sz w:val="16"/>
              </w:rPr>
              <w:t>Loose tolerance</w:t>
            </w:r>
          </w:p>
        </w:tc>
        <w:tc>
          <w:tcPr>
            <w:tcW w:type="dxa" w:w="2074"/>
            <w:tcBorders>
              <w:bottom w:val="single" w:sz="12" w:color="000000"/>
            </w:tcBorders>
          </w:tcPr>
          <w:p>
            <w:pPr>
              <w:jc w:val="center"/>
            </w:pPr>
            <w:r/>
            <w:r>
              <w:rPr>
                <w:rFonts w:ascii="Times New Roman" w:hAnsi="Times New Roman"/>
                <w:b w:val="0"/>
                <w:sz w:val="16"/>
              </w:rPr>
              <w:t>100.0 / 97.5</w:t>
            </w:r>
          </w:p>
        </w:tc>
        <w:tc>
          <w:tcPr>
            <w:tcW w:type="dxa" w:w="2074"/>
            <w:tcBorders>
              <w:bottom w:val="single" w:sz="12" w:color="000000"/>
            </w:tcBorders>
          </w:tcPr>
          <w:p>
            <w:pPr>
              <w:jc w:val="center"/>
            </w:pPr>
            <w:r/>
            <w:r>
              <w:rPr>
                <w:rFonts w:ascii="Times New Roman" w:hAnsi="Times New Roman"/>
                <w:b w:val="0"/>
                <w:sz w:val="16"/>
              </w:rPr>
              <w:t>100.0 / 80.5</w:t>
            </w:r>
          </w:p>
        </w:tc>
        <w:tc>
          <w:tcPr>
            <w:tcW w:type="dxa" w:w="2074"/>
            <w:tcBorders>
              <w:bottom w:val="single" w:sz="12" w:color="000000"/>
            </w:tcBorders>
          </w:tcPr>
          <w:p>
            <w:pPr>
              <w:jc w:val="center"/>
            </w:pPr>
            <w:r/>
            <w:r>
              <w:rPr>
                <w:rFonts w:ascii="Times New Roman" w:hAnsi="Times New Roman"/>
                <w:b w:val="0"/>
                <w:sz w:val="16"/>
              </w:rPr>
              <w:t>100.0 / 63.1</w:t>
            </w:r>
          </w:p>
        </w:tc>
        <w:tc>
          <w:tcPr>
            <w:tcW w:type="dxa" w:w="2074"/>
            <w:tcBorders>
              <w:bottom w:val="single" w:sz="12" w:color="000000"/>
            </w:tcBorders>
          </w:tcPr>
          <w:p>
            <w:pPr>
              <w:jc w:val="center"/>
            </w:pPr>
            <w:r/>
            <w:r>
              <w:rPr>
                <w:rFonts w:ascii="Times New Roman" w:hAnsi="Times New Roman"/>
                <w:b w:val="0"/>
                <w:sz w:val="16"/>
              </w:rPr>
              <w:t>98.3 / 49.2</w:t>
            </w:r>
          </w:p>
        </w:tc>
      </w:tr>
    </w:tbl>
    <w:p>
      <w:pPr>
        <w:spacing w:after="40"/>
      </w:pPr>
    </w:p>
    <w:p>
      <w:pPr>
        <w:keepNext/>
        <w:jc w:val="center"/>
      </w:pPr>
      <w:drawing xmlns:a="http://schemas.openxmlformats.org/drawingml/2006/main" xmlns:pic="http://schemas.openxmlformats.org/drawingml/2006/picture">
        <wp:inline distT="0" distB="0" distL="0" distR="0">
          <wp:extent cx="2880000" cy="1799338"/>
          <wp:effectExtent l="0" t="0" r="0" b="0"/>
          <wp:docPr id="108" name="fig_e14_rho.emf"/>
          <wp:cNvGraphicFramePr/>
          <a:graphic>
            <a:graphicData uri="http://schemas.openxmlformats.org/drawingml/2006/picture">
              <pic:pic>
                <pic:nvPicPr>
                  <pic:cNvPr id="0" name="fig_e14_rho.emf"/>
                  <pic:cNvPicPr/>
                </pic:nvPicPr>
                <pic:blipFill>
                  <a:blip r:embed="rId40"/>
                  <a:stretch>
                    <a:fillRect/>
                  </a:stretch>
                </pic:blipFill>
                <pic:spPr>
                  <a:xfrm>
                    <a:off x="0" y="0"/>
                    <a:ext cx="2880000" cy="1799338"/>
                  </a:xfrm>
                  <a:prstGeom prst="rect">
                    <a:avLst/>
                  </a:prstGeom>
                </pic:spPr>
              </pic:pic>
            </a:graphicData>
          </a:graphic>
        </wp:inline>
      </w:drawing>
    </w:p>
    <w:p>
      <w:pPr>
        <w:pStyle w:val="FigureCaption"/>
      </w:pPr>
      <w:r>
        <w:rPr>
          <w:sz w:val="19"/>
        </w:rPr>
        <w:t>Fig. 8. Confirmation operating curves: donor recall versus fragment-level FP over ρ, labeled by threshold, for three anchor-tolerance regimes.</w:t>
      </w:r>
    </w:p>
    <w:p>
      <w:p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keepNext/>
        <w:jc w:val="center"/>
      </w:pPr>
      <w:drawing xmlns:a="http://schemas.openxmlformats.org/drawingml/2006/main" xmlns:pic="http://schemas.openxmlformats.org/drawingml/2006/picture">
        <wp:inline distT="0" distB="0" distL="0" distR="0">
          <wp:extent cx="4608000" cy="1726350"/>
          <wp:effectExtent l="0" t="0" r="0" b="0"/>
          <wp:docPr id="109" name="fig5_cascade.emf"/>
          <wp:cNvGraphicFramePr/>
          <a:graphic>
            <a:graphicData uri="http://schemas.openxmlformats.org/drawingml/2006/picture">
              <pic:pic>
                <pic:nvPicPr>
                  <pic:cNvPr id="0" name="fig5_cascade.emf"/>
                  <pic:cNvPicPr/>
                </pic:nvPicPr>
                <pic:blipFill>
                  <a:blip r:embed="rId41"/>
                  <a:stretch>
                    <a:fillRect/>
                  </a:stretch>
                </pic:blipFill>
                <pic:spPr>
                  <a:xfrm>
                    <a:off x="0" y="0"/>
                    <a:ext cx="4608000" cy="1726350"/>
                  </a:xfrm>
                  <a:prstGeom prst="rect">
                    <a:avLst/>
                  </a:prstGeom>
                </pic:spPr>
              </pic:pic>
            </a:graphicData>
          </a:graphic>
        </wp:inline>
      </w:drawing>
    </w:p>
    <w:p>
      <w:pPr>
        <w:pStyle w:val="FigureCaption"/>
      </w:pPr>
      <w:r>
        <w:rPr>
          <w:sz w:val="19"/>
        </w:rPr>
        <w:t>Fig. 9. Operating points and donor retention on hard negatives. (a) Operating points of the three systems; (b) donor retention in the top-C candidate feed.</w:t>
      </w:r>
    </w:p>
    <w:p>
      <w:pPr>
        <w:sectPr w:rsidR="007E713A" w:rsidSect="00002FAF">
          <w:headerReference w:type="default" r:id="rId9"/>
          <w:type w:val="continuous"/>
          <w:pgSz w:w="12240" w:h="15840"/>
          <w:pgMar w:top="1008" w:right="936" w:bottom="1008" w:left="936" w:header="432" w:footer="432" w:gutter="0"/>
          <w:cols w:space="288"/>
        </w:sectPr>
      </w:pPr>
    </w:p>
    <w:p>
      <w:pPr>
        <w:pStyle w:val="TableTitle"/>
        <w:keepNext/>
      </w:pPr>
      <w:r>
        <w:t>TABLE VIII.</w:t>
      </w:r>
    </w:p>
    <w:p>
      <w:pPr>
        <w:pStyle w:val="TableTitle"/>
        <w:keepNext/>
      </w:pPr>
      <w:r>
        <w:t>Layer comparison on style-similar hard negatives (233 transcribed fragments, 80 donors).</w:t>
      </w:r>
    </w:p>
    <w:tbl>
      <w:tblPr>
        <w:tblW w:type="auto" w:w="0"/>
        <w:jc w:val="center"/>
        <w:tblLayout w:type="autofit"/>
        <w:tblLook w:firstColumn="1" w:firstRow="1" w:lastColumn="0" w:lastRow="0" w:noHBand="0" w:noVBand="1" w:val="04A0"/>
      </w:tblPr>
      <w:tblGrid>
        <w:gridCol w:w="2592"/>
        <w:gridCol w:w="2592"/>
        <w:gridCol w:w="2592"/>
        <w:gridCol w:w="2592"/>
      </w:tblGrid>
      <w:tr>
        <w:trPr>
          <w:cantSplit/>
        </w:trPr>
        <w:tc>
          <w:tcPr>
            <w:tcW w:type="dxa" w:w="2592"/>
            <w:tcBorders>
              <w:top w:val="single" w:sz="12" w:color="000000"/>
              <w:bottom w:val="single" w:sz="6" w:color="000000"/>
            </w:tcBorders>
          </w:tcPr>
          <w:p>
            <w:pPr>
              <w:keepNext/>
              <w:jc w:val="left"/>
            </w:pPr>
            <w:r/>
            <w:r>
              <w:rPr>
                <w:rFonts w:ascii="Times New Roman" w:hAnsi="Times New Roman"/>
                <w:b/>
                <w:sz w:val="16"/>
              </w:rPr>
              <w:t>Layer / system</w:t>
            </w:r>
          </w:p>
        </w:tc>
        <w:tc>
          <w:tcPr>
            <w:tcW w:type="dxa" w:w="2592"/>
            <w:tcBorders>
              <w:top w:val="single" w:sz="12" w:color="000000"/>
              <w:bottom w:val="single" w:sz="6" w:color="000000"/>
            </w:tcBorders>
          </w:tcPr>
          <w:p>
            <w:pPr>
              <w:keepNext/>
              <w:jc w:val="center"/>
            </w:pPr>
            <w:r/>
            <w:r>
              <w:rPr>
                <w:rFonts w:ascii="Times New Roman" w:hAnsi="Times New Roman"/>
                <w:b/>
                <w:sz w:val="16"/>
              </w:rPr>
              <w:t>Recall</w:t>
            </w:r>
          </w:p>
        </w:tc>
        <w:tc>
          <w:tcPr>
            <w:tcW w:type="dxa" w:w="2592"/>
            <w:tcBorders>
              <w:top w:val="single" w:sz="12" w:color="000000"/>
              <w:bottom w:val="single" w:sz="6" w:color="000000"/>
            </w:tcBorders>
          </w:tcPr>
          <w:p>
            <w:pPr>
              <w:keepNext/>
              <w:jc w:val="center"/>
            </w:pPr>
            <w:r/>
            <w:r>
              <w:rPr>
                <w:rFonts w:ascii="Times New Roman" w:hAnsi="Times New Roman"/>
                <w:b/>
                <w:sz w:val="16"/>
              </w:rPr>
              <w:t>Fragment-level FP</w:t>
            </w:r>
          </w:p>
        </w:tc>
        <w:tc>
          <w:tcPr>
            <w:tcW w:type="dxa" w:w="2592"/>
            <w:tcBorders>
              <w:top w:val="single" w:sz="12" w:color="000000"/>
              <w:bottom w:val="single" w:sz="6" w:color="000000"/>
            </w:tcBorders>
          </w:tcPr>
          <w:p>
            <w:pPr>
              <w:keepNext/>
              <w:jc w:val="center"/>
            </w:pPr>
            <w:r/>
            <w:r>
              <w:rPr>
                <w:rFonts w:ascii="Times New Roman" w:hAnsi="Times New Roman"/>
                <w:b/>
                <w:sz w:val="16"/>
              </w:rPr>
              <w:t>Contract</w:t>
            </w:r>
          </w:p>
        </w:tc>
      </w:tr>
      <w:tr>
        <w:trPr>
          <w:cantSplit/>
        </w:trPr>
        <w:tc>
          <w:tcPr>
            <w:tcW w:type="dxa" w:w="2592"/>
          </w:tcPr>
          <w:p>
            <w:pPr>
              <w:keepNext/>
              <w:jc w:val="left"/>
            </w:pPr>
            <w:r/>
            <w:r>
              <w:rPr>
                <w:rFonts w:ascii="Times New Roman" w:hAnsi="Times New Roman"/>
                <w:b w:val="0"/>
                <w:sz w:val="16"/>
              </w:rPr>
              <w:t>L1 tolerant screen</w:t>
            </w:r>
          </w:p>
        </w:tc>
        <w:tc>
          <w:tcPr>
            <w:tcW w:type="dxa" w:w="2592"/>
          </w:tcPr>
          <w:p>
            <w:pPr>
              <w:keepNext/>
              <w:jc w:val="center"/>
            </w:pPr>
            <w:r/>
            <w:r>
              <w:rPr>
                <w:rFonts w:ascii="Times New Roman" w:hAnsi="Times New Roman"/>
                <w:b w:val="0"/>
                <w:sz w:val="16"/>
              </w:rPr>
              <w:t>100%</w:t>
            </w:r>
          </w:p>
        </w:tc>
        <w:tc>
          <w:tcPr>
            <w:tcW w:type="dxa" w:w="2592"/>
          </w:tcPr>
          <w:p>
            <w:pPr>
              <w:keepNext/>
              <w:jc w:val="center"/>
            </w:pPr>
            <w:r/>
            <w:r>
              <w:rPr>
                <w:rFonts w:ascii="Times New Roman" w:hAnsi="Times New Roman"/>
                <w:b w:val="0"/>
                <w:sz w:val="16"/>
              </w:rPr>
              <w:t>92.7% (τ = ⌊0.5·|S(q)|⌋); no threshold reaches &lt;50%</w:t>
            </w:r>
          </w:p>
        </w:tc>
        <w:tc>
          <w:tcPr>
            <w:tcW w:type="dxa" w:w="2592"/>
          </w:tcPr>
          <w:p>
            <w:pPr>
              <w:keepNext/>
              <w:jc w:val="center"/>
            </w:pPr>
            <w:r/>
            <w:r>
              <w:rPr>
                <w:rFonts w:ascii="Times New Roman" w:hAnsi="Times New Roman"/>
                <w:b w:val="0"/>
                <w:sz w:val="16"/>
              </w:rPr>
              <w:t>provable recall + anytime bound</w:t>
            </w:r>
          </w:p>
        </w:tc>
      </w:tr>
      <w:tr>
        <w:trPr>
          <w:cantSplit/>
        </w:trPr>
        <w:tc>
          <w:tcPr>
            <w:tcW w:type="dxa" w:w="2592"/>
          </w:tcPr>
          <w:p>
            <w:pPr>
              <w:keepNext/>
              <w:jc w:val="left"/>
            </w:pPr>
            <w:r/>
            <w:r>
              <w:rPr>
                <w:rFonts w:ascii="Times New Roman" w:hAnsi="Times New Roman"/>
                <w:b w:val="0"/>
                <w:sz w:val="16"/>
              </w:rPr>
              <w:t>L2 verbatim rank (top-1)</w:t>
            </w:r>
          </w:p>
        </w:tc>
        <w:tc>
          <w:tcPr>
            <w:tcW w:type="dxa" w:w="2592"/>
          </w:tcPr>
          <w:p>
            <w:pPr>
              <w:keepNext/>
              <w:jc w:val="center"/>
            </w:pPr>
            <w:r/>
            <w:r>
              <w:rPr>
                <w:rFonts w:ascii="Times New Roman" w:hAnsi="Times New Roman"/>
                <w:b w:val="0"/>
                <w:sz w:val="16"/>
              </w:rPr>
              <w:t>58.8% top-1 / 93.7% top-20</w:t>
            </w:r>
          </w:p>
        </w:tc>
        <w:tc>
          <w:tcPr>
            <w:tcW w:type="dxa" w:w="2592"/>
          </w:tcPr>
          <w:p>
            <w:pPr>
              <w:keepNext/>
              <w:jc w:val="center"/>
            </w:pPr>
            <w:r/>
            <w:r>
              <w:rPr>
                <w:rFonts w:ascii="Times New Roman" w:hAnsi="Times New Roman"/>
                <w:b w:val="0"/>
                <w:sz w:val="16"/>
              </w:rPr>
              <w:t>22.3%</w:t>
            </w:r>
          </w:p>
        </w:tc>
        <w:tc>
          <w:tcPr>
            <w:tcW w:type="dxa" w:w="2592"/>
          </w:tcPr>
          <w:p>
            <w:pPr>
              <w:keepNext/>
              <w:jc w:val="center"/>
            </w:pPr>
            <w:r/>
            <w:r>
              <w:rPr>
                <w:rFonts w:ascii="Times New Roman" w:hAnsi="Times New Roman"/>
                <w:b w:val="0"/>
                <w:sz w:val="16"/>
              </w:rPr>
              <w:t>no guarantee; per-corpus tuning</w:t>
            </w:r>
          </w:p>
        </w:tc>
      </w:tr>
      <w:tr>
        <w:trPr>
          <w:cantSplit/>
        </w:trPr>
        <w:tc>
          <w:tcPr>
            <w:tcW w:type="dxa" w:w="2592"/>
          </w:tcPr>
          <w:p>
            <w:pPr>
              <w:keepNext/>
              <w:jc w:val="left"/>
            </w:pPr>
            <w:r/>
            <w:r>
              <w:rPr>
                <w:rFonts w:ascii="Times New Roman" w:hAnsi="Times New Roman"/>
                <w:b w:val="0"/>
                <w:sz w:val="16"/>
              </w:rPr>
              <w:t>Screen + confirm (ρ=0.5)</w:t>
            </w:r>
          </w:p>
        </w:tc>
        <w:tc>
          <w:tcPr>
            <w:tcW w:type="dxa" w:w="2592"/>
          </w:tcPr>
          <w:p>
            <w:pPr>
              <w:keepNext/>
              <w:jc w:val="center"/>
            </w:pPr>
            <w:r/>
            <w:r>
              <w:rPr>
                <w:rFonts w:ascii="Times New Roman" w:hAnsi="Times New Roman"/>
                <w:b w:val="0"/>
                <w:sz w:val="16"/>
              </w:rPr>
              <w:t>80.7%</w:t>
            </w:r>
          </w:p>
        </w:tc>
        <w:tc>
          <w:tcPr>
            <w:tcW w:type="dxa" w:w="2592"/>
          </w:tcPr>
          <w:p>
            <w:pPr>
              <w:keepNext/>
              <w:jc w:val="center"/>
            </w:pPr>
            <w:r/>
            <w:r>
              <w:rPr>
                <w:rFonts w:ascii="Times New Roman" w:hAnsi="Times New Roman"/>
                <w:b w:val="0"/>
                <w:sz w:val="16"/>
              </w:rPr>
              <w:t>2.6%</w:t>
            </w:r>
          </w:p>
        </w:tc>
        <w:tc>
          <w:tcPr>
            <w:tcW w:type="dxa" w:w="2592"/>
          </w:tcPr>
          <w:p>
            <w:pPr>
              <w:keepNext/>
              <w:jc w:val="center"/>
            </w:pPr>
            <w:r/>
            <w:r>
              <w:rPr>
                <w:rFonts w:ascii="Times New Roman" w:hAnsi="Times New Roman"/>
                <w:b w:val="0"/>
                <w:sz w:val="16"/>
              </w:rPr>
              <w:t>decision-grade</w:t>
            </w:r>
          </w:p>
        </w:tc>
      </w:tr>
      <w:tr>
        <w:trPr>
          <w:cantSplit/>
        </w:trPr>
        <w:tc>
          <w:tcPr>
            <w:tcW w:type="dxa" w:w="2592"/>
            <w:tcBorders>
              <w:bottom w:val="single" w:sz="12" w:color="000000"/>
            </w:tcBorders>
          </w:tcPr>
          <w:p>
            <w:pPr>
              <w:jc w:val="left"/>
            </w:pPr>
            <w:r/>
            <w:r>
              <w:rPr>
                <w:rFonts w:ascii="Times New Roman" w:hAnsi="Times New Roman"/>
                <w:b w:val="0"/>
                <w:sz w:val="16"/>
              </w:rPr>
              <w:t>Screen + confirm (ρ=0.4)</w:t>
            </w:r>
          </w:p>
        </w:tc>
        <w:tc>
          <w:tcPr>
            <w:tcW w:type="dxa" w:w="2592"/>
            <w:tcBorders>
              <w:bottom w:val="single" w:sz="12" w:color="000000"/>
            </w:tcBorders>
          </w:tcPr>
          <w:p>
            <w:pPr>
              <w:jc w:val="center"/>
            </w:pPr>
            <w:r/>
            <w:r>
              <w:rPr>
                <w:rFonts w:ascii="Times New Roman" w:hAnsi="Times New Roman"/>
                <w:b w:val="0"/>
                <w:sz w:val="16"/>
              </w:rPr>
              <w:t>95.7%</w:t>
            </w:r>
          </w:p>
        </w:tc>
        <w:tc>
          <w:tcPr>
            <w:tcW w:type="dxa" w:w="2592"/>
            <w:tcBorders>
              <w:bottom w:val="single" w:sz="12" w:color="000000"/>
            </w:tcBorders>
          </w:tcPr>
          <w:p>
            <w:pPr>
              <w:jc w:val="center"/>
            </w:pPr>
            <w:r/>
            <w:r>
              <w:rPr>
                <w:rFonts w:ascii="Times New Roman" w:hAnsi="Times New Roman"/>
                <w:b w:val="0"/>
                <w:sz w:val="16"/>
              </w:rPr>
              <w:t>8.2%</w:t>
            </w:r>
          </w:p>
        </w:tc>
        <w:tc>
          <w:tcPr>
            <w:tcW w:type="dxa" w:w="2592"/>
            <w:tcBorders>
              <w:bottom w:val="single" w:sz="12" w:color="000000"/>
            </w:tcBorders>
          </w:tcPr>
          <w:p>
            <w:pPr>
              <w:jc w:val="center"/>
            </w:pPr>
            <w:r/>
            <w:r>
              <w:rPr>
                <w:rFonts w:ascii="Times New Roman" w:hAnsi="Times New Roman"/>
                <w:b w:val="0"/>
                <w:sz w:val="16"/>
              </w:rPr>
              <w:t>high-recall operating point</w:t>
            </w:r>
          </w:p>
        </w:tc>
      </w:tr>
    </w:tbl>
    <w:p>
      <w:pPr>
        <w:spacing w:after="40"/>
      </w:pPr>
    </w:p>
    <w:p>
      <w:pPr>
        <w:pStyle w:val="Heading2"/>
      </w:pPr>
      <w:r>
        <w:t>F. Component ablations</w:t>
      </w:r>
    </w:p>
    <w:p>
      <w:pPr>
        <w:spacing w:after="0"/>
        <w:ind w:firstLine="204"/>
        <w:jc w:val="both"/>
      </w:pPr>
      <w:r>
        <w:t>Ablations over the confirmation and screening components (threshold level, tolerance vector, grid granularity) are consistent: recall is flat at 100% wherever the guarantee applies; false positives and latency trade off along the tolerance vector exactly as the bound predicts; and finer grids monotonically reduce false positives at sub-linear vocabulary growth. The audit grid comprises 29 planted cells (30 random draws, one dropped because its planted span contained fewer than 8 notes), spanning the 4 s/16 s span lengths and four transformation families; the grid is fixed across all ablation settings, so every configuration is compared on identical evidence. Fig. 10 plots the three ablation families and Table IX tabulates them.</w:t>
      </w:r>
    </w:p>
    <w:p>
      <w:p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keepNext/>
        <w:jc w:val="center"/>
      </w:pPr>
      <w:drawing xmlns:a="http://schemas.openxmlformats.org/drawingml/2006/main" xmlns:pic="http://schemas.openxmlformats.org/drawingml/2006/picture">
        <wp:inline distT="0" distB="0" distL="0" distR="0">
          <wp:extent cx="6552000" cy="1774972"/>
          <wp:effectExtent l="0" t="0" r="0" b="0"/>
          <wp:docPr id="110" name="fig_e5_ablation.emf"/>
          <wp:cNvGraphicFramePr/>
          <a:graphic>
            <a:graphicData uri="http://schemas.openxmlformats.org/drawingml/2006/picture">
              <pic:pic>
                <pic:nvPicPr>
                  <pic:cNvPr id="0" name="fig_e5_ablation.emf"/>
                  <pic:cNvPicPr/>
                </pic:nvPicPr>
                <pic:blipFill>
                  <a:blip r:embed="rId42"/>
                  <a:stretch>
                    <a:fillRect/>
                  </a:stretch>
                </pic:blipFill>
                <pic:spPr>
                  <a:xfrm>
                    <a:off x="0" y="0"/>
                    <a:ext cx="6552000" cy="1774972"/>
                  </a:xfrm>
                  <a:prstGeom prst="rect">
                    <a:avLst/>
                  </a:prstGeom>
                </pic:spPr>
              </pic:pic>
            </a:graphicData>
          </a:graphic>
        </wp:inline>
      </w:drawing>
    </w:p>
    <w:p>
      <w:pPr>
        <w:pStyle w:val="FigureCaption"/>
      </w:pPr>
      <w:r>
        <w:rPr>
          <w:sz w:val="19"/>
        </w:rPr>
        <w:t>Fig. 10. Component ablations over the confirmation and screening stages. (a) evidence span length; (b) tolerance vector (bars: false candidates, log scale; dashed: recall, right axis); (c) quantization grid granularity.</w:t>
      </w:r>
    </w:p>
    <w:p>
      <w:pPr>
        <w:sectPr w:rsidR="007E713A" w:rsidSect="00002FAF">
          <w:headerReference w:type="default" r:id="rId9"/>
          <w:type w:val="continuous"/>
          <w:pgSz w:w="12240" w:h="15840"/>
          <w:pgMar w:top="1008" w:right="936" w:bottom="1008" w:left="936" w:header="432" w:footer="432" w:gutter="0"/>
          <w:cols w:space="288"/>
        </w:sectPr>
      </w:pPr>
    </w:p>
    <w:p>
      <w:pPr>
        <w:pStyle w:val="TableTitle"/>
        <w:keepNext/>
      </w:pPr>
      <w:r>
        <w:t>TABLE IX.</w:t>
      </w:r>
    </w:p>
    <w:p>
      <w:pPr>
        <w:pStyle w:val="TableTitle"/>
        <w:keepNext/>
      </w:pPr>
      <w:r>
        <w:t>Component ablations on the 29-cell planted audit; false candidates measured on the hard-negative pool.</w:t>
      </w:r>
    </w:p>
    <w:tbl>
      <w:tblPr>
        <w:tblW w:type="auto" w:w="0"/>
        <w:jc w:val="center"/>
        <w:tblLayout w:type="autofit"/>
        <w:tblLook w:firstColumn="1" w:firstRow="1" w:lastColumn="0" w:lastRow="0" w:noHBand="0" w:noVBand="1" w:val="04A0"/>
      </w:tblPr>
      <w:tblGrid>
        <w:gridCol w:w="2074"/>
        <w:gridCol w:w="2074"/>
        <w:gridCol w:w="2074"/>
        <w:gridCol w:w="2074"/>
        <w:gridCol w:w="2074"/>
      </w:tblGrid>
      <w:tr>
        <w:trPr>
          <w:cantSplit/>
        </w:trPr>
        <w:tc>
          <w:tcPr>
            <w:tcW w:type="dxa" w:w="2074"/>
            <w:tcBorders>
              <w:top w:val="single" w:sz="12" w:color="000000"/>
              <w:bottom w:val="single" w:sz="6" w:color="000000"/>
            </w:tcBorders>
          </w:tcPr>
          <w:p>
            <w:pPr>
              <w:keepNext/>
              <w:jc w:val="left"/>
            </w:pPr>
            <w:r/>
            <w:r>
              <w:rPr>
                <w:rFonts w:ascii="Times New Roman" w:hAnsi="Times New Roman"/>
                <w:b/>
                <w:sz w:val="16"/>
              </w:rPr>
              <w:t>Ablation</w:t>
            </w:r>
          </w:p>
        </w:tc>
        <w:tc>
          <w:tcPr>
            <w:tcW w:type="dxa" w:w="2074"/>
            <w:tcBorders>
              <w:top w:val="single" w:sz="12" w:color="000000"/>
              <w:bottom w:val="single" w:sz="6" w:color="000000"/>
            </w:tcBorders>
          </w:tcPr>
          <w:p>
            <w:pPr>
              <w:keepNext/>
              <w:jc w:val="center"/>
            </w:pPr>
            <w:r/>
            <w:r>
              <w:rPr>
                <w:rFonts w:ascii="Times New Roman" w:hAnsi="Times New Roman"/>
                <w:b/>
                <w:sz w:val="16"/>
              </w:rPr>
              <w:t>Setting</w:t>
            </w:r>
          </w:p>
        </w:tc>
        <w:tc>
          <w:tcPr>
            <w:tcW w:type="dxa" w:w="2074"/>
            <w:tcBorders>
              <w:top w:val="single" w:sz="12" w:color="000000"/>
              <w:bottom w:val="single" w:sz="6" w:color="000000"/>
            </w:tcBorders>
          </w:tcPr>
          <w:p>
            <w:pPr>
              <w:keepNext/>
              <w:jc w:val="center"/>
            </w:pPr>
            <w:r/>
            <w:r>
              <w:rPr>
                <w:rFonts w:ascii="Times New Roman" w:hAnsi="Times New Roman"/>
                <w:b/>
                <w:sz w:val="16"/>
              </w:rPr>
              <w:t>Recall</w:t>
            </w:r>
          </w:p>
        </w:tc>
        <w:tc>
          <w:tcPr>
            <w:tcW w:type="dxa" w:w="2074"/>
            <w:tcBorders>
              <w:top w:val="single" w:sz="12" w:color="000000"/>
              <w:bottom w:val="single" w:sz="6" w:color="000000"/>
            </w:tcBorders>
          </w:tcPr>
          <w:p>
            <w:pPr>
              <w:keepNext/>
              <w:jc w:val="center"/>
            </w:pPr>
            <w:r/>
            <w:r>
              <w:rPr>
                <w:rFonts w:ascii="Times New Roman" w:hAnsi="Times New Roman"/>
                <w:b/>
                <w:sz w:val="16"/>
              </w:rPr>
              <w:t>False candidates</w:t>
            </w:r>
          </w:p>
        </w:tc>
        <w:tc>
          <w:tcPr>
            <w:tcW w:type="dxa" w:w="2074"/>
            <w:tcBorders>
              <w:top w:val="single" w:sz="12" w:color="000000"/>
              <w:bottom w:val="single" w:sz="6" w:color="000000"/>
            </w:tcBorders>
          </w:tcPr>
          <w:p>
            <w:pPr>
              <w:keepNext/>
              <w:jc w:val="center"/>
            </w:pPr>
            <w:r/>
            <w:r>
              <w:rPr>
                <w:rFonts w:ascii="Times New Roman" w:hAnsi="Times New Roman"/>
                <w:b/>
                <w:sz w:val="16"/>
              </w:rPr>
              <w:t>Query p50 (ms)</w:t>
            </w:r>
          </w:p>
        </w:tc>
      </w:tr>
      <w:tr>
        <w:trPr>
          <w:cantSplit/>
        </w:trPr>
        <w:tc>
          <w:tcPr>
            <w:tcW w:type="dxa" w:w="2074"/>
          </w:tcPr>
          <w:p>
            <w:pPr>
              <w:keepNext/>
              <w:jc w:val="left"/>
            </w:pPr>
            <w:r/>
            <w:r>
              <w:rPr>
                <w:rFonts w:ascii="Times New Roman" w:hAnsi="Times New Roman"/>
                <w:b w:val="0"/>
                <w:sz w:val="16"/>
              </w:rPr>
              <w:t>E5.4_L</w:t>
            </w:r>
          </w:p>
        </w:tc>
        <w:tc>
          <w:tcPr>
            <w:tcW w:type="dxa" w:w="2074"/>
          </w:tcPr>
          <w:p>
            <w:pPr>
              <w:keepNext/>
              <w:jc w:val="center"/>
            </w:pPr>
            <w:r/>
            <w:r>
              <w:rPr>
                <w:rFonts w:ascii="Times New Roman" w:hAnsi="Times New Roman"/>
                <w:b w:val="0"/>
                <w:sz w:val="16"/>
              </w:rPr>
              <w:t>span factor 0.75×</w:t>
            </w:r>
          </w:p>
        </w:tc>
        <w:tc>
          <w:tcPr>
            <w:tcW w:type="dxa" w:w="2074"/>
          </w:tcPr>
          <w:p>
            <w:pPr>
              <w:keepNext/>
              <w:jc w:val="center"/>
            </w:pPr>
            <w:r/>
            <w:r>
              <w:rPr>
                <w:rFonts w:ascii="Times New Roman" w:hAnsi="Times New Roman"/>
                <w:b w:val="0"/>
                <w:sz w:val="16"/>
              </w:rPr>
              <w:t>29/29</w:t>
            </w:r>
          </w:p>
        </w:tc>
        <w:tc>
          <w:tcPr>
            <w:tcW w:type="dxa" w:w="2074"/>
          </w:tcPr>
          <w:p>
            <w:pPr>
              <w:keepNext/>
              <w:jc w:val="center"/>
            </w:pPr>
            <w:r/>
            <w:r>
              <w:rPr>
                <w:rFonts w:ascii="Times New Roman" w:hAnsi="Times New Roman"/>
                <w:b w:val="0"/>
                <w:sz w:val="16"/>
              </w:rPr>
              <w:t>21,467</w:t>
            </w:r>
          </w:p>
        </w:tc>
        <w:tc>
          <w:tcPr>
            <w:tcW w:type="dxa" w:w="2074"/>
          </w:tcPr>
          <w:p>
            <w:pPr>
              <w:keepNext/>
              <w:jc w:val="center"/>
            </w:pPr>
            <w:r/>
            <w:r>
              <w:rPr>
                <w:rFonts w:ascii="Times New Roman" w:hAnsi="Times New Roman"/>
                <w:b w:val="0"/>
                <w:sz w:val="16"/>
              </w:rPr>
              <w:t>—</w:t>
            </w:r>
          </w:p>
        </w:tc>
      </w:tr>
      <w:tr>
        <w:trPr>
          <w:cantSplit/>
        </w:trPr>
        <w:tc>
          <w:tcPr>
            <w:tcW w:type="dxa" w:w="2074"/>
          </w:tcPr>
          <w:p>
            <w:pPr>
              <w:keepNext/>
              <w:jc w:val="left"/>
            </w:pPr>
            <w:r/>
            <w:r>
              <w:rPr>
                <w:rFonts w:ascii="Times New Roman" w:hAnsi="Times New Roman"/>
                <w:b w:val="0"/>
                <w:sz w:val="16"/>
              </w:rPr>
              <w:t>E5.4_L</w:t>
            </w:r>
          </w:p>
        </w:tc>
        <w:tc>
          <w:tcPr>
            <w:tcW w:type="dxa" w:w="2074"/>
          </w:tcPr>
          <w:p>
            <w:pPr>
              <w:keepNext/>
              <w:jc w:val="center"/>
            </w:pPr>
            <w:r/>
            <w:r>
              <w:rPr>
                <w:rFonts w:ascii="Times New Roman" w:hAnsi="Times New Roman"/>
                <w:b w:val="0"/>
                <w:sz w:val="16"/>
              </w:rPr>
              <w:t>span factor 1.00×</w:t>
            </w:r>
          </w:p>
        </w:tc>
        <w:tc>
          <w:tcPr>
            <w:tcW w:type="dxa" w:w="2074"/>
          </w:tcPr>
          <w:p>
            <w:pPr>
              <w:keepNext/>
              <w:jc w:val="center"/>
            </w:pPr>
            <w:r/>
            <w:r>
              <w:rPr>
                <w:rFonts w:ascii="Times New Roman" w:hAnsi="Times New Roman"/>
                <w:b w:val="0"/>
                <w:sz w:val="16"/>
              </w:rPr>
              <w:t>29/29</w:t>
            </w:r>
          </w:p>
        </w:tc>
        <w:tc>
          <w:tcPr>
            <w:tcW w:type="dxa" w:w="2074"/>
          </w:tcPr>
          <w:p>
            <w:pPr>
              <w:keepNext/>
              <w:jc w:val="center"/>
            </w:pPr>
            <w:r/>
            <w:r>
              <w:rPr>
                <w:rFonts w:ascii="Times New Roman" w:hAnsi="Times New Roman"/>
                <w:b w:val="0"/>
                <w:sz w:val="16"/>
              </w:rPr>
              <w:t>18,887</w:t>
            </w:r>
          </w:p>
        </w:tc>
        <w:tc>
          <w:tcPr>
            <w:tcW w:type="dxa" w:w="2074"/>
          </w:tcPr>
          <w:p>
            <w:pPr>
              <w:keepNext/>
              <w:jc w:val="center"/>
            </w:pPr>
            <w:r/>
            <w:r>
              <w:rPr>
                <w:rFonts w:ascii="Times New Roman" w:hAnsi="Times New Roman"/>
                <w:b w:val="0"/>
                <w:sz w:val="16"/>
              </w:rPr>
              <w:t>—</w:t>
            </w:r>
          </w:p>
        </w:tc>
      </w:tr>
      <w:tr>
        <w:trPr>
          <w:cantSplit/>
        </w:trPr>
        <w:tc>
          <w:tcPr>
            <w:tcW w:type="dxa" w:w="2074"/>
          </w:tcPr>
          <w:p>
            <w:pPr>
              <w:keepNext/>
              <w:jc w:val="left"/>
            </w:pPr>
            <w:r/>
            <w:r>
              <w:rPr>
                <w:rFonts w:ascii="Times New Roman" w:hAnsi="Times New Roman"/>
                <w:b w:val="0"/>
                <w:sz w:val="16"/>
              </w:rPr>
              <w:t>E5.4_L</w:t>
            </w:r>
          </w:p>
        </w:tc>
        <w:tc>
          <w:tcPr>
            <w:tcW w:type="dxa" w:w="2074"/>
          </w:tcPr>
          <w:p>
            <w:pPr>
              <w:keepNext/>
              <w:jc w:val="center"/>
            </w:pPr>
            <w:r/>
            <w:r>
              <w:rPr>
                <w:rFonts w:ascii="Times New Roman" w:hAnsi="Times New Roman"/>
                <w:b w:val="0"/>
                <w:sz w:val="16"/>
              </w:rPr>
              <w:t>span factor 1.25×</w:t>
            </w:r>
          </w:p>
        </w:tc>
        <w:tc>
          <w:tcPr>
            <w:tcW w:type="dxa" w:w="2074"/>
          </w:tcPr>
          <w:p>
            <w:pPr>
              <w:keepNext/>
              <w:jc w:val="center"/>
            </w:pPr>
            <w:r/>
            <w:r>
              <w:rPr>
                <w:rFonts w:ascii="Times New Roman" w:hAnsi="Times New Roman"/>
                <w:b w:val="0"/>
                <w:sz w:val="16"/>
              </w:rPr>
              <w:t>29/29</w:t>
            </w:r>
          </w:p>
        </w:tc>
        <w:tc>
          <w:tcPr>
            <w:tcW w:type="dxa" w:w="2074"/>
          </w:tcPr>
          <w:p>
            <w:pPr>
              <w:keepNext/>
              <w:jc w:val="center"/>
            </w:pPr>
            <w:r/>
            <w:r>
              <w:rPr>
                <w:rFonts w:ascii="Times New Roman" w:hAnsi="Times New Roman"/>
                <w:b w:val="0"/>
                <w:sz w:val="16"/>
              </w:rPr>
              <w:t>15,952</w:t>
            </w:r>
          </w:p>
        </w:tc>
        <w:tc>
          <w:tcPr>
            <w:tcW w:type="dxa" w:w="2074"/>
          </w:tcPr>
          <w:p>
            <w:pPr>
              <w:keepNext/>
              <w:jc w:val="center"/>
            </w:pPr>
            <w:r/>
            <w:r>
              <w:rPr>
                <w:rFonts w:ascii="Times New Roman" w:hAnsi="Times New Roman"/>
                <w:b w:val="0"/>
                <w:sz w:val="16"/>
              </w:rPr>
              <w:t>—</w:t>
            </w:r>
          </w:p>
        </w:tc>
      </w:tr>
      <w:tr>
        <w:trPr>
          <w:cantSplit/>
        </w:trPr>
        <w:tc>
          <w:tcPr>
            <w:tcW w:type="dxa" w:w="2074"/>
          </w:tcPr>
          <w:p>
            <w:pPr>
              <w:keepNext/>
              <w:jc w:val="left"/>
            </w:pPr>
            <w:r/>
            <w:r>
              <w:rPr>
                <w:rFonts w:ascii="Times New Roman" w:hAnsi="Times New Roman"/>
                <w:b w:val="0"/>
                <w:sz w:val="16"/>
              </w:rPr>
              <w:t>E5.4_L</w:t>
            </w:r>
          </w:p>
        </w:tc>
        <w:tc>
          <w:tcPr>
            <w:tcW w:type="dxa" w:w="2074"/>
          </w:tcPr>
          <w:p>
            <w:pPr>
              <w:keepNext/>
              <w:jc w:val="center"/>
            </w:pPr>
            <w:r/>
            <w:r>
              <w:rPr>
                <w:rFonts w:ascii="Times New Roman" w:hAnsi="Times New Roman"/>
                <w:b w:val="0"/>
                <w:sz w:val="16"/>
              </w:rPr>
              <w:t>span factor 1.50×</w:t>
            </w:r>
          </w:p>
        </w:tc>
        <w:tc>
          <w:tcPr>
            <w:tcW w:type="dxa" w:w="2074"/>
          </w:tcPr>
          <w:p>
            <w:pPr>
              <w:keepNext/>
              <w:jc w:val="center"/>
            </w:pPr>
            <w:r/>
            <w:r>
              <w:rPr>
                <w:rFonts w:ascii="Times New Roman" w:hAnsi="Times New Roman"/>
                <w:b w:val="0"/>
                <w:sz w:val="16"/>
              </w:rPr>
              <w:t>29/29</w:t>
            </w:r>
          </w:p>
        </w:tc>
        <w:tc>
          <w:tcPr>
            <w:tcW w:type="dxa" w:w="2074"/>
          </w:tcPr>
          <w:p>
            <w:pPr>
              <w:keepNext/>
              <w:jc w:val="center"/>
            </w:pPr>
            <w:r/>
            <w:r>
              <w:rPr>
                <w:rFonts w:ascii="Times New Roman" w:hAnsi="Times New Roman"/>
                <w:b w:val="0"/>
                <w:sz w:val="16"/>
              </w:rPr>
              <w:t>12,061</w:t>
            </w:r>
          </w:p>
        </w:tc>
        <w:tc>
          <w:tcPr>
            <w:tcW w:type="dxa" w:w="2074"/>
          </w:tcPr>
          <w:p>
            <w:pPr>
              <w:keepNext/>
              <w:jc w:val="center"/>
            </w:pPr>
            <w:r/>
            <w:r>
              <w:rPr>
                <w:rFonts w:ascii="Times New Roman" w:hAnsi="Times New Roman"/>
                <w:b w:val="0"/>
                <w:sz w:val="16"/>
              </w:rPr>
              <w:t>—</w:t>
            </w:r>
          </w:p>
        </w:tc>
      </w:tr>
      <w:tr>
        <w:trPr>
          <w:cantSplit/>
        </w:trPr>
        <w:tc>
          <w:tcPr>
            <w:tcW w:type="dxa" w:w="2074"/>
          </w:tcPr>
          <w:p>
            <w:pPr>
              <w:keepNext/>
              <w:jc w:val="left"/>
            </w:pPr>
            <w:r/>
            <w:r>
              <w:rPr>
                <w:rFonts w:ascii="Times New Roman" w:hAnsi="Times New Roman"/>
                <w:b w:val="0"/>
                <w:sz w:val="16"/>
              </w:rPr>
              <w:t>E5.5_k</w:t>
            </w:r>
          </w:p>
        </w:tc>
        <w:tc>
          <w:tcPr>
            <w:tcW w:type="dxa" w:w="2074"/>
          </w:tcPr>
          <w:p>
            <w:pPr>
              <w:keepNext/>
              <w:jc w:val="center"/>
            </w:pPr>
            <w:r/>
            <w:r>
              <w:rPr>
                <w:rFonts w:ascii="Times New Roman" w:hAnsi="Times New Roman"/>
                <w:b w:val="0"/>
                <w:sz w:val="16"/>
              </w:rPr>
              <w:t>k = (0, 0, 0)</w:t>
            </w:r>
          </w:p>
        </w:tc>
        <w:tc>
          <w:tcPr>
            <w:tcW w:type="dxa" w:w="2074"/>
          </w:tcPr>
          <w:p>
            <w:pPr>
              <w:keepNext/>
              <w:jc w:val="center"/>
            </w:pPr>
            <w:r/>
            <w:r>
              <w:rPr>
                <w:rFonts w:ascii="Times New Roman" w:hAnsi="Times New Roman"/>
                <w:b w:val="0"/>
                <w:sz w:val="16"/>
              </w:rPr>
              <w:t>23/29</w:t>
            </w:r>
          </w:p>
        </w:tc>
        <w:tc>
          <w:tcPr>
            <w:tcW w:type="dxa" w:w="2074"/>
          </w:tcPr>
          <w:p>
            <w:pPr>
              <w:keepNext/>
              <w:jc w:val="center"/>
            </w:pPr>
            <w:r/>
            <w:r>
              <w:rPr>
                <w:rFonts w:ascii="Times New Roman" w:hAnsi="Times New Roman"/>
                <w:b w:val="0"/>
                <w:sz w:val="16"/>
              </w:rPr>
              <w:t>338</w:t>
            </w:r>
          </w:p>
        </w:tc>
        <w:tc>
          <w:tcPr>
            <w:tcW w:type="dxa" w:w="2074"/>
          </w:tcPr>
          <w:p>
            <w:pPr>
              <w:keepNext/>
              <w:jc w:val="center"/>
            </w:pPr>
            <w:r/>
            <w:r>
              <w:rPr>
                <w:rFonts w:ascii="Times New Roman" w:hAnsi="Times New Roman"/>
                <w:b w:val="0"/>
                <w:sz w:val="16"/>
              </w:rPr>
              <w:t>1.0</w:t>
            </w:r>
          </w:p>
        </w:tc>
      </w:tr>
      <w:tr>
        <w:trPr>
          <w:cantSplit/>
        </w:trPr>
        <w:tc>
          <w:tcPr>
            <w:tcW w:type="dxa" w:w="2074"/>
          </w:tcPr>
          <w:p>
            <w:pPr>
              <w:keepNext/>
              <w:jc w:val="left"/>
            </w:pPr>
            <w:r/>
            <w:r>
              <w:rPr>
                <w:rFonts w:ascii="Times New Roman" w:hAnsi="Times New Roman"/>
                <w:b w:val="0"/>
                <w:sz w:val="16"/>
              </w:rPr>
              <w:t>E5.5_k</w:t>
            </w:r>
          </w:p>
        </w:tc>
        <w:tc>
          <w:tcPr>
            <w:tcW w:type="dxa" w:w="2074"/>
          </w:tcPr>
          <w:p>
            <w:pPr>
              <w:keepNext/>
              <w:jc w:val="center"/>
            </w:pPr>
            <w:r/>
            <w:r>
              <w:rPr>
                <w:rFonts w:ascii="Times New Roman" w:hAnsi="Times New Roman"/>
                <w:b w:val="0"/>
                <w:sz w:val="16"/>
              </w:rPr>
              <w:t>k = (1, 0, 0)</w:t>
            </w:r>
          </w:p>
        </w:tc>
        <w:tc>
          <w:tcPr>
            <w:tcW w:type="dxa" w:w="2074"/>
          </w:tcPr>
          <w:p>
            <w:pPr>
              <w:keepNext/>
              <w:jc w:val="center"/>
            </w:pPr>
            <w:r/>
            <w:r>
              <w:rPr>
                <w:rFonts w:ascii="Times New Roman" w:hAnsi="Times New Roman"/>
                <w:b w:val="0"/>
                <w:sz w:val="16"/>
              </w:rPr>
              <w:t>25/29</w:t>
            </w:r>
          </w:p>
        </w:tc>
        <w:tc>
          <w:tcPr>
            <w:tcW w:type="dxa" w:w="2074"/>
          </w:tcPr>
          <w:p>
            <w:pPr>
              <w:keepNext/>
              <w:jc w:val="center"/>
            </w:pPr>
            <w:r/>
            <w:r>
              <w:rPr>
                <w:rFonts w:ascii="Times New Roman" w:hAnsi="Times New Roman"/>
                <w:b w:val="0"/>
                <w:sz w:val="16"/>
              </w:rPr>
              <w:t>2,099</w:t>
            </w:r>
          </w:p>
        </w:tc>
        <w:tc>
          <w:tcPr>
            <w:tcW w:type="dxa" w:w="2074"/>
          </w:tcPr>
          <w:p>
            <w:pPr>
              <w:keepNext/>
              <w:jc w:val="center"/>
            </w:pPr>
            <w:r/>
            <w:r>
              <w:rPr>
                <w:rFonts w:ascii="Times New Roman" w:hAnsi="Times New Roman"/>
                <w:b w:val="0"/>
                <w:sz w:val="16"/>
              </w:rPr>
              <w:t>2.0</w:t>
            </w:r>
          </w:p>
        </w:tc>
      </w:tr>
      <w:tr>
        <w:trPr>
          <w:cantSplit/>
        </w:trPr>
        <w:tc>
          <w:tcPr>
            <w:tcW w:type="dxa" w:w="2074"/>
          </w:tcPr>
          <w:p>
            <w:pPr>
              <w:keepNext/>
              <w:jc w:val="left"/>
            </w:pPr>
            <w:r/>
            <w:r>
              <w:rPr>
                <w:rFonts w:ascii="Times New Roman" w:hAnsi="Times New Roman"/>
                <w:b w:val="0"/>
                <w:sz w:val="16"/>
              </w:rPr>
              <w:t>E5.5_k</w:t>
            </w:r>
          </w:p>
        </w:tc>
        <w:tc>
          <w:tcPr>
            <w:tcW w:type="dxa" w:w="2074"/>
          </w:tcPr>
          <w:p>
            <w:pPr>
              <w:keepNext/>
              <w:jc w:val="center"/>
            </w:pPr>
            <w:r/>
            <w:r>
              <w:rPr>
                <w:rFonts w:ascii="Times New Roman" w:hAnsi="Times New Roman"/>
                <w:b w:val="0"/>
                <w:sz w:val="16"/>
              </w:rPr>
              <w:t>k = (2, 0, 0)</w:t>
            </w:r>
          </w:p>
        </w:tc>
        <w:tc>
          <w:tcPr>
            <w:tcW w:type="dxa" w:w="2074"/>
          </w:tcPr>
          <w:p>
            <w:pPr>
              <w:keepNext/>
              <w:jc w:val="center"/>
            </w:pPr>
            <w:r/>
            <w:r>
              <w:rPr>
                <w:rFonts w:ascii="Times New Roman" w:hAnsi="Times New Roman"/>
                <w:b w:val="0"/>
                <w:sz w:val="16"/>
              </w:rPr>
              <w:t>26/29</w:t>
            </w:r>
          </w:p>
        </w:tc>
        <w:tc>
          <w:tcPr>
            <w:tcW w:type="dxa" w:w="2074"/>
          </w:tcPr>
          <w:p>
            <w:pPr>
              <w:keepNext/>
              <w:jc w:val="center"/>
            </w:pPr>
            <w:r/>
            <w:r>
              <w:rPr>
                <w:rFonts w:ascii="Times New Roman" w:hAnsi="Times New Roman"/>
                <w:b w:val="0"/>
                <w:sz w:val="16"/>
              </w:rPr>
              <w:t>3,906</w:t>
            </w:r>
          </w:p>
        </w:tc>
        <w:tc>
          <w:tcPr>
            <w:tcW w:type="dxa" w:w="2074"/>
          </w:tcPr>
          <w:p>
            <w:pPr>
              <w:keepNext/>
              <w:jc w:val="center"/>
            </w:pPr>
            <w:r/>
            <w:r>
              <w:rPr>
                <w:rFonts w:ascii="Times New Roman" w:hAnsi="Times New Roman"/>
                <w:b w:val="0"/>
                <w:sz w:val="16"/>
              </w:rPr>
              <w:t>3.0</w:t>
            </w:r>
          </w:p>
        </w:tc>
      </w:tr>
      <w:tr>
        <w:trPr>
          <w:cantSplit/>
        </w:trPr>
        <w:tc>
          <w:tcPr>
            <w:tcW w:type="dxa" w:w="2074"/>
          </w:tcPr>
          <w:p>
            <w:pPr>
              <w:keepNext/>
              <w:jc w:val="left"/>
            </w:pPr>
            <w:r/>
            <w:r>
              <w:rPr>
                <w:rFonts w:ascii="Times New Roman" w:hAnsi="Times New Roman"/>
                <w:b w:val="0"/>
                <w:sz w:val="16"/>
              </w:rPr>
              <w:t>E5.5_k</w:t>
            </w:r>
          </w:p>
        </w:tc>
        <w:tc>
          <w:tcPr>
            <w:tcW w:type="dxa" w:w="2074"/>
          </w:tcPr>
          <w:p>
            <w:pPr>
              <w:keepNext/>
              <w:jc w:val="center"/>
            </w:pPr>
            <w:r/>
            <w:r>
              <w:rPr>
                <w:rFonts w:ascii="Times New Roman" w:hAnsi="Times New Roman"/>
                <w:b w:val="0"/>
                <w:sz w:val="16"/>
              </w:rPr>
              <w:t>k = (2, 1, 0)</w:t>
            </w:r>
          </w:p>
        </w:tc>
        <w:tc>
          <w:tcPr>
            <w:tcW w:type="dxa" w:w="2074"/>
          </w:tcPr>
          <w:p>
            <w:pPr>
              <w:keepNext/>
              <w:jc w:val="center"/>
            </w:pPr>
            <w:r/>
            <w:r>
              <w:rPr>
                <w:rFonts w:ascii="Times New Roman" w:hAnsi="Times New Roman"/>
                <w:b w:val="0"/>
                <w:sz w:val="16"/>
              </w:rPr>
              <w:t>29/29</w:t>
            </w:r>
          </w:p>
        </w:tc>
        <w:tc>
          <w:tcPr>
            <w:tcW w:type="dxa" w:w="2074"/>
          </w:tcPr>
          <w:p>
            <w:pPr>
              <w:keepNext/>
              <w:jc w:val="center"/>
            </w:pPr>
            <w:r/>
            <w:r>
              <w:rPr>
                <w:rFonts w:ascii="Times New Roman" w:hAnsi="Times New Roman"/>
                <w:b w:val="0"/>
                <w:sz w:val="16"/>
              </w:rPr>
              <w:t>12,110</w:t>
            </w:r>
          </w:p>
        </w:tc>
        <w:tc>
          <w:tcPr>
            <w:tcW w:type="dxa" w:w="2074"/>
          </w:tcPr>
          <w:p>
            <w:pPr>
              <w:keepNext/>
              <w:jc w:val="center"/>
            </w:pPr>
            <w:r/>
            <w:r>
              <w:rPr>
                <w:rFonts w:ascii="Times New Roman" w:hAnsi="Times New Roman"/>
                <w:b w:val="0"/>
                <w:sz w:val="16"/>
              </w:rPr>
              <w:t>7.5</w:t>
            </w:r>
          </w:p>
        </w:tc>
      </w:tr>
      <w:tr>
        <w:trPr>
          <w:cantSplit/>
        </w:trPr>
        <w:tc>
          <w:tcPr>
            <w:tcW w:type="dxa" w:w="2074"/>
          </w:tcPr>
          <w:p>
            <w:pPr>
              <w:keepNext/>
              <w:jc w:val="left"/>
            </w:pPr>
            <w:r/>
            <w:r>
              <w:rPr>
                <w:rFonts w:ascii="Times New Roman" w:hAnsi="Times New Roman"/>
                <w:b w:val="0"/>
                <w:sz w:val="16"/>
              </w:rPr>
              <w:t>E5.5_k</w:t>
            </w:r>
          </w:p>
        </w:tc>
        <w:tc>
          <w:tcPr>
            <w:tcW w:type="dxa" w:w="2074"/>
          </w:tcPr>
          <w:p>
            <w:pPr>
              <w:keepNext/>
              <w:jc w:val="center"/>
            </w:pPr>
            <w:r/>
            <w:r>
              <w:rPr>
                <w:rFonts w:ascii="Times New Roman" w:hAnsi="Times New Roman"/>
                <w:b w:val="0"/>
                <w:sz w:val="16"/>
              </w:rPr>
              <w:t>k = (2, 1, 1)</w:t>
            </w:r>
          </w:p>
        </w:tc>
        <w:tc>
          <w:tcPr>
            <w:tcW w:type="dxa" w:w="2074"/>
          </w:tcPr>
          <w:p>
            <w:pPr>
              <w:keepNext/>
              <w:jc w:val="center"/>
            </w:pPr>
            <w:r/>
            <w:r>
              <w:rPr>
                <w:rFonts w:ascii="Times New Roman" w:hAnsi="Times New Roman"/>
                <w:b w:val="0"/>
                <w:sz w:val="16"/>
              </w:rPr>
              <w:t>29/29</w:t>
            </w:r>
          </w:p>
        </w:tc>
        <w:tc>
          <w:tcPr>
            <w:tcW w:type="dxa" w:w="2074"/>
          </w:tcPr>
          <w:p>
            <w:pPr>
              <w:keepNext/>
              <w:jc w:val="center"/>
            </w:pPr>
            <w:r/>
            <w:r>
              <w:rPr>
                <w:rFonts w:ascii="Times New Roman" w:hAnsi="Times New Roman"/>
                <w:b w:val="0"/>
                <w:sz w:val="16"/>
              </w:rPr>
              <w:t>18,887</w:t>
            </w:r>
          </w:p>
        </w:tc>
        <w:tc>
          <w:tcPr>
            <w:tcW w:type="dxa" w:w="2074"/>
          </w:tcPr>
          <w:p>
            <w:pPr>
              <w:keepNext/>
              <w:jc w:val="center"/>
            </w:pPr>
            <w:r/>
            <w:r>
              <w:rPr>
                <w:rFonts w:ascii="Times New Roman" w:hAnsi="Times New Roman"/>
                <w:b w:val="0"/>
                <w:sz w:val="16"/>
              </w:rPr>
              <w:t>13.0</w:t>
            </w:r>
          </w:p>
        </w:tc>
      </w:tr>
      <w:tr>
        <w:trPr>
          <w:cantSplit/>
        </w:trPr>
        <w:tc>
          <w:tcPr>
            <w:tcW w:type="dxa" w:w="2074"/>
          </w:tcPr>
          <w:p>
            <w:pPr>
              <w:keepNext/>
              <w:jc w:val="left"/>
            </w:pPr>
            <w:r/>
            <w:r>
              <w:rPr>
                <w:rFonts w:ascii="Times New Roman" w:hAnsi="Times New Roman"/>
                <w:b w:val="0"/>
                <w:sz w:val="16"/>
              </w:rPr>
              <w:t>E5.5_k</w:t>
            </w:r>
          </w:p>
        </w:tc>
        <w:tc>
          <w:tcPr>
            <w:tcW w:type="dxa" w:w="2074"/>
          </w:tcPr>
          <w:p>
            <w:pPr>
              <w:keepNext/>
              <w:jc w:val="center"/>
            </w:pPr>
            <w:r/>
            <w:r>
              <w:rPr>
                <w:rFonts w:ascii="Times New Roman" w:hAnsi="Times New Roman"/>
                <w:b w:val="0"/>
                <w:sz w:val="16"/>
              </w:rPr>
              <w:t>k = (3, 1, 1)</w:t>
            </w:r>
          </w:p>
        </w:tc>
        <w:tc>
          <w:tcPr>
            <w:tcW w:type="dxa" w:w="2074"/>
          </w:tcPr>
          <w:p>
            <w:pPr>
              <w:keepNext/>
              <w:jc w:val="center"/>
            </w:pPr>
            <w:r/>
            <w:r>
              <w:rPr>
                <w:rFonts w:ascii="Times New Roman" w:hAnsi="Times New Roman"/>
                <w:b w:val="0"/>
                <w:sz w:val="16"/>
              </w:rPr>
              <w:t>29/29</w:t>
            </w:r>
          </w:p>
        </w:tc>
        <w:tc>
          <w:tcPr>
            <w:tcW w:type="dxa" w:w="2074"/>
          </w:tcPr>
          <w:p>
            <w:pPr>
              <w:keepNext/>
              <w:jc w:val="center"/>
            </w:pPr>
            <w:r/>
            <w:r>
              <w:rPr>
                <w:rFonts w:ascii="Times New Roman" w:hAnsi="Times New Roman"/>
                <w:b w:val="0"/>
                <w:sz w:val="16"/>
              </w:rPr>
              <w:t>19,815</w:t>
            </w:r>
          </w:p>
        </w:tc>
        <w:tc>
          <w:tcPr>
            <w:tcW w:type="dxa" w:w="2074"/>
          </w:tcPr>
          <w:p>
            <w:pPr>
              <w:keepNext/>
              <w:jc w:val="center"/>
            </w:pPr>
            <w:r/>
            <w:r>
              <w:rPr>
                <w:rFonts w:ascii="Times New Roman" w:hAnsi="Times New Roman"/>
                <w:b w:val="0"/>
                <w:sz w:val="16"/>
              </w:rPr>
              <w:t>16.0</w:t>
            </w:r>
          </w:p>
        </w:tc>
      </w:tr>
      <w:tr>
        <w:trPr>
          <w:cantSplit/>
        </w:trPr>
        <w:tc>
          <w:tcPr>
            <w:tcW w:type="dxa" w:w="2074"/>
          </w:tcPr>
          <w:p>
            <w:pPr>
              <w:keepNext/>
              <w:jc w:val="left"/>
            </w:pPr>
            <w:r/>
            <w:r>
              <w:rPr>
                <w:rFonts w:ascii="Times New Roman" w:hAnsi="Times New Roman"/>
                <w:b w:val="0"/>
                <w:sz w:val="16"/>
              </w:rPr>
              <w:t>E5.7_grid</w:t>
            </w:r>
          </w:p>
        </w:tc>
        <w:tc>
          <w:tcPr>
            <w:tcW w:type="dxa" w:w="2074"/>
          </w:tcPr>
          <w:p>
            <w:pPr>
              <w:keepNext/>
              <w:jc w:val="center"/>
            </w:pPr>
            <w:r/>
            <w:r>
              <w:rPr>
                <w:rFonts w:ascii="Times New Roman" w:hAnsi="Times New Roman"/>
                <w:b w:val="0"/>
                <w:sz w:val="16"/>
              </w:rPr>
              <w:t>250 ms grid</w:t>
            </w:r>
          </w:p>
        </w:tc>
        <w:tc>
          <w:tcPr>
            <w:tcW w:type="dxa" w:w="2074"/>
          </w:tcPr>
          <w:p>
            <w:pPr>
              <w:keepNext/>
              <w:jc w:val="center"/>
            </w:pPr>
            <w:r/>
            <w:r>
              <w:rPr>
                <w:rFonts w:ascii="Times New Roman" w:hAnsi="Times New Roman"/>
                <w:b w:val="0"/>
                <w:sz w:val="16"/>
              </w:rPr>
              <w:t>29/29</w:t>
            </w:r>
          </w:p>
        </w:tc>
        <w:tc>
          <w:tcPr>
            <w:tcW w:type="dxa" w:w="2074"/>
          </w:tcPr>
          <w:p>
            <w:pPr>
              <w:keepNext/>
              <w:jc w:val="center"/>
            </w:pPr>
            <w:r/>
            <w:r>
              <w:rPr>
                <w:rFonts w:ascii="Times New Roman" w:hAnsi="Times New Roman"/>
                <w:b w:val="0"/>
                <w:sz w:val="16"/>
              </w:rPr>
              <w:t>21,043</w:t>
            </w:r>
          </w:p>
        </w:tc>
        <w:tc>
          <w:tcPr>
            <w:tcW w:type="dxa" w:w="2074"/>
          </w:tcPr>
          <w:p>
            <w:pPr>
              <w:keepNext/>
              <w:jc w:val="center"/>
            </w:pPr>
            <w:r/>
            <w:r>
              <w:rPr>
                <w:rFonts w:ascii="Times New Roman" w:hAnsi="Times New Roman"/>
                <w:b w:val="0"/>
                <w:sz w:val="16"/>
              </w:rPr>
              <w:t>13.0</w:t>
            </w:r>
          </w:p>
        </w:tc>
      </w:tr>
      <w:tr>
        <w:trPr>
          <w:cantSplit/>
        </w:trPr>
        <w:tc>
          <w:tcPr>
            <w:tcW w:type="dxa" w:w="2074"/>
          </w:tcPr>
          <w:p>
            <w:pPr>
              <w:keepNext/>
              <w:jc w:val="left"/>
            </w:pPr>
            <w:r/>
            <w:r>
              <w:rPr>
                <w:rFonts w:ascii="Times New Roman" w:hAnsi="Times New Roman"/>
                <w:b w:val="0"/>
                <w:sz w:val="16"/>
              </w:rPr>
              <w:t>E5.7_grid</w:t>
            </w:r>
          </w:p>
        </w:tc>
        <w:tc>
          <w:tcPr>
            <w:tcW w:type="dxa" w:w="2074"/>
          </w:tcPr>
          <w:p>
            <w:pPr>
              <w:keepNext/>
              <w:jc w:val="center"/>
            </w:pPr>
            <w:r/>
            <w:r>
              <w:rPr>
                <w:rFonts w:ascii="Times New Roman" w:hAnsi="Times New Roman"/>
                <w:b w:val="0"/>
                <w:sz w:val="16"/>
              </w:rPr>
              <w:t>125 ms grid</w:t>
            </w:r>
          </w:p>
        </w:tc>
        <w:tc>
          <w:tcPr>
            <w:tcW w:type="dxa" w:w="2074"/>
          </w:tcPr>
          <w:p>
            <w:pPr>
              <w:keepNext/>
              <w:jc w:val="center"/>
            </w:pPr>
            <w:r/>
            <w:r>
              <w:rPr>
                <w:rFonts w:ascii="Times New Roman" w:hAnsi="Times New Roman"/>
                <w:b w:val="0"/>
                <w:sz w:val="16"/>
              </w:rPr>
              <w:t>29/29</w:t>
            </w:r>
          </w:p>
        </w:tc>
        <w:tc>
          <w:tcPr>
            <w:tcW w:type="dxa" w:w="2074"/>
          </w:tcPr>
          <w:p>
            <w:pPr>
              <w:keepNext/>
              <w:jc w:val="center"/>
            </w:pPr>
            <w:r/>
            <w:r>
              <w:rPr>
                <w:rFonts w:ascii="Times New Roman" w:hAnsi="Times New Roman"/>
                <w:b w:val="0"/>
                <w:sz w:val="16"/>
              </w:rPr>
              <w:t>18,887</w:t>
            </w:r>
          </w:p>
        </w:tc>
        <w:tc>
          <w:tcPr>
            <w:tcW w:type="dxa" w:w="2074"/>
          </w:tcPr>
          <w:p>
            <w:pPr>
              <w:keepNext/>
              <w:jc w:val="center"/>
            </w:pPr>
            <w:r/>
            <w:r>
              <w:rPr>
                <w:rFonts w:ascii="Times New Roman" w:hAnsi="Times New Roman"/>
                <w:b w:val="0"/>
                <w:sz w:val="16"/>
              </w:rPr>
              <w:t>25.6</w:t>
            </w:r>
          </w:p>
        </w:tc>
      </w:tr>
      <w:tr>
        <w:trPr>
          <w:cantSplit/>
        </w:trPr>
        <w:tc>
          <w:tcPr>
            <w:tcW w:type="dxa" w:w="2074"/>
            <w:tcBorders>
              <w:bottom w:val="single" w:sz="12" w:color="000000"/>
            </w:tcBorders>
          </w:tcPr>
          <w:p>
            <w:pPr>
              <w:jc w:val="left"/>
            </w:pPr>
            <w:r/>
            <w:r>
              <w:rPr>
                <w:rFonts w:ascii="Times New Roman" w:hAnsi="Times New Roman"/>
                <w:b w:val="0"/>
                <w:sz w:val="16"/>
              </w:rPr>
              <w:t>E5.7_grid</w:t>
            </w:r>
          </w:p>
        </w:tc>
        <w:tc>
          <w:tcPr>
            <w:tcW w:type="dxa" w:w="2074"/>
            <w:tcBorders>
              <w:bottom w:val="single" w:sz="12" w:color="000000"/>
            </w:tcBorders>
          </w:tcPr>
          <w:p>
            <w:pPr>
              <w:jc w:val="center"/>
            </w:pPr>
            <w:r/>
            <w:r>
              <w:rPr>
                <w:rFonts w:ascii="Times New Roman" w:hAnsi="Times New Roman"/>
                <w:b w:val="0"/>
                <w:sz w:val="16"/>
              </w:rPr>
              <w:t>62 ms grid</w:t>
            </w:r>
          </w:p>
        </w:tc>
        <w:tc>
          <w:tcPr>
            <w:tcW w:type="dxa" w:w="2074"/>
            <w:tcBorders>
              <w:bottom w:val="single" w:sz="12" w:color="000000"/>
            </w:tcBorders>
          </w:tcPr>
          <w:p>
            <w:pPr>
              <w:jc w:val="center"/>
            </w:pPr>
            <w:r/>
            <w:r>
              <w:rPr>
                <w:rFonts w:ascii="Times New Roman" w:hAnsi="Times New Roman"/>
                <w:b w:val="0"/>
                <w:sz w:val="16"/>
              </w:rPr>
              <w:t>29/29</w:t>
            </w:r>
          </w:p>
        </w:tc>
        <w:tc>
          <w:tcPr>
            <w:tcW w:type="dxa" w:w="2074"/>
            <w:tcBorders>
              <w:bottom w:val="single" w:sz="12" w:color="000000"/>
            </w:tcBorders>
          </w:tcPr>
          <w:p>
            <w:pPr>
              <w:jc w:val="center"/>
            </w:pPr>
            <w:r/>
            <w:r>
              <w:rPr>
                <w:rFonts w:ascii="Times New Roman" w:hAnsi="Times New Roman"/>
                <w:b w:val="0"/>
                <w:sz w:val="16"/>
              </w:rPr>
              <w:t>15,918</w:t>
            </w:r>
          </w:p>
        </w:tc>
        <w:tc>
          <w:tcPr>
            <w:tcW w:type="dxa" w:w="2074"/>
            <w:tcBorders>
              <w:bottom w:val="single" w:sz="12" w:color="000000"/>
            </w:tcBorders>
          </w:tcPr>
          <w:p>
            <w:pPr>
              <w:jc w:val="center"/>
            </w:pPr>
            <w:r/>
            <w:r>
              <w:rPr>
                <w:rFonts w:ascii="Times New Roman" w:hAnsi="Times New Roman"/>
                <w:b w:val="0"/>
                <w:sz w:val="16"/>
              </w:rPr>
              <w:t>12.0</w:t>
            </w:r>
          </w:p>
        </w:tc>
      </w:tr>
    </w:tbl>
    <w:p>
      <w:pPr>
        <w:spacing w:after="40"/>
      </w:pPr>
    </w:p>
    <w:p>
      <w:pPr>
        <w:pStyle w:val="Heading2"/>
      </w:pPr>
      <w:r>
        <w:t>G. Set-similarity retrieval: the MinHash-LSH baseline</w:t>
      </w:r>
    </w:p>
    <w:p>
      <w:pPr>
        <w:spacing w:after="0"/>
        <w:ind w:firstLine="204"/>
        <w:jc w:val="both"/>
      </w:pPr>
      <w:r>
        <w:t xml:space="preserve">Why does the LSH index return nothing? The reason is geometric, not engineering. A planted query of the recall matrix embeds a 40-item span in 300 noise items and probes a corpus of pieces of ~700 items each, so even a perfect set-Jaccard oracle scores the donor at only 0.045 / 0.099 / 0.200 (quartiles over the 337 cells; Fig. 11(a)); just 168 of 337 donors reach Jaccard 0.10. Jaccard measures relative overlap, so a contained copy is structurally invisible to it no matter how faithfully the 40 shared items are preserved. </w:t>
      </w:r>
    </w:p>
    <w:p>
      <w:pPr>
        <w:spacing w:after="0"/>
        <w:ind w:firstLine="204"/>
        <w:jc w:val="both"/>
      </w:pPr>
      <w:r>
        <w:t>Tuning the band configuration moves the operating point along a recall-versus-candidate-volume trade-off, not past it (Table X): with the standard 16 x 8 bands at tau = 0.10 the donor survives screening in 0.6% of cells; re-tuning to 2 rows x 64 bands—an S-curve threshold near 0.12, the textbook choice for this regime—raises donor survival to 51.9% but still confirms only 43.6%, because the remaining donors fall below the threshold by construction; dropping to 1 row x 128 bands at tau = 0.05 recovers the donor in 95.8% of cells, at the price of returning a median of 518 of 1,000 candidates per query, of which a median of 9 pass tau = 0.05 by chance. Either way the screen that certifies 99.1% recall on the same 337 cells is unreachable: set-similarity semantics, accelerated or not, do not express containment.</w:t>
      </w:r>
    </w:p>
    <w:p>
      <w:pPr>
        <w:spacing w:after="0"/>
        <w:ind w:firstLine="204"/>
        <w:jc w:val="both"/>
      </w:pPr>
      <w:r>
        <w:t>Could containment-aware LSH close this gap? Containment estimators [35], [36] replace resemblance with the ratio |A ∩ B| / min(|A|, |B|), which in principle sees a contained copy; two obstacles remain. First, they still operate on unordered sets: containment is blind to note order exactly where our task is sequential, so a contained piece and a permuted collage of the same items are indistinguishable to it. Second, the estimator's variance explodes for small containing sets: a planted span of ~40 items yields MinHash sketches whose containment estimate is too noisy to threshold at the operating point our chain criterion certifies. A full containment-LSH baseline is therefore left as a baseline extension; the point of Table X is that no re-tuning of Jaccard-band geometry reaches the screen's recall, and containment estimators trade that impasse for variance rather than resolving it.</w:t>
      </w:r>
    </w:p>
    <w:p>
      <w:pPr>
        <w:pStyle w:val="TableTitle"/>
        <w:keepNext/>
      </w:pPr>
      <w:r>
        <w:t>TABLE X.</w:t>
      </w:r>
    </w:p>
    <w:p>
      <w:pPr>
        <w:pStyle w:val="TableTitle"/>
        <w:keepNext/>
      </w:pPr>
      <w:r>
        <w:t>MinHash-LSH on the 337-cell recall-matrix protocol (1,000-piece corpus, 128 permutations); containment-hitting configurations flood candidates, discriminating configurations starve the donor.</w:t>
      </w:r>
    </w:p>
    <w:tbl>
      <w:tblPr>
        <w:tblW w:type="auto" w:w="0"/>
        <w:jc w:val="center"/>
        <w:tblLayout w:type="autofit"/>
        <w:tblLook w:firstColumn="1" w:firstRow="1" w:lastColumn="0" w:lastRow="0" w:noHBand="0" w:noVBand="1" w:val="04A0"/>
      </w:tblPr>
      <w:tblGrid>
        <w:gridCol w:w="1728"/>
        <w:gridCol w:w="1728"/>
        <w:gridCol w:w="1728"/>
        <w:gridCol w:w="1728"/>
        <w:gridCol w:w="1728"/>
        <w:gridCol w:w="1728"/>
      </w:tblGrid>
      <w:tr>
        <w:trPr>
          <w:cantSplit/>
        </w:trPr>
        <w:tc>
          <w:tcPr>
            <w:tcW w:type="dxa" w:w="1728"/>
            <w:tcBorders>
              <w:top w:val="single" w:sz="12" w:color="000000"/>
              <w:bottom w:val="single" w:sz="6" w:color="000000"/>
            </w:tcBorders>
          </w:tcPr>
          <w:p>
            <w:pPr>
              <w:keepNext/>
              <w:jc w:val="left"/>
            </w:pPr>
            <w:r/>
            <w:r>
              <w:rPr>
                <w:rFonts w:ascii="Times New Roman" w:hAnsi="Times New Roman"/>
                <w:b/>
                <w:sz w:val="16"/>
              </w:rPr>
              <w:t>LSH configuration</w:t>
            </w:r>
          </w:p>
        </w:tc>
        <w:tc>
          <w:tcPr>
            <w:tcW w:type="dxa" w:w="1728"/>
            <w:tcBorders>
              <w:top w:val="single" w:sz="12" w:color="000000"/>
              <w:bottom w:val="single" w:sz="6" w:color="000000"/>
            </w:tcBorders>
          </w:tcPr>
          <w:p>
            <w:pPr>
              <w:keepNext/>
              <w:jc w:val="center"/>
            </w:pPr>
            <w:r/>
            <w:r>
              <w:rPr>
                <w:rFonts w:ascii="Times New Roman" w:hAnsi="Times New Roman"/>
                <w:b/>
                <w:sz w:val="16"/>
              </w:rPr>
              <w:t>tau</w:t>
            </w:r>
          </w:p>
        </w:tc>
        <w:tc>
          <w:tcPr>
            <w:tcW w:type="dxa" w:w="1728"/>
            <w:tcBorders>
              <w:top w:val="single" w:sz="12" w:color="000000"/>
              <w:bottom w:val="single" w:sz="6" w:color="000000"/>
            </w:tcBorders>
          </w:tcPr>
          <w:p>
            <w:pPr>
              <w:keepNext/>
              <w:jc w:val="center"/>
            </w:pPr>
            <w:r/>
            <w:r>
              <w:rPr>
                <w:rFonts w:ascii="Times New Roman" w:hAnsi="Times New Roman"/>
                <w:b/>
                <w:sz w:val="16"/>
              </w:rPr>
              <w:t>Donor in candidates (%)</w:t>
            </w:r>
          </w:p>
        </w:tc>
        <w:tc>
          <w:tcPr>
            <w:tcW w:type="dxa" w:w="1728"/>
            <w:tcBorders>
              <w:top w:val="single" w:sz="12" w:color="000000"/>
              <w:bottom w:val="single" w:sz="6" w:color="000000"/>
            </w:tcBorders>
          </w:tcPr>
          <w:p>
            <w:pPr>
              <w:keepNext/>
              <w:jc w:val="center"/>
            </w:pPr>
            <w:r/>
            <w:r>
              <w:rPr>
                <w:rFonts w:ascii="Times New Roman" w:hAnsi="Times New Roman"/>
                <w:b/>
                <w:sz w:val="16"/>
              </w:rPr>
              <w:t>Donor confirmed (%)</w:t>
            </w:r>
          </w:p>
        </w:tc>
        <w:tc>
          <w:tcPr>
            <w:tcW w:type="dxa" w:w="1728"/>
            <w:tcBorders>
              <w:top w:val="single" w:sz="12" w:color="000000"/>
              <w:bottom w:val="single" w:sz="6" w:color="000000"/>
            </w:tcBorders>
          </w:tcPr>
          <w:p>
            <w:pPr>
              <w:keepNext/>
              <w:jc w:val="center"/>
            </w:pPr>
            <w:r/>
            <w:r>
              <w:rPr>
                <w:rFonts w:ascii="Times New Roman" w:hAnsi="Times New Roman"/>
                <w:b/>
                <w:sz w:val="16"/>
              </w:rPr>
              <w:t>Median candidates</w:t>
            </w:r>
          </w:p>
        </w:tc>
        <w:tc>
          <w:tcPr>
            <w:tcW w:type="dxa" w:w="1728"/>
            <w:tcBorders>
              <w:top w:val="single" w:sz="12" w:color="000000"/>
              <w:bottom w:val="single" w:sz="6" w:color="000000"/>
            </w:tcBorders>
          </w:tcPr>
          <w:p>
            <w:pPr>
              <w:keepNext/>
              <w:jc w:val="center"/>
            </w:pPr>
            <w:r/>
            <w:r>
              <w:rPr>
                <w:rFonts w:ascii="Times New Roman" w:hAnsi="Times New Roman"/>
                <w:b/>
                <w:sz w:val="16"/>
              </w:rPr>
              <w:t>Median passing tau</w:t>
            </w:r>
          </w:p>
        </w:tc>
      </w:tr>
      <w:tr>
        <w:trPr>
          <w:cantSplit/>
        </w:trPr>
        <w:tc>
          <w:tcPr>
            <w:tcW w:type="dxa" w:w="1728"/>
          </w:tcPr>
          <w:p>
            <w:pPr>
              <w:keepNext/>
              <w:jc w:val="left"/>
            </w:pPr>
            <w:r/>
            <w:r>
              <w:rPr>
                <w:rFonts w:ascii="Times New Roman" w:hAnsi="Times New Roman"/>
                <w:b w:val="0"/>
                <w:sz w:val="16"/>
              </w:rPr>
              <w:t>16 bands x 8 rows</w:t>
            </w:r>
          </w:p>
        </w:tc>
        <w:tc>
          <w:tcPr>
            <w:tcW w:type="dxa" w:w="1728"/>
          </w:tcPr>
          <w:p>
            <w:pPr>
              <w:keepNext/>
              <w:jc w:val="center"/>
            </w:pPr>
            <w:r/>
            <w:r>
              <w:rPr>
                <w:rFonts w:ascii="Times New Roman" w:hAnsi="Times New Roman"/>
                <w:b w:val="0"/>
                <w:sz w:val="16"/>
              </w:rPr>
              <w:t>0.10</w:t>
            </w:r>
          </w:p>
        </w:tc>
        <w:tc>
          <w:tcPr>
            <w:tcW w:type="dxa" w:w="1728"/>
          </w:tcPr>
          <w:p>
            <w:pPr>
              <w:keepNext/>
              <w:jc w:val="center"/>
            </w:pPr>
            <w:r/>
            <w:r>
              <w:rPr>
                <w:rFonts w:ascii="Times New Roman" w:hAnsi="Times New Roman"/>
                <w:b w:val="0"/>
                <w:sz w:val="16"/>
              </w:rPr>
              <w:t>0.6</w:t>
            </w:r>
          </w:p>
        </w:tc>
        <w:tc>
          <w:tcPr>
            <w:tcW w:type="dxa" w:w="1728"/>
          </w:tcPr>
          <w:p>
            <w:pPr>
              <w:keepNext/>
              <w:jc w:val="center"/>
            </w:pPr>
            <w:r/>
            <w:r>
              <w:rPr>
                <w:rFonts w:ascii="Times New Roman" w:hAnsi="Times New Roman"/>
                <w:b w:val="0"/>
                <w:sz w:val="16"/>
              </w:rPr>
              <w:t>0.6</w:t>
            </w:r>
          </w:p>
        </w:tc>
        <w:tc>
          <w:tcPr>
            <w:tcW w:type="dxa" w:w="1728"/>
          </w:tcPr>
          <w:p>
            <w:pPr>
              <w:keepNext/>
              <w:jc w:val="center"/>
            </w:pPr>
            <w:r/>
            <w:r>
              <w:rPr>
                <w:rFonts w:ascii="Times New Roman" w:hAnsi="Times New Roman"/>
                <w:b w:val="0"/>
                <w:sz w:val="16"/>
              </w:rPr>
              <w:t>0</w:t>
            </w:r>
          </w:p>
        </w:tc>
        <w:tc>
          <w:tcPr>
            <w:tcW w:type="dxa" w:w="1728"/>
          </w:tcPr>
          <w:p>
            <w:pPr>
              <w:keepNext/>
              <w:jc w:val="center"/>
            </w:pPr>
            <w:r/>
            <w:r>
              <w:rPr>
                <w:rFonts w:ascii="Times New Roman" w:hAnsi="Times New Roman"/>
                <w:b w:val="0"/>
                <w:sz w:val="16"/>
              </w:rPr>
              <w:t>0</w:t>
            </w:r>
          </w:p>
        </w:tc>
      </w:tr>
      <w:tr>
        <w:trPr>
          <w:cantSplit/>
        </w:trPr>
        <w:tc>
          <w:tcPr>
            <w:tcW w:type="dxa" w:w="1728"/>
          </w:tcPr>
          <w:p>
            <w:pPr>
              <w:keepNext/>
              <w:jc w:val="left"/>
            </w:pPr>
            <w:r/>
            <w:r>
              <w:rPr>
                <w:rFonts w:ascii="Times New Roman" w:hAnsi="Times New Roman"/>
                <w:b w:val="0"/>
                <w:sz w:val="16"/>
              </w:rPr>
              <w:t>2 rows x 64 bands</w:t>
            </w:r>
          </w:p>
        </w:tc>
        <w:tc>
          <w:tcPr>
            <w:tcW w:type="dxa" w:w="1728"/>
          </w:tcPr>
          <w:p>
            <w:pPr>
              <w:keepNext/>
              <w:jc w:val="center"/>
            </w:pPr>
            <w:r/>
            <w:r>
              <w:rPr>
                <w:rFonts w:ascii="Times New Roman" w:hAnsi="Times New Roman"/>
                <w:b w:val="0"/>
                <w:sz w:val="16"/>
              </w:rPr>
              <w:t>0.10</w:t>
            </w:r>
          </w:p>
        </w:tc>
        <w:tc>
          <w:tcPr>
            <w:tcW w:type="dxa" w:w="1728"/>
          </w:tcPr>
          <w:p>
            <w:pPr>
              <w:keepNext/>
              <w:jc w:val="center"/>
            </w:pPr>
            <w:r/>
            <w:r>
              <w:rPr>
                <w:rFonts w:ascii="Times New Roman" w:hAnsi="Times New Roman"/>
                <w:b w:val="0"/>
                <w:sz w:val="16"/>
              </w:rPr>
              <w:t>51.9</w:t>
            </w:r>
          </w:p>
        </w:tc>
        <w:tc>
          <w:tcPr>
            <w:tcW w:type="dxa" w:w="1728"/>
          </w:tcPr>
          <w:p>
            <w:pPr>
              <w:keepNext/>
              <w:jc w:val="center"/>
            </w:pPr>
            <w:r/>
            <w:r>
              <w:rPr>
                <w:rFonts w:ascii="Times New Roman" w:hAnsi="Times New Roman"/>
                <w:b w:val="0"/>
                <w:sz w:val="16"/>
              </w:rPr>
              <w:t>43.6</w:t>
            </w:r>
          </w:p>
        </w:tc>
        <w:tc>
          <w:tcPr>
            <w:tcW w:type="dxa" w:w="1728"/>
          </w:tcPr>
          <w:p>
            <w:pPr>
              <w:keepNext/>
              <w:jc w:val="center"/>
            </w:pPr>
            <w:r/>
            <w:r>
              <w:rPr>
                <w:rFonts w:ascii="Times New Roman" w:hAnsi="Times New Roman"/>
                <w:b w:val="0"/>
                <w:sz w:val="16"/>
              </w:rPr>
              <w:t>11</w:t>
            </w:r>
          </w:p>
        </w:tc>
        <w:tc>
          <w:tcPr>
            <w:tcW w:type="dxa" w:w="1728"/>
          </w:tcPr>
          <w:p>
            <w:pPr>
              <w:keepNext/>
              <w:jc w:val="center"/>
            </w:pPr>
            <w:r/>
            <w:r>
              <w:rPr>
                <w:rFonts w:ascii="Times New Roman" w:hAnsi="Times New Roman"/>
                <w:b w:val="0"/>
                <w:sz w:val="16"/>
              </w:rPr>
              <w:t>0</w:t>
            </w:r>
          </w:p>
        </w:tc>
      </w:tr>
      <w:tr>
        <w:trPr>
          <w:cantSplit/>
        </w:trPr>
        <w:tc>
          <w:tcPr>
            <w:tcW w:type="dxa" w:w="1728"/>
            <w:tcBorders>
              <w:bottom w:val="single" w:sz="12" w:color="000000"/>
            </w:tcBorders>
          </w:tcPr>
          <w:p>
            <w:pPr>
              <w:jc w:val="left"/>
            </w:pPr>
            <w:r/>
            <w:r>
              <w:rPr>
                <w:rFonts w:ascii="Times New Roman" w:hAnsi="Times New Roman"/>
                <w:b w:val="0"/>
                <w:sz w:val="16"/>
              </w:rPr>
              <w:t>1 row x 128 bands</w:t>
            </w:r>
          </w:p>
        </w:tc>
        <w:tc>
          <w:tcPr>
            <w:tcW w:type="dxa" w:w="1728"/>
            <w:tcBorders>
              <w:bottom w:val="single" w:sz="12" w:color="000000"/>
            </w:tcBorders>
          </w:tcPr>
          <w:p>
            <w:pPr>
              <w:jc w:val="center"/>
            </w:pPr>
            <w:r/>
            <w:r>
              <w:rPr>
                <w:rFonts w:ascii="Times New Roman" w:hAnsi="Times New Roman"/>
                <w:b w:val="0"/>
                <w:sz w:val="16"/>
              </w:rPr>
              <w:t>0.05</w:t>
            </w:r>
          </w:p>
        </w:tc>
        <w:tc>
          <w:tcPr>
            <w:tcW w:type="dxa" w:w="1728"/>
            <w:tcBorders>
              <w:bottom w:val="single" w:sz="12" w:color="000000"/>
            </w:tcBorders>
          </w:tcPr>
          <w:p>
            <w:pPr>
              <w:jc w:val="center"/>
            </w:pPr>
            <w:r/>
            <w:r>
              <w:rPr>
                <w:rFonts w:ascii="Times New Roman" w:hAnsi="Times New Roman"/>
                <w:b w:val="0"/>
                <w:sz w:val="16"/>
              </w:rPr>
              <w:t>95.8</w:t>
            </w:r>
          </w:p>
        </w:tc>
        <w:tc>
          <w:tcPr>
            <w:tcW w:type="dxa" w:w="1728"/>
            <w:tcBorders>
              <w:bottom w:val="single" w:sz="12" w:color="000000"/>
            </w:tcBorders>
          </w:tcPr>
          <w:p>
            <w:pPr>
              <w:jc w:val="center"/>
            </w:pPr>
            <w:r/>
            <w:r>
              <w:rPr>
                <w:rFonts w:ascii="Times New Roman" w:hAnsi="Times New Roman"/>
                <w:b w:val="0"/>
                <w:sz w:val="16"/>
              </w:rPr>
              <w:t>72.1</w:t>
            </w:r>
          </w:p>
        </w:tc>
        <w:tc>
          <w:tcPr>
            <w:tcW w:type="dxa" w:w="1728"/>
            <w:tcBorders>
              <w:bottom w:val="single" w:sz="12" w:color="000000"/>
            </w:tcBorders>
          </w:tcPr>
          <w:p>
            <w:pPr>
              <w:jc w:val="center"/>
            </w:pPr>
            <w:r/>
            <w:r>
              <w:rPr>
                <w:rFonts w:ascii="Times New Roman" w:hAnsi="Times New Roman"/>
                <w:b w:val="0"/>
                <w:sz w:val="16"/>
              </w:rPr>
              <w:t>518</w:t>
            </w:r>
          </w:p>
        </w:tc>
        <w:tc>
          <w:tcPr>
            <w:tcW w:type="dxa" w:w="1728"/>
            <w:tcBorders>
              <w:bottom w:val="single" w:sz="12" w:color="000000"/>
            </w:tcBorders>
          </w:tcPr>
          <w:p>
            <w:pPr>
              <w:jc w:val="center"/>
            </w:pPr>
            <w:r/>
            <w:r>
              <w:rPr>
                <w:rFonts w:ascii="Times New Roman" w:hAnsi="Times New Roman"/>
                <w:b w:val="0"/>
                <w:sz w:val="16"/>
              </w:rPr>
              <w:t>9</w:t>
            </w:r>
          </w:p>
        </w:tc>
      </w:tr>
    </w:tbl>
    <w:p>
      <w:pPr>
        <w:spacing w:after="40"/>
      </w:pPr>
    </w:p>
    <w:p>
      <w:p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keepNext/>
        <w:jc w:val="center"/>
      </w:pPr>
      <w:drawing xmlns:a="http://schemas.openxmlformats.org/drawingml/2006/main" xmlns:pic="http://schemas.openxmlformats.org/drawingml/2006/picture">
        <wp:inline distT="0" distB="0" distL="0" distR="0">
          <wp:extent cx="5760000" cy="1876345"/>
          <wp:effectExtent l="0" t="0" r="0" b="0"/>
          <wp:docPr id="111" name="fig_e20_lsh.emf"/>
          <wp:cNvGraphicFramePr/>
          <a:graphic>
            <a:graphicData uri="http://schemas.openxmlformats.org/drawingml/2006/picture">
              <pic:pic>
                <pic:nvPicPr>
                  <pic:cNvPr id="0" name="fig_e20_lsh.emf"/>
                  <pic:cNvPicPr/>
                </pic:nvPicPr>
                <pic:blipFill>
                  <a:blip r:embed="rId43"/>
                  <a:stretch>
                    <a:fillRect/>
                  </a:stretch>
                </pic:blipFill>
                <pic:spPr>
                  <a:xfrm>
                    <a:off x="0" y="0"/>
                    <a:ext cx="5760000" cy="1876345"/>
                  </a:xfrm>
                  <a:prstGeom prst="rect">
                    <a:avLst/>
                  </a:prstGeom>
                </pic:spPr>
              </pic:pic>
            </a:graphicData>
          </a:graphic>
        </wp:inline>
      </w:drawing>
    </w:p>
    <w:p>
      <w:pPr>
        <w:pStyle w:val="FigureCaption"/>
      </w:pPr>
      <w:r>
        <w:rPr>
          <w:sz w:val="19"/>
        </w:rPr>
        <w:t>Fig. 11. The containment-versus-Jaccard geometry behind Table X. (a) donor Jaccard distribution over the 337 planted cells (quartiles 0.045/0.099/0.201) with the two operating thresholds marked; (b) recall of the three LSH configurations versus the tolerant screen on the same cells.</w:t>
      </w:r>
    </w:p>
    <w:p>
      <w:pPr>
        <w:sectPr w:rsidR="007E713A" w:rsidSect="00002FAF">
          <w:headerReference w:type="default" r:id="rId9"/>
          <w:type w:val="continuous"/>
          <w:pgSz w:w="12240" w:h="15840"/>
          <w:pgMar w:top="1008" w:right="936" w:bottom="1008" w:left="936" w:header="432" w:footer="432" w:gutter="0"/>
          <w:cols w:space="288"/>
        </w:sectPr>
      </w:pPr>
    </w:p>
    <w:p>
      <w:pPr>
        <w:pStyle w:val="Heading1"/>
      </w:pPr>
      <w:r>
        <w:t>VI. REAL-WORLD STUDIES</w:t>
      </w:r>
    </w:p>
    <w:p>
      <w:pPr>
        <w:pStyle w:val="Heading2"/>
      </w:pPr>
      <w:r>
        <w:t>A. Controlled memorization screening</w:t>
      </w:r>
    </w:p>
    <w:p>
      <w:pPr>
        <w:spacing w:after="0"/>
        <w:ind w:firstLine="204"/>
        <w:jc w:val="both"/>
      </w:pPr>
      <w:r>
        <w:t xml:space="preserve">We emulate generative-model memorization with an order-m pitch n-gram model mixed with a per-note copy operator at probability λ, sweeping m∈{2,4,8} and λ∈{0, 0.25, ..., 1}; 750 generated pieces are screened with the production cascade. Detection (Fig. 12, Table XI) rises monotonically: 26-34% at λ=0—these residual hits are style-level shared structures, attributed to the source piece in only 2-4% of cases—through 44-56% at λ=0.5, to 100% at λ=1 with 96-100% correct source attribution. </w:t>
      </w:r>
    </w:p>
    <w:p>
      <w:pPr>
        <w:spacing w:after="0"/>
        <w:ind w:firstLine="204"/>
        <w:jc w:val="both"/>
      </w:pPr>
      <w:r>
        <w:t>Fragmented partial memorization (λ=0.25, per-note Bernoulli copies) escapes the contiguity threshold: an honest boundary of chain-based confirmation that mirrors the distributed-memorization blind spot of sequential detectors.  Section VI-D replaces the emulator with an actually trained transformer and asks whether real overfitting reproduces this spectrum.</w:t>
      </w:r>
    </w:p>
    <w:p>
      <w:pPr>
        <w:keepNext/>
        <w:jc w:val="center"/>
      </w:pPr>
      <w:drawing xmlns:a="http://schemas.openxmlformats.org/drawingml/2006/main" xmlns:pic="http://schemas.openxmlformats.org/drawingml/2006/picture">
        <wp:inline distT="0" distB="0" distL="0" distR="0">
          <wp:extent cx="2880000" cy="2176510"/>
          <wp:effectExtent l="0" t="0" r="0" b="0"/>
          <wp:docPr id="112" name="fig6_memorization.emf"/>
          <wp:cNvGraphicFramePr/>
          <a:graphic>
            <a:graphicData uri="http://schemas.openxmlformats.org/drawingml/2006/picture">
              <pic:pic>
                <pic:nvPicPr>
                  <pic:cNvPr id="0" name="fig6_memorization.emf"/>
                  <pic:cNvPicPr/>
                </pic:nvPicPr>
                <pic:blipFill>
                  <a:blip r:embed="rId44"/>
                  <a:stretch>
                    <a:fillRect/>
                  </a:stretch>
                </pic:blipFill>
                <pic:spPr>
                  <a:xfrm>
                    <a:off x="0" y="0"/>
                    <a:ext cx="2880000" cy="2176510"/>
                  </a:xfrm>
                  <a:prstGeom prst="rect">
                    <a:avLst/>
                  </a:prstGeom>
                </pic:spPr>
              </pic:pic>
            </a:graphicData>
          </a:graphic>
        </wp:inline>
      </w:drawing>
    </w:p>
    <w:p>
      <w:pPr>
        <w:pStyle w:val="FigureCaption"/>
      </w:pPr>
      <w:r>
        <w:rPr>
          <w:sz w:val="19"/>
        </w:rPr>
        <w:t>Fig. 12. Detection rate (bars) and source attribution (ticks) over the memorization spectrum, by n-gram order.</w:t>
      </w:r>
    </w:p>
    <w:p>
      <w:pPr>
        <w:pStyle w:val="TableTitle"/>
        <w:keepNext/>
      </w:pPr>
      <w:r>
        <w:t>TABLE XI.</w:t>
      </w:r>
    </w:p>
    <w:p>
      <w:pPr>
        <w:pStyle w:val="TableTitle"/>
        <w:keepNext/>
      </w:pPr>
      <w:r>
        <w:t>Memorization spectrum: detection % / correct source-attribution % per cell (50 generated pieces per cell; order-m pitch n-gram mixed with per-note copy at probability λ).</w:t>
      </w:r>
    </w:p>
    <w:tbl>
      <w:tblPr>
        <w:tblW w:type="auto" w:w="0"/>
        <w:jc w:val="center"/>
        <w:tblLayout w:type="autofit"/>
        <w:tblLook w:firstColumn="1" w:firstRow="1" w:lastColumn="0" w:lastRow="0" w:noHBand="0" w:noVBand="1" w:val="04A0"/>
      </w:tblPr>
      <w:tblGrid>
        <w:gridCol w:w="1728"/>
        <w:gridCol w:w="1728"/>
        <w:gridCol w:w="1728"/>
        <w:gridCol w:w="1728"/>
        <w:gridCol w:w="1728"/>
        <w:gridCol w:w="1728"/>
      </w:tblGrid>
      <w:tr>
        <w:trPr>
          <w:cantSplit/>
        </w:trPr>
        <w:tc>
          <w:tcPr>
            <w:tcW w:type="dxa" w:w="1728"/>
            <w:tcBorders>
              <w:top w:val="single" w:sz="12" w:color="000000"/>
              <w:bottom w:val="single" w:sz="6" w:color="000000"/>
            </w:tcBorders>
          </w:tcPr>
          <w:p>
            <w:pPr>
              <w:keepNext/>
              <w:jc w:val="left"/>
            </w:pPr>
            <w:r/>
            <w:r>
              <w:rPr>
                <w:rFonts w:ascii="Times New Roman" w:hAnsi="Times New Roman"/>
                <w:b/>
                <w:sz w:val="16"/>
              </w:rPr>
              <w:t>m</w:t>
            </w:r>
          </w:p>
        </w:tc>
        <w:tc>
          <w:tcPr>
            <w:tcW w:type="dxa" w:w="1728"/>
            <w:tcBorders>
              <w:top w:val="single" w:sz="12" w:color="000000"/>
              <w:bottom w:val="single" w:sz="6" w:color="000000"/>
            </w:tcBorders>
          </w:tcPr>
          <w:p>
            <w:pPr>
              <w:keepNext/>
              <w:jc w:val="center"/>
            </w:pPr>
            <w:r/>
            <w:r>
              <w:rPr>
                <w:rFonts w:ascii="Times New Roman" w:hAnsi="Times New Roman"/>
                <w:b/>
                <w:sz w:val="16"/>
              </w:rPr>
              <w:t>λ = 0</w:t>
            </w:r>
          </w:p>
        </w:tc>
        <w:tc>
          <w:tcPr>
            <w:tcW w:type="dxa" w:w="1728"/>
            <w:tcBorders>
              <w:top w:val="single" w:sz="12" w:color="000000"/>
              <w:bottom w:val="single" w:sz="6" w:color="000000"/>
            </w:tcBorders>
          </w:tcPr>
          <w:p>
            <w:pPr>
              <w:keepNext/>
              <w:jc w:val="center"/>
            </w:pPr>
            <w:r/>
            <w:r>
              <w:rPr>
                <w:rFonts w:ascii="Times New Roman" w:hAnsi="Times New Roman"/>
                <w:b/>
                <w:sz w:val="16"/>
              </w:rPr>
              <w:t>λ = 0.25</w:t>
            </w:r>
          </w:p>
        </w:tc>
        <w:tc>
          <w:tcPr>
            <w:tcW w:type="dxa" w:w="1728"/>
            <w:tcBorders>
              <w:top w:val="single" w:sz="12" w:color="000000"/>
              <w:bottom w:val="single" w:sz="6" w:color="000000"/>
            </w:tcBorders>
          </w:tcPr>
          <w:p>
            <w:pPr>
              <w:keepNext/>
              <w:jc w:val="center"/>
            </w:pPr>
            <w:r/>
            <w:r>
              <w:rPr>
                <w:rFonts w:ascii="Times New Roman" w:hAnsi="Times New Roman"/>
                <w:b/>
                <w:sz w:val="16"/>
              </w:rPr>
              <w:t>λ = 0.5</w:t>
            </w:r>
          </w:p>
        </w:tc>
        <w:tc>
          <w:tcPr>
            <w:tcW w:type="dxa" w:w="1728"/>
            <w:tcBorders>
              <w:top w:val="single" w:sz="12" w:color="000000"/>
              <w:bottom w:val="single" w:sz="6" w:color="000000"/>
            </w:tcBorders>
          </w:tcPr>
          <w:p>
            <w:pPr>
              <w:keepNext/>
              <w:jc w:val="center"/>
            </w:pPr>
            <w:r/>
            <w:r>
              <w:rPr>
                <w:rFonts w:ascii="Times New Roman" w:hAnsi="Times New Roman"/>
                <w:b/>
                <w:sz w:val="16"/>
              </w:rPr>
              <w:t>λ = 0.75</w:t>
            </w:r>
          </w:p>
        </w:tc>
        <w:tc>
          <w:tcPr>
            <w:tcW w:type="dxa" w:w="1728"/>
            <w:tcBorders>
              <w:top w:val="single" w:sz="12" w:color="000000"/>
              <w:bottom w:val="single" w:sz="6" w:color="000000"/>
            </w:tcBorders>
          </w:tcPr>
          <w:p>
            <w:pPr>
              <w:keepNext/>
              <w:jc w:val="center"/>
            </w:pPr>
            <w:r/>
            <w:r>
              <w:rPr>
                <w:rFonts w:ascii="Times New Roman" w:hAnsi="Times New Roman"/>
                <w:b/>
                <w:sz w:val="16"/>
              </w:rPr>
              <w:t>λ = 1</w:t>
            </w:r>
          </w:p>
        </w:tc>
      </w:tr>
      <w:tr>
        <w:trPr>
          <w:cantSplit/>
        </w:trPr>
        <w:tc>
          <w:tcPr>
            <w:tcW w:type="dxa" w:w="1728"/>
          </w:tcPr>
          <w:p>
            <w:pPr>
              <w:keepNext/>
              <w:jc w:val="left"/>
            </w:pPr>
            <w:r/>
            <w:r>
              <w:rPr>
                <w:rFonts w:ascii="Times New Roman" w:hAnsi="Times New Roman"/>
                <w:b w:val="0"/>
                <w:sz w:val="16"/>
              </w:rPr>
              <w:t>2</w:t>
            </w:r>
          </w:p>
        </w:tc>
        <w:tc>
          <w:tcPr>
            <w:tcW w:type="dxa" w:w="1728"/>
          </w:tcPr>
          <w:p>
            <w:pPr>
              <w:keepNext/>
              <w:jc w:val="center"/>
            </w:pPr>
            <w:r/>
            <w:r>
              <w:rPr>
                <w:rFonts w:ascii="Times New Roman" w:hAnsi="Times New Roman"/>
                <w:b w:val="0"/>
                <w:sz w:val="16"/>
              </w:rPr>
              <w:t>26 / 4</w:t>
            </w:r>
          </w:p>
        </w:tc>
        <w:tc>
          <w:tcPr>
            <w:tcW w:type="dxa" w:w="1728"/>
          </w:tcPr>
          <w:p>
            <w:pPr>
              <w:keepNext/>
              <w:jc w:val="center"/>
            </w:pPr>
            <w:r/>
            <w:r>
              <w:rPr>
                <w:rFonts w:ascii="Times New Roman" w:hAnsi="Times New Roman"/>
                <w:b w:val="0"/>
                <w:sz w:val="16"/>
              </w:rPr>
              <w:t>30 / 0</w:t>
            </w:r>
          </w:p>
        </w:tc>
        <w:tc>
          <w:tcPr>
            <w:tcW w:type="dxa" w:w="1728"/>
          </w:tcPr>
          <w:p>
            <w:pPr>
              <w:keepNext/>
              <w:jc w:val="center"/>
            </w:pPr>
            <w:r/>
            <w:r>
              <w:rPr>
                <w:rFonts w:ascii="Times New Roman" w:hAnsi="Times New Roman"/>
                <w:b w:val="0"/>
                <w:sz w:val="16"/>
              </w:rPr>
              <w:t>44 / 18</w:t>
            </w:r>
          </w:p>
        </w:tc>
        <w:tc>
          <w:tcPr>
            <w:tcW w:type="dxa" w:w="1728"/>
          </w:tcPr>
          <w:p>
            <w:pPr>
              <w:keepNext/>
              <w:jc w:val="center"/>
            </w:pPr>
            <w:r/>
            <w:r>
              <w:rPr>
                <w:rFonts w:ascii="Times New Roman" w:hAnsi="Times New Roman"/>
                <w:b w:val="0"/>
                <w:sz w:val="16"/>
              </w:rPr>
              <w:t>96 / 90</w:t>
            </w:r>
          </w:p>
        </w:tc>
        <w:tc>
          <w:tcPr>
            <w:tcW w:type="dxa" w:w="1728"/>
          </w:tcPr>
          <w:p>
            <w:pPr>
              <w:keepNext/>
              <w:jc w:val="center"/>
            </w:pPr>
            <w:r/>
            <w:r>
              <w:rPr>
                <w:rFonts w:ascii="Times New Roman" w:hAnsi="Times New Roman"/>
                <w:b w:val="0"/>
                <w:sz w:val="16"/>
              </w:rPr>
              <w:t>100 / 100</w:t>
            </w:r>
          </w:p>
        </w:tc>
      </w:tr>
      <w:tr>
        <w:trPr>
          <w:cantSplit/>
        </w:trPr>
        <w:tc>
          <w:tcPr>
            <w:tcW w:type="dxa" w:w="1728"/>
          </w:tcPr>
          <w:p>
            <w:pPr>
              <w:keepNext/>
              <w:jc w:val="left"/>
            </w:pPr>
            <w:r/>
            <w:r>
              <w:rPr>
                <w:rFonts w:ascii="Times New Roman" w:hAnsi="Times New Roman"/>
                <w:b w:val="0"/>
                <w:sz w:val="16"/>
              </w:rPr>
              <w:t>4</w:t>
            </w:r>
          </w:p>
        </w:tc>
        <w:tc>
          <w:tcPr>
            <w:tcW w:type="dxa" w:w="1728"/>
          </w:tcPr>
          <w:p>
            <w:pPr>
              <w:keepNext/>
              <w:jc w:val="center"/>
            </w:pPr>
            <w:r/>
            <w:r>
              <w:rPr>
                <w:rFonts w:ascii="Times New Roman" w:hAnsi="Times New Roman"/>
                <w:b w:val="0"/>
                <w:sz w:val="16"/>
              </w:rPr>
              <w:t>34 / 2</w:t>
            </w:r>
          </w:p>
        </w:tc>
        <w:tc>
          <w:tcPr>
            <w:tcW w:type="dxa" w:w="1728"/>
          </w:tcPr>
          <w:p>
            <w:pPr>
              <w:keepNext/>
              <w:jc w:val="center"/>
            </w:pPr>
            <w:r/>
            <w:r>
              <w:rPr>
                <w:rFonts w:ascii="Times New Roman" w:hAnsi="Times New Roman"/>
                <w:b w:val="0"/>
                <w:sz w:val="16"/>
              </w:rPr>
              <w:t>24 / 0</w:t>
            </w:r>
          </w:p>
        </w:tc>
        <w:tc>
          <w:tcPr>
            <w:tcW w:type="dxa" w:w="1728"/>
          </w:tcPr>
          <w:p>
            <w:pPr>
              <w:keepNext/>
              <w:jc w:val="center"/>
            </w:pPr>
            <w:r/>
            <w:r>
              <w:rPr>
                <w:rFonts w:ascii="Times New Roman" w:hAnsi="Times New Roman"/>
                <w:b w:val="0"/>
                <w:sz w:val="16"/>
              </w:rPr>
              <w:t>54 / 36</w:t>
            </w:r>
          </w:p>
        </w:tc>
        <w:tc>
          <w:tcPr>
            <w:tcW w:type="dxa" w:w="1728"/>
          </w:tcPr>
          <w:p>
            <w:pPr>
              <w:keepNext/>
              <w:jc w:val="center"/>
            </w:pPr>
            <w:r/>
            <w:r>
              <w:rPr>
                <w:rFonts w:ascii="Times New Roman" w:hAnsi="Times New Roman"/>
                <w:b w:val="0"/>
                <w:sz w:val="16"/>
              </w:rPr>
              <w:t>100 / 94</w:t>
            </w:r>
          </w:p>
        </w:tc>
        <w:tc>
          <w:tcPr>
            <w:tcW w:type="dxa" w:w="1728"/>
          </w:tcPr>
          <w:p>
            <w:pPr>
              <w:keepNext/>
              <w:jc w:val="center"/>
            </w:pPr>
            <w:r/>
            <w:r>
              <w:rPr>
                <w:rFonts w:ascii="Times New Roman" w:hAnsi="Times New Roman"/>
                <w:b w:val="0"/>
                <w:sz w:val="16"/>
              </w:rPr>
              <w:t>100 / 96</w:t>
            </w:r>
          </w:p>
        </w:tc>
      </w:tr>
      <w:tr>
        <w:trPr>
          <w:cantSplit/>
        </w:trPr>
        <w:tc>
          <w:tcPr>
            <w:tcW w:type="dxa" w:w="1728"/>
            <w:tcBorders>
              <w:bottom w:val="single" w:sz="12" w:color="000000"/>
            </w:tcBorders>
          </w:tcPr>
          <w:p>
            <w:pPr>
              <w:jc w:val="left"/>
            </w:pPr>
            <w:r/>
            <w:r>
              <w:rPr>
                <w:rFonts w:ascii="Times New Roman" w:hAnsi="Times New Roman"/>
                <w:b w:val="0"/>
                <w:sz w:val="16"/>
              </w:rPr>
              <w:t>8</w:t>
            </w:r>
          </w:p>
        </w:tc>
        <w:tc>
          <w:tcPr>
            <w:tcW w:type="dxa" w:w="1728"/>
            <w:tcBorders>
              <w:bottom w:val="single" w:sz="12" w:color="000000"/>
            </w:tcBorders>
          </w:tcPr>
          <w:p>
            <w:pPr>
              <w:jc w:val="center"/>
            </w:pPr>
            <w:r/>
            <w:r>
              <w:rPr>
                <w:rFonts w:ascii="Times New Roman" w:hAnsi="Times New Roman"/>
                <w:b w:val="0"/>
                <w:sz w:val="16"/>
              </w:rPr>
              <w:t>32 / 2</w:t>
            </w:r>
          </w:p>
        </w:tc>
        <w:tc>
          <w:tcPr>
            <w:tcW w:type="dxa" w:w="1728"/>
            <w:tcBorders>
              <w:bottom w:val="single" w:sz="12" w:color="000000"/>
            </w:tcBorders>
          </w:tcPr>
          <w:p>
            <w:pPr>
              <w:jc w:val="center"/>
            </w:pPr>
            <w:r/>
            <w:r>
              <w:rPr>
                <w:rFonts w:ascii="Times New Roman" w:hAnsi="Times New Roman"/>
                <w:b w:val="0"/>
                <w:sz w:val="16"/>
              </w:rPr>
              <w:t>38 / 4</w:t>
            </w:r>
          </w:p>
        </w:tc>
        <w:tc>
          <w:tcPr>
            <w:tcW w:type="dxa" w:w="1728"/>
            <w:tcBorders>
              <w:bottom w:val="single" w:sz="12" w:color="000000"/>
            </w:tcBorders>
          </w:tcPr>
          <w:p>
            <w:pPr>
              <w:jc w:val="center"/>
            </w:pPr>
            <w:r/>
            <w:r>
              <w:rPr>
                <w:rFonts w:ascii="Times New Roman" w:hAnsi="Times New Roman"/>
                <w:b w:val="0"/>
                <w:sz w:val="16"/>
              </w:rPr>
              <w:t>56 / 38</w:t>
            </w:r>
          </w:p>
        </w:tc>
        <w:tc>
          <w:tcPr>
            <w:tcW w:type="dxa" w:w="1728"/>
            <w:tcBorders>
              <w:bottom w:val="single" w:sz="12" w:color="000000"/>
            </w:tcBorders>
          </w:tcPr>
          <w:p>
            <w:pPr>
              <w:jc w:val="center"/>
            </w:pPr>
            <w:r/>
            <w:r>
              <w:rPr>
                <w:rFonts w:ascii="Times New Roman" w:hAnsi="Times New Roman"/>
                <w:b w:val="0"/>
                <w:sz w:val="16"/>
              </w:rPr>
              <w:t>100 / 96</w:t>
            </w:r>
          </w:p>
        </w:tc>
        <w:tc>
          <w:tcPr>
            <w:tcW w:type="dxa" w:w="1728"/>
            <w:tcBorders>
              <w:bottom w:val="single" w:sz="12" w:color="000000"/>
            </w:tcBorders>
          </w:tcPr>
          <w:p>
            <w:pPr>
              <w:jc w:val="center"/>
            </w:pPr>
            <w:r/>
            <w:r>
              <w:rPr>
                <w:rFonts w:ascii="Times New Roman" w:hAnsi="Times New Roman"/>
                <w:b w:val="0"/>
                <w:sz w:val="16"/>
              </w:rPr>
              <w:t>100 / 98</w:t>
            </w:r>
          </w:p>
        </w:tc>
      </w:tr>
    </w:tbl>
    <w:p>
      <w:pPr>
        <w:spacing w:after="40"/>
      </w:pPr>
    </w:p>
    <w:p>
      <w:pPr>
        <w:pStyle w:val="Heading2"/>
      </w:pPr>
      <w:r>
        <w:t>B. Case studies</w:t>
      </w:r>
    </w:p>
    <w:p>
      <w:pPr>
        <w:spacing w:after="0"/>
        <w:ind w:firstLine="204"/>
        <w:jc w:val="both"/>
      </w:pPr>
      <w:r>
        <w:t>Screening all 3,000 corpus pieces against each other (exact and interval-sketch dual index) surfaces 1,658,993 candidate duplicate pairs—Lakh is, in large part, many transcriptions of the same commercial repertoire. Four publisher-style cases (Table XII) show the evidence a human adjudicator receives: an identical transcription pair aligns note-for-note (3,200/3,200); a +3-semitone transposed cover is fully recovered with the transposition correctly estimated at −3; a piece with a 30-second span of another work spliced into its middle is localized to the exact segment (Fig. 13); and a style-similar negative is correctly rejected.</w:t>
      </w:r>
    </w:p>
    <w:p>
      <w:pPr>
        <w:keepNext/>
        <w:jc w:val="center"/>
      </w:pPr>
      <w:drawing xmlns:a="http://schemas.openxmlformats.org/drawingml/2006/main" xmlns:pic="http://schemas.openxmlformats.org/drawingml/2006/picture">
        <wp:inline distT="0" distB="0" distL="0" distR="0">
          <wp:extent cx="2880000" cy="1752212"/>
          <wp:effectExtent l="0" t="0" r="0" b="0"/>
          <wp:docPr id="113" name="fig7_case.emf"/>
          <wp:cNvGraphicFramePr/>
          <a:graphic>
            <a:graphicData uri="http://schemas.openxmlformats.org/drawingml/2006/picture">
              <pic:pic>
                <pic:nvPicPr>
                  <pic:cNvPr id="0" name="fig7_case.emf"/>
                  <pic:cNvPicPr/>
                </pic:nvPicPr>
                <pic:blipFill>
                  <a:blip r:embed="rId45"/>
                  <a:stretch>
                    <a:fillRect/>
                  </a:stretch>
                </pic:blipFill>
                <pic:spPr>
                  <a:xfrm>
                    <a:off x="0" y="0"/>
                    <a:ext cx="2880000" cy="1752212"/>
                  </a:xfrm>
                  <a:prstGeom prst="rect">
                    <a:avLst/>
                  </a:prstGeom>
                </pic:spPr>
              </pic:pic>
            </a:graphicData>
          </a:graphic>
        </wp:inline>
      </w:drawing>
    </w:p>
    <w:p>
      <w:pPr>
        <w:pStyle w:val="FigureCaption"/>
      </w:pPr>
      <w:r>
        <w:rPr>
          <w:sz w:val="19"/>
        </w:rPr>
        <w:t>Fig. 13. Alignment map for the spliced-span case: query note index versus corpus piece note index; the diagonal band is the copied 30 s segment.</w:t>
      </w:r>
    </w:p>
    <w:p>
      <w:pPr>
        <w:pStyle w:val="TableTitle"/>
        <w:keepNext/>
      </w:pPr>
      <w:r>
        <w:t>TABLE XII.</w:t>
      </w:r>
    </w:p>
    <w:p>
      <w:pPr>
        <w:pStyle w:val="TableTitle"/>
        <w:keepNext/>
      </w:pPr>
      <w:r>
        <w:t>Case-study evidence summary (E6.3).</w:t>
      </w:r>
    </w:p>
    <w:tbl>
      <w:tblPr>
        <w:tblW w:type="auto" w:w="0"/>
        <w:jc w:val="center"/>
        <w:tblLayout w:type="autofit"/>
        <w:tblLook w:firstColumn="1" w:firstRow="1" w:lastColumn="0" w:lastRow="0" w:noHBand="0" w:noVBand="1" w:val="04A0"/>
      </w:tblPr>
      <w:tblGrid>
        <w:gridCol w:w="2592"/>
        <w:gridCol w:w="2592"/>
        <w:gridCol w:w="2592"/>
        <w:gridCol w:w="2592"/>
      </w:tblGrid>
      <w:tr>
        <w:trPr>
          <w:cantSplit/>
        </w:trPr>
        <w:tc>
          <w:tcPr>
            <w:tcW w:type="dxa" w:w="2592"/>
            <w:tcBorders>
              <w:top w:val="single" w:sz="12" w:color="000000"/>
              <w:bottom w:val="single" w:sz="6" w:color="000000"/>
            </w:tcBorders>
          </w:tcPr>
          <w:p>
            <w:pPr>
              <w:keepNext/>
              <w:jc w:val="left"/>
            </w:pPr>
            <w:r/>
            <w:r>
              <w:rPr>
                <w:rFonts w:ascii="Times New Roman" w:hAnsi="Times New Roman"/>
                <w:b/>
                <w:sz w:val="16"/>
              </w:rPr>
              <w:t>Case</w:t>
            </w:r>
          </w:p>
        </w:tc>
        <w:tc>
          <w:tcPr>
            <w:tcW w:type="dxa" w:w="2592"/>
            <w:tcBorders>
              <w:top w:val="single" w:sz="12" w:color="000000"/>
              <w:bottom w:val="single" w:sz="6" w:color="000000"/>
            </w:tcBorders>
          </w:tcPr>
          <w:p>
            <w:pPr>
              <w:keepNext/>
              <w:jc w:val="center"/>
            </w:pPr>
            <w:r/>
            <w:r>
              <w:rPr>
                <w:rFonts w:ascii="Times New Roman" w:hAnsi="Times New Roman"/>
                <w:b/>
                <w:sz w:val="16"/>
              </w:rPr>
              <w:t>Aligned</w:t>
            </w:r>
          </w:p>
        </w:tc>
        <w:tc>
          <w:tcPr>
            <w:tcW w:type="dxa" w:w="2592"/>
            <w:tcBorders>
              <w:top w:val="single" w:sz="12" w:color="000000"/>
              <w:bottom w:val="single" w:sz="6" w:color="000000"/>
            </w:tcBorders>
          </w:tcPr>
          <w:p>
            <w:pPr>
              <w:keepNext/>
              <w:jc w:val="center"/>
            </w:pPr>
            <w:r/>
            <w:r>
              <w:rPr>
                <w:rFonts w:ascii="Times New Roman" w:hAnsi="Times New Roman"/>
                <w:b/>
                <w:sz w:val="16"/>
              </w:rPr>
              <w:t>Longest segment</w:t>
            </w:r>
          </w:p>
        </w:tc>
        <w:tc>
          <w:tcPr>
            <w:tcW w:type="dxa" w:w="2592"/>
            <w:tcBorders>
              <w:top w:val="single" w:sz="12" w:color="000000"/>
              <w:bottom w:val="single" w:sz="6" w:color="000000"/>
            </w:tcBorders>
          </w:tcPr>
          <w:p>
            <w:pPr>
              <w:keepNext/>
              <w:jc w:val="center"/>
            </w:pPr>
            <w:r/>
            <w:r>
              <w:rPr>
                <w:rFonts w:ascii="Times New Roman" w:hAnsi="Times New Roman"/>
                <w:b/>
                <w:sz w:val="16"/>
              </w:rPr>
              <w:t>Verdict</w:t>
            </w:r>
          </w:p>
        </w:tc>
      </w:tr>
      <w:tr>
        <w:trPr>
          <w:cantSplit/>
        </w:trPr>
        <w:tc>
          <w:tcPr>
            <w:tcW w:type="dxa" w:w="2592"/>
          </w:tcPr>
          <w:p>
            <w:pPr>
              <w:keepNext/>
              <w:jc w:val="left"/>
            </w:pPr>
            <w:r/>
            <w:r>
              <w:rPr>
                <w:rFonts w:ascii="Times New Roman" w:hAnsi="Times New Roman"/>
                <w:b w:val="0"/>
                <w:sz w:val="16"/>
              </w:rPr>
              <w:t>Identical transcription pair</w:t>
            </w:r>
          </w:p>
        </w:tc>
        <w:tc>
          <w:tcPr>
            <w:tcW w:type="dxa" w:w="2592"/>
          </w:tcPr>
          <w:p>
            <w:pPr>
              <w:keepNext/>
              <w:jc w:val="center"/>
            </w:pPr>
            <w:r/>
            <w:r>
              <w:rPr>
                <w:rFonts w:ascii="Times New Roman" w:hAnsi="Times New Roman"/>
                <w:b w:val="0"/>
                <w:sz w:val="16"/>
              </w:rPr>
              <w:t>3,200 / 3,200 notes</w:t>
            </w:r>
          </w:p>
        </w:tc>
        <w:tc>
          <w:tcPr>
            <w:tcW w:type="dxa" w:w="2592"/>
          </w:tcPr>
          <w:p>
            <w:pPr>
              <w:keepNext/>
              <w:jc w:val="center"/>
            </w:pPr>
            <w:r/>
            <w:r>
              <w:rPr>
                <w:rFonts w:ascii="Times New Roman" w:hAnsi="Times New Roman"/>
                <w:b w:val="0"/>
                <w:sz w:val="16"/>
              </w:rPr>
              <w:t>3,200</w:t>
            </w:r>
          </w:p>
        </w:tc>
        <w:tc>
          <w:tcPr>
            <w:tcW w:type="dxa" w:w="2592"/>
          </w:tcPr>
          <w:p>
            <w:pPr>
              <w:keepNext/>
              <w:jc w:val="center"/>
            </w:pPr>
            <w:r/>
            <w:r>
              <w:rPr>
                <w:rFonts w:ascii="Times New Roman" w:hAnsi="Times New Roman"/>
                <w:b w:val="0"/>
                <w:sz w:val="16"/>
              </w:rPr>
              <w:t>confirmed copy</w:t>
            </w:r>
          </w:p>
        </w:tc>
      </w:tr>
      <w:tr>
        <w:trPr>
          <w:cantSplit/>
        </w:trPr>
        <w:tc>
          <w:tcPr>
            <w:tcW w:type="dxa" w:w="2592"/>
          </w:tcPr>
          <w:p>
            <w:pPr>
              <w:keepNext/>
              <w:jc w:val="left"/>
            </w:pPr>
            <w:r/>
            <w:r>
              <w:rPr>
                <w:rFonts w:ascii="Times New Roman" w:hAnsi="Times New Roman"/>
                <w:b w:val="0"/>
                <w:sz w:val="16"/>
              </w:rPr>
              <w:t>Transposed cover (+3 st, synth.)</w:t>
            </w:r>
          </w:p>
        </w:tc>
        <w:tc>
          <w:tcPr>
            <w:tcW w:type="dxa" w:w="2592"/>
          </w:tcPr>
          <w:p>
            <w:pPr>
              <w:keepNext/>
              <w:jc w:val="center"/>
            </w:pPr>
            <w:r/>
            <w:r>
              <w:rPr>
                <w:rFonts w:ascii="Times New Roman" w:hAnsi="Times New Roman"/>
                <w:b w:val="0"/>
                <w:sz w:val="16"/>
              </w:rPr>
              <w:t>3,200 / 3,200</w:t>
            </w:r>
          </w:p>
        </w:tc>
        <w:tc>
          <w:tcPr>
            <w:tcW w:type="dxa" w:w="2592"/>
          </w:tcPr>
          <w:p>
            <w:pPr>
              <w:keepNext/>
              <w:jc w:val="center"/>
            </w:pPr>
            <w:r/>
            <w:r>
              <w:rPr>
                <w:rFonts w:ascii="Times New Roman" w:hAnsi="Times New Roman"/>
                <w:b w:val="0"/>
                <w:sz w:val="16"/>
              </w:rPr>
              <w:t>3,200 (Δ=−3 st)</w:t>
            </w:r>
          </w:p>
        </w:tc>
        <w:tc>
          <w:tcPr>
            <w:tcW w:type="dxa" w:w="2592"/>
          </w:tcPr>
          <w:p>
            <w:pPr>
              <w:keepNext/>
              <w:jc w:val="center"/>
            </w:pPr>
            <w:r/>
            <w:r>
              <w:rPr>
                <w:rFonts w:ascii="Times New Roman" w:hAnsi="Times New Roman"/>
                <w:b w:val="0"/>
                <w:sz w:val="16"/>
              </w:rPr>
              <w:t>confirmed, transposition estimated correctly</w:t>
            </w:r>
          </w:p>
        </w:tc>
      </w:tr>
      <w:tr>
        <w:trPr>
          <w:cantSplit/>
        </w:trPr>
        <w:tc>
          <w:tcPr>
            <w:tcW w:type="dxa" w:w="2592"/>
          </w:tcPr>
          <w:p>
            <w:pPr>
              <w:keepNext/>
              <w:jc w:val="left"/>
            </w:pPr>
            <w:r/>
            <w:r>
              <w:rPr>
                <w:rFonts w:ascii="Times New Roman" w:hAnsi="Times New Roman"/>
                <w:b w:val="0"/>
                <w:sz w:val="16"/>
              </w:rPr>
              <w:t>Spliced 30 s span (synth.)</w:t>
            </w:r>
          </w:p>
        </w:tc>
        <w:tc>
          <w:tcPr>
            <w:tcW w:type="dxa" w:w="2592"/>
          </w:tcPr>
          <w:p>
            <w:pPr>
              <w:keepNext/>
              <w:jc w:val="center"/>
            </w:pPr>
            <w:r/>
            <w:r>
              <w:rPr>
                <w:rFonts w:ascii="Times New Roman" w:hAnsi="Times New Roman"/>
                <w:b w:val="0"/>
                <w:sz w:val="16"/>
              </w:rPr>
              <w:t>1,680</w:t>
            </w:r>
          </w:p>
        </w:tc>
        <w:tc>
          <w:tcPr>
            <w:tcW w:type="dxa" w:w="2592"/>
          </w:tcPr>
          <w:p>
            <w:pPr>
              <w:keepNext/>
              <w:jc w:val="center"/>
            </w:pPr>
            <w:r/>
            <w:r>
              <w:rPr>
                <w:rFonts w:ascii="Times New Roman" w:hAnsi="Times New Roman"/>
                <w:b w:val="0"/>
                <w:sz w:val="16"/>
              </w:rPr>
              <w:t>1,593</w:t>
            </w:r>
          </w:p>
        </w:tc>
        <w:tc>
          <w:tcPr>
            <w:tcW w:type="dxa" w:w="2592"/>
          </w:tcPr>
          <w:p>
            <w:pPr>
              <w:keepNext/>
              <w:jc w:val="center"/>
            </w:pPr>
            <w:r/>
            <w:r>
              <w:rPr>
                <w:rFonts w:ascii="Times New Roman" w:hAnsi="Times New Roman"/>
                <w:b w:val="0"/>
                <w:sz w:val="16"/>
              </w:rPr>
              <w:t>confirmed partial reuse</w:t>
            </w:r>
          </w:p>
        </w:tc>
      </w:tr>
      <w:tr>
        <w:trPr>
          <w:cantSplit/>
        </w:trPr>
        <w:tc>
          <w:tcPr>
            <w:tcW w:type="dxa" w:w="2592"/>
            <w:tcBorders>
              <w:bottom w:val="single" w:sz="12" w:color="000000"/>
            </w:tcBorders>
          </w:tcPr>
          <w:p>
            <w:pPr>
              <w:jc w:val="left"/>
            </w:pPr>
            <w:r/>
            <w:r>
              <w:rPr>
                <w:rFonts w:ascii="Times New Roman" w:hAnsi="Times New Roman"/>
                <w:b w:val="0"/>
                <w:sz w:val="16"/>
              </w:rPr>
              <w:t>Style-similar negative</w:t>
            </w:r>
          </w:p>
        </w:tc>
        <w:tc>
          <w:tcPr>
            <w:tcW w:type="dxa" w:w="2592"/>
            <w:tcBorders>
              <w:bottom w:val="single" w:sz="12" w:color="000000"/>
            </w:tcBorders>
          </w:tcPr>
          <w:p>
            <w:pPr>
              <w:jc w:val="center"/>
            </w:pPr>
            <w:r/>
            <w:r>
              <w:rPr>
                <w:rFonts w:ascii="Times New Roman" w:hAnsi="Times New Roman"/>
                <w:b w:val="0"/>
                <w:sz w:val="16"/>
              </w:rPr>
              <w:t>31</w:t>
            </w:r>
          </w:p>
        </w:tc>
        <w:tc>
          <w:tcPr>
            <w:tcW w:type="dxa" w:w="2592"/>
            <w:tcBorders>
              <w:bottom w:val="single" w:sz="12" w:color="000000"/>
            </w:tcBorders>
          </w:tcPr>
          <w:p>
            <w:pPr>
              <w:jc w:val="center"/>
            </w:pPr>
            <w:r/>
            <w:r>
              <w:rPr>
                <w:rFonts w:ascii="Times New Roman" w:hAnsi="Times New Roman"/>
                <w:b w:val="0"/>
                <w:sz w:val="16"/>
              </w:rPr>
              <w:t>1</w:t>
            </w:r>
          </w:p>
        </w:tc>
        <w:tc>
          <w:tcPr>
            <w:tcW w:type="dxa" w:w="2592"/>
            <w:tcBorders>
              <w:bottom w:val="single" w:sz="12" w:color="000000"/>
            </w:tcBorders>
          </w:tcPr>
          <w:p>
            <w:pPr>
              <w:jc w:val="center"/>
            </w:pPr>
            <w:r/>
            <w:r>
              <w:rPr>
                <w:rFonts w:ascii="Times New Roman" w:hAnsi="Times New Roman"/>
                <w:b w:val="0"/>
                <w:sz w:val="16"/>
              </w:rPr>
              <w:t>rejected</w:t>
            </w:r>
          </w:p>
        </w:tc>
      </w:tr>
    </w:tbl>
    <w:p>
      <w:pPr>
        <w:spacing w:after="40"/>
      </w:pPr>
    </w:p>
    <w:p>
      <w:pPr>
        <w:pStyle w:val="Heading2"/>
      </w:pPr>
      <w:r>
        <w:t>C. Full-corpus duplicate census</w:t>
      </w:r>
    </w:p>
    <w:p>
      <w:pPr>
        <w:spacing w:after="0"/>
        <w:ind w:firstLine="204"/>
        <w:jc w:val="both"/>
      </w:pPr>
      <w:r>
        <w:t xml:space="preserve">Scaling the case-study protocol to the full corpus (174,300 pieces) turns the candidate flood from anecdote into measurement.  Every eighth piece serves as a query against the whole corpus (20,801 non-trivial queries per channel; all counts extrapolate 8×), under the same dual exact/interval-sketch configuration (min-evidence 40, k=0).  Fig. 14(a) shows the candidate population by relative-score band.  At the absolute ≥40-evidence floor the two channels report 10.0B (exact) and 16.6B (sketch) candidate pairs; at the case-study operating point (relative ≥0.35) the total is 5.63B. </w:t>
      </w:r>
    </w:p>
    <w:p>
      <w:pPr>
        <w:spacing w:after="0"/>
        <w:ind w:firstLine="204"/>
        <w:jc w:val="both"/>
      </w:pPr>
      <w:r>
        <w:t>A self-screen of the whole corpus at the observed per-query cost (median 27 ms exact, 56 ms sketch, p95 74/122 ms; one core) completes in roughly four hours.</w:t>
      </w:r>
    </w:p>
    <w:p>
      <w:pPr>
        <w:spacing w:after="0"/>
        <w:ind w:firstLine="204"/>
        <w:jc w:val="both"/>
      </w:pPr>
      <w:r>
        <w:t xml:space="preserve">How much of this flood is real?  We stored the audit-grade subset—exact pairs with relative score ≥0.70 (284,035 after cross-channel dedup) and sketch pairs with relative score ≥0.90 (525,756)—and adjudicated a stratified random sample (40 pairs per stratum) with the Layer-2 chain criterion, run in both directions with transposition fallback (Table XIII, Fig. 14(b)). </w:t>
      </w:r>
    </w:p>
    <w:p>
      <w:pPr>
        <w:spacing w:after="0"/>
        <w:ind w:firstLine="204"/>
        <w:jc w:val="both"/>
      </w:pPr>
      <w:r>
        <w:t>The exact channel is a high-precision instrument at the top of its range: 90% of exact pairs with relative score ≥0.90 are confirmed copies (Wilson 95% CI [77, 96]%), and even its 0.70–0.90 band confirms 48%.  The interval-sketch channel stays recall-oriented: only 40% of its ≥0.90 candidates confirm, so sketch hits should be treated as leads for confirmation, not verdicts—exactly the division of labor the two-layer architecture encodes.</w:t>
      </w:r>
    </w:p>
    <w:p>
      <w:pPr>
        <w:spacing w:after="0"/>
        <w:ind w:firstLine="204"/>
        <w:jc w:val="both"/>
      </w:pPr>
      <w:r>
        <w:t>Weighting each stratum by its precision, Lakh-full contains on the order of 107k verbatim-level duplicate pairs (exact ≥0.90), 1.0M further pairs in the exact 0.70–0.90 band, and 1.7M transposition/arrangement-level pairs reachable through the sketch channel—each a case a publisher would have to adjudicate, and each receiving note-level alignment evidence from the confirmation layer.  These estimates inherit the precision and recall of the chain criterion measured in this section itself; they are survey estimates from a 1/8 sample, not enumerations.</w:t>
      </w:r>
    </w:p>
    <w:p>
      <w:p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keepNext/>
        <w:jc w:val="center"/>
      </w:pPr>
      <w:drawing xmlns:a="http://schemas.openxmlformats.org/drawingml/2006/main" xmlns:pic="http://schemas.openxmlformats.org/drawingml/2006/picture">
        <wp:inline distT="0" distB="0" distL="0" distR="0">
          <wp:extent cx="4752000" cy="1856053"/>
          <wp:effectExtent l="0" t="0" r="0" b="0"/>
          <wp:docPr id="114" name="fig8_census.emf"/>
          <wp:cNvGraphicFramePr/>
          <a:graphic>
            <a:graphicData uri="http://schemas.openxmlformats.org/drawingml/2006/picture">
              <pic:pic>
                <pic:nvPicPr>
                  <pic:cNvPr id="0" name="fig8_census.emf"/>
                  <pic:cNvPicPr/>
                </pic:nvPicPr>
                <pic:blipFill>
                  <a:blip r:embed="rId46"/>
                  <a:stretch>
                    <a:fillRect/>
                  </a:stretch>
                </pic:blipFill>
                <pic:spPr>
                  <a:xfrm>
                    <a:off x="0" y="0"/>
                    <a:ext cx="4752000" cy="1856053"/>
                  </a:xfrm>
                  <a:prstGeom prst="rect">
                    <a:avLst/>
                  </a:prstGeom>
                </pic:spPr>
              </pic:pic>
            </a:graphicData>
          </a:graphic>
        </wp:inline>
      </w:drawing>
    </w:p>
    <w:p>
      <w:pPr>
        <w:pStyle w:val="FigureCaption"/>
      </w:pPr>
      <w:r>
        <w:rPr>
          <w:sz w:val="19"/>
        </w:rPr>
        <w:t>Fig. 14. Full-corpus census (174,300 pieces, stride-8 survey extrapolated ×8).  (a) Candidate-pair population by relative-score band and channel (log scale).  (b) Confirmed-copy precision of the stored audit-grade strata, Wilson 95% CI; n=40 per stratum.</w:t>
      </w:r>
    </w:p>
    <w:p>
      <w:pPr>
        <w:sectPr w:rsidR="007E713A" w:rsidSect="00002FAF">
          <w:headerReference w:type="default" r:id="rId9"/>
          <w:type w:val="continuous"/>
          <w:pgSz w:w="12240" w:h="15840"/>
          <w:pgMar w:top="1008" w:right="936" w:bottom="1008" w:left="936" w:header="432" w:footer="432" w:gutter="0"/>
          <w:cols w:space="288"/>
        </w:sectPr>
      </w:pPr>
    </w:p>
    <w:p>
      <w:pPr>
        <w:pStyle w:val="TableTitle"/>
        <w:keepNext/>
      </w:pPr>
      <w:r>
        <w:t>TABLE XIII.</w:t>
      </w:r>
    </w:p>
    <w:p>
      <w:pPr>
        <w:pStyle w:val="TableTitle"/>
        <w:keepNext/>
      </w:pPr>
      <w:r>
        <w:t>Precision audit of the full-corpus screen: stratified sample of 40 pairs per stratum, adjudicated by the Layer-2 chain criterion (both directions, transposition-aware); confirmed-copy counts extrapolate the stride-8 survey.</w:t>
      </w:r>
    </w:p>
    <w:tbl>
      <w:tblPr>
        <w:tblW w:type="auto" w:w="0"/>
        <w:jc w:val="center"/>
        <w:tblLayout w:type="autofit"/>
        <w:tblLook w:firstColumn="1" w:firstRow="1" w:lastColumn="0" w:lastRow="0" w:noHBand="0" w:noVBand="1" w:val="04A0"/>
      </w:tblPr>
      <w:tblGrid>
        <w:gridCol w:w="2074"/>
        <w:gridCol w:w="2074"/>
        <w:gridCol w:w="2074"/>
        <w:gridCol w:w="2074"/>
        <w:gridCol w:w="2074"/>
      </w:tblGrid>
      <w:tr>
        <w:trPr>
          <w:cantSplit/>
        </w:trPr>
        <w:tc>
          <w:tcPr>
            <w:tcW w:type="dxa" w:w="2074"/>
            <w:tcBorders>
              <w:top w:val="single" w:sz="12" w:color="000000"/>
              <w:bottom w:val="single" w:sz="6" w:color="000000"/>
            </w:tcBorders>
          </w:tcPr>
          <w:p>
            <w:pPr>
              <w:keepNext/>
              <w:jc w:val="left"/>
            </w:pPr>
            <w:r/>
            <w:r>
              <w:rPr>
                <w:rFonts w:ascii="Times New Roman" w:hAnsi="Times New Roman"/>
                <w:b/>
                <w:sz w:val="16"/>
              </w:rPr>
              <w:t>Channel</w:t>
            </w:r>
          </w:p>
        </w:tc>
        <w:tc>
          <w:tcPr>
            <w:tcW w:type="dxa" w:w="2074"/>
            <w:tcBorders>
              <w:top w:val="single" w:sz="12" w:color="000000"/>
              <w:bottom w:val="single" w:sz="6" w:color="000000"/>
            </w:tcBorders>
          </w:tcPr>
          <w:p>
            <w:pPr>
              <w:keepNext/>
              <w:jc w:val="center"/>
            </w:pPr>
            <w:r/>
            <w:r>
              <w:rPr>
                <w:rFonts w:ascii="Times New Roman" w:hAnsi="Times New Roman"/>
                <w:b/>
                <w:sz w:val="16"/>
              </w:rPr>
              <w:t>Relative score</w:t>
            </w:r>
          </w:p>
        </w:tc>
        <w:tc>
          <w:tcPr>
            <w:tcW w:type="dxa" w:w="2074"/>
            <w:tcBorders>
              <w:top w:val="single" w:sz="12" w:color="000000"/>
              <w:bottom w:val="single" w:sz="6" w:color="000000"/>
            </w:tcBorders>
          </w:tcPr>
          <w:p>
            <w:pPr>
              <w:keepNext/>
              <w:jc w:val="center"/>
            </w:pPr>
            <w:r/>
            <w:r>
              <w:rPr>
                <w:rFonts w:ascii="Times New Roman" w:hAnsi="Times New Roman"/>
                <w:b/>
                <w:sz w:val="16"/>
              </w:rPr>
              <w:t>Stored pairs</w:t>
            </w:r>
          </w:p>
        </w:tc>
        <w:tc>
          <w:tcPr>
            <w:tcW w:type="dxa" w:w="2074"/>
            <w:tcBorders>
              <w:top w:val="single" w:sz="12" w:color="000000"/>
              <w:bottom w:val="single" w:sz="6" w:color="000000"/>
            </w:tcBorders>
          </w:tcPr>
          <w:p>
            <w:pPr>
              <w:keepNext/>
              <w:jc w:val="center"/>
            </w:pPr>
            <w:r/>
            <w:r>
              <w:rPr>
                <w:rFonts w:ascii="Times New Roman" w:hAnsi="Times New Roman"/>
                <w:b/>
                <w:sz w:val="16"/>
              </w:rPr>
              <w:t>Precision % [95% CI]</w:t>
            </w:r>
          </w:p>
        </w:tc>
        <w:tc>
          <w:tcPr>
            <w:tcW w:type="dxa" w:w="2074"/>
            <w:tcBorders>
              <w:top w:val="single" w:sz="12" w:color="000000"/>
              <w:bottom w:val="single" w:sz="6" w:color="000000"/>
            </w:tcBorders>
          </w:tcPr>
          <w:p>
            <w:pPr>
              <w:keepNext/>
              <w:jc w:val="center"/>
            </w:pPr>
            <w:r/>
            <w:r>
              <w:rPr>
                <w:rFonts w:ascii="Times New Roman" w:hAnsi="Times New Roman"/>
                <w:b/>
                <w:sz w:val="16"/>
              </w:rPr>
              <w:t>Est. confirmed (corpus)</w:t>
            </w:r>
          </w:p>
        </w:tc>
      </w:tr>
      <w:tr>
        <w:trPr>
          <w:cantSplit/>
        </w:trPr>
        <w:tc>
          <w:tcPr>
            <w:tcW w:type="dxa" w:w="2074"/>
          </w:tcPr>
          <w:p>
            <w:pPr>
              <w:keepNext/>
              <w:jc w:val="left"/>
            </w:pPr>
            <w:r/>
            <w:r>
              <w:rPr>
                <w:rFonts w:ascii="Times New Roman" w:hAnsi="Times New Roman"/>
                <w:b w:val="0"/>
                <w:sz w:val="16"/>
              </w:rPr>
              <w:t>exact</w:t>
            </w:r>
          </w:p>
        </w:tc>
        <w:tc>
          <w:tcPr>
            <w:tcW w:type="dxa" w:w="2074"/>
          </w:tcPr>
          <w:p>
            <w:pPr>
              <w:keepNext/>
              <w:jc w:val="center"/>
            </w:pPr>
            <w:r/>
            <w:r>
              <w:rPr>
                <w:rFonts w:ascii="Times New Roman" w:hAnsi="Times New Roman"/>
                <w:b w:val="0"/>
                <w:sz w:val="16"/>
              </w:rPr>
              <w:t>0.70–0.90</w:t>
            </w:r>
          </w:p>
        </w:tc>
        <w:tc>
          <w:tcPr>
            <w:tcW w:type="dxa" w:w="2074"/>
          </w:tcPr>
          <w:p>
            <w:pPr>
              <w:keepNext/>
              <w:jc w:val="center"/>
            </w:pPr>
            <w:r/>
            <w:r>
              <w:rPr>
                <w:rFonts w:ascii="Times New Roman" w:hAnsi="Times New Roman"/>
                <w:b w:val="0"/>
                <w:sz w:val="16"/>
              </w:rPr>
              <w:t>269,109</w:t>
            </w:r>
          </w:p>
        </w:tc>
        <w:tc>
          <w:tcPr>
            <w:tcW w:type="dxa" w:w="2074"/>
          </w:tcPr>
          <w:p>
            <w:pPr>
              <w:keepNext/>
              <w:jc w:val="center"/>
            </w:pPr>
            <w:r/>
            <w:r>
              <w:rPr>
                <w:rFonts w:ascii="Times New Roman" w:hAnsi="Times New Roman"/>
                <w:b w:val="0"/>
                <w:sz w:val="16"/>
              </w:rPr>
              <w:t>47.5 [32.9, 62.5]</w:t>
            </w:r>
          </w:p>
        </w:tc>
        <w:tc>
          <w:tcPr>
            <w:tcW w:type="dxa" w:w="2074"/>
          </w:tcPr>
          <w:p>
            <w:pPr>
              <w:keepNext/>
              <w:jc w:val="center"/>
            </w:pPr>
            <w:r/>
            <w:r>
              <w:rPr>
                <w:rFonts w:ascii="Times New Roman" w:hAnsi="Times New Roman"/>
                <w:b w:val="0"/>
                <w:sz w:val="16"/>
              </w:rPr>
              <w:t>1.02M</w:t>
            </w:r>
          </w:p>
        </w:tc>
      </w:tr>
      <w:tr>
        <w:trPr>
          <w:cantSplit/>
        </w:trPr>
        <w:tc>
          <w:tcPr>
            <w:tcW w:type="dxa" w:w="2074"/>
          </w:tcPr>
          <w:p>
            <w:pPr>
              <w:keepNext/>
              <w:jc w:val="left"/>
            </w:pPr>
            <w:r/>
            <w:r>
              <w:rPr>
                <w:rFonts w:ascii="Times New Roman" w:hAnsi="Times New Roman"/>
                <w:b w:val="0"/>
                <w:sz w:val="16"/>
              </w:rPr>
              <w:t>exact</w:t>
            </w:r>
          </w:p>
        </w:tc>
        <w:tc>
          <w:tcPr>
            <w:tcW w:type="dxa" w:w="2074"/>
          </w:tcPr>
          <w:p>
            <w:pPr>
              <w:keepNext/>
              <w:jc w:val="center"/>
            </w:pPr>
            <w:r/>
            <w:r>
              <w:rPr>
                <w:rFonts w:ascii="Times New Roman" w:hAnsi="Times New Roman"/>
                <w:b w:val="0"/>
                <w:sz w:val="16"/>
              </w:rPr>
              <w:t>≥0.90</w:t>
            </w:r>
          </w:p>
        </w:tc>
        <w:tc>
          <w:tcPr>
            <w:tcW w:type="dxa" w:w="2074"/>
          </w:tcPr>
          <w:p>
            <w:pPr>
              <w:keepNext/>
              <w:jc w:val="center"/>
            </w:pPr>
            <w:r/>
            <w:r>
              <w:rPr>
                <w:rFonts w:ascii="Times New Roman" w:hAnsi="Times New Roman"/>
                <w:b w:val="0"/>
                <w:sz w:val="16"/>
              </w:rPr>
              <w:t>14,926</w:t>
            </w:r>
          </w:p>
        </w:tc>
        <w:tc>
          <w:tcPr>
            <w:tcW w:type="dxa" w:w="2074"/>
          </w:tcPr>
          <w:p>
            <w:pPr>
              <w:keepNext/>
              <w:jc w:val="center"/>
            </w:pPr>
            <w:r/>
            <w:r>
              <w:rPr>
                <w:rFonts w:ascii="Times New Roman" w:hAnsi="Times New Roman"/>
                <w:b w:val="0"/>
                <w:sz w:val="16"/>
              </w:rPr>
              <w:t>90.0 [76.9, 96.0]</w:t>
            </w:r>
          </w:p>
        </w:tc>
        <w:tc>
          <w:tcPr>
            <w:tcW w:type="dxa" w:w="2074"/>
          </w:tcPr>
          <w:p>
            <w:pPr>
              <w:keepNext/>
              <w:jc w:val="center"/>
            </w:pPr>
            <w:r/>
            <w:r>
              <w:rPr>
                <w:rFonts w:ascii="Times New Roman" w:hAnsi="Times New Roman"/>
                <w:b w:val="0"/>
                <w:sz w:val="16"/>
              </w:rPr>
              <w:t>107k</w:t>
            </w:r>
          </w:p>
        </w:tc>
      </w:tr>
      <w:tr>
        <w:trPr>
          <w:cantSplit/>
        </w:trPr>
        <w:tc>
          <w:tcPr>
            <w:tcW w:type="dxa" w:w="2074"/>
            <w:tcBorders>
              <w:bottom w:val="single" w:sz="12" w:color="000000"/>
            </w:tcBorders>
          </w:tcPr>
          <w:p>
            <w:pPr>
              <w:jc w:val="left"/>
            </w:pPr>
            <w:r/>
            <w:r>
              <w:rPr>
                <w:rFonts w:ascii="Times New Roman" w:hAnsi="Times New Roman"/>
                <w:b w:val="0"/>
                <w:sz w:val="16"/>
              </w:rPr>
              <w:t>sketch</w:t>
            </w:r>
          </w:p>
        </w:tc>
        <w:tc>
          <w:tcPr>
            <w:tcW w:type="dxa" w:w="2074"/>
            <w:tcBorders>
              <w:bottom w:val="single" w:sz="12" w:color="000000"/>
            </w:tcBorders>
          </w:tcPr>
          <w:p>
            <w:pPr>
              <w:jc w:val="center"/>
            </w:pPr>
            <w:r/>
            <w:r>
              <w:rPr>
                <w:rFonts w:ascii="Times New Roman" w:hAnsi="Times New Roman"/>
                <w:b w:val="0"/>
                <w:sz w:val="16"/>
              </w:rPr>
              <w:t>≥0.90</w:t>
            </w:r>
          </w:p>
        </w:tc>
        <w:tc>
          <w:tcPr>
            <w:tcW w:type="dxa" w:w="2074"/>
            <w:tcBorders>
              <w:bottom w:val="single" w:sz="12" w:color="000000"/>
            </w:tcBorders>
          </w:tcPr>
          <w:p>
            <w:pPr>
              <w:jc w:val="center"/>
            </w:pPr>
            <w:r/>
            <w:r>
              <w:rPr>
                <w:rFonts w:ascii="Times New Roman" w:hAnsi="Times New Roman"/>
                <w:b w:val="0"/>
                <w:sz w:val="16"/>
              </w:rPr>
              <w:t>525,756</w:t>
            </w:r>
          </w:p>
        </w:tc>
        <w:tc>
          <w:tcPr>
            <w:tcW w:type="dxa" w:w="2074"/>
            <w:tcBorders>
              <w:bottom w:val="single" w:sz="12" w:color="000000"/>
            </w:tcBorders>
          </w:tcPr>
          <w:p>
            <w:pPr>
              <w:jc w:val="center"/>
            </w:pPr>
            <w:r/>
            <w:r>
              <w:rPr>
                <w:rFonts w:ascii="Times New Roman" w:hAnsi="Times New Roman"/>
                <w:b w:val="0"/>
                <w:sz w:val="16"/>
              </w:rPr>
              <w:t>40.0 [26.3, 55.4]</w:t>
            </w:r>
          </w:p>
        </w:tc>
        <w:tc>
          <w:tcPr>
            <w:tcW w:type="dxa" w:w="2074"/>
            <w:tcBorders>
              <w:bottom w:val="single" w:sz="12" w:color="000000"/>
            </w:tcBorders>
          </w:tcPr>
          <w:p>
            <w:pPr>
              <w:jc w:val="center"/>
            </w:pPr>
            <w:r/>
            <w:r>
              <w:rPr>
                <w:rFonts w:ascii="Times New Roman" w:hAnsi="Times New Roman"/>
                <w:b w:val="0"/>
                <w:sz w:val="16"/>
              </w:rPr>
              <w:t>1.68M</w:t>
            </w:r>
          </w:p>
        </w:tc>
      </w:tr>
    </w:tbl>
    <w:p>
      <w:pPr>
        <w:spacing w:after="40"/>
      </w:pPr>
    </w:p>
    <w:p>
      <w:pPr>
        <w:pStyle w:val="Heading2"/>
      </w:pPr>
      <w:r>
        <w:t>D. Memorization audit with a trained generator</w:t>
      </w:r>
    </w:p>
    <w:p>
      <w:pPr>
        <w:spacing w:after="0"/>
        <w:ind w:firstLine="204"/>
        <w:jc w:val="both"/>
      </w:pPr>
      <w:r>
        <w:t xml:space="preserve">E6.2 emulates a generative model with an n-gram/copy operator; we now replace the emulator with an actual trained one.  A 934,824-parameter decoder-only transformer (520 epochs on 250 Lakh pieces, production tokenization) reaches train loss 3.5 nats against 7.0 held-out—a 3.5-nat generalization gap, i.e., genuine overfitting.  Per-piece held likelihood separates trained from never-trained pieces almost perfectly (3.5 vs. 6.9 nats mean, AUC = 0.94), and the most-memorized pieces sit at 0.31 nats—the model demonstrably knows them. </w:t>
      </w:r>
    </w:p>
    <w:p>
      <w:pPr>
        <w:spacing w:after="0"/>
        <w:ind w:firstLine="204"/>
        <w:jc w:val="both"/>
      </w:pPr>
      <w:r>
        <w:t>Yet open-ended sampling does not regurgitate them: across 25 calibration probes seeded from pieces spanning the full memorization range, position-wise pitch agreement with the true continuation averages 4% (max 12%) and 4-gram overlap peaks at 10% (Fig. 15(b)).  Sampling at temperature 0.8 diverges from memorized content almost immediately.</w:t>
      </w:r>
    </w:p>
    <w:p>
      <w:pPr>
        <w:spacing w:after="0"/>
        <w:ind w:firstLine="204"/>
        <w:jc w:val="both"/>
      </w:pPr>
      <w:r>
        <w:t xml:space="preserve">The production cascade agrees with this reading (Table XIV): 60 continuations—20 seeded from the most-memorized pieces, 20 from never-trained controls, 20 from random trained pieces—confirm at 40% / 40% / 35% with source attribution near chance in every group, the same style-level confirmation band as the copy-free (lambda = 0) cells of Table XI. </w:t>
      </w:r>
    </w:p>
    <w:p>
      <w:pPr>
        <w:spacing w:after="0"/>
        <w:ind w:firstLine="204"/>
        <w:jc w:val="both"/>
      </w:pPr>
      <w:r>
        <w:t>In other words, a real overfit transformer at this scale behaves, from the detector's viewpoint, like the lambda = 0 corner of the emulated spectrum—and unlike lambda = 1, which confirms and attributes at 98–100%.  The conclusion cuts both ways: extractive regurgitation, the family that generation-side audits can exhibit to a copy detector, is captured by the n-gram/copy emulation; but memorization that sampling never surfaces—the 0.3-nat pieces—is invisible to output inspection of any kind, and only likelihood ranking exposes it.  Copy detection and memorization auditing are complementary instruments, not substitutes.</w:t>
      </w:r>
    </w:p>
    <w:p>
      <w:p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keepNext/>
        <w:jc w:val="center"/>
      </w:pPr>
      <w:drawing xmlns:a="http://schemas.openxmlformats.org/drawingml/2006/main" xmlns:pic="http://schemas.openxmlformats.org/drawingml/2006/picture">
        <wp:inline distT="0" distB="0" distL="0" distR="0">
          <wp:extent cx="6552000" cy="1840748"/>
          <wp:effectExtent l="0" t="0" r="0" b="0"/>
          <wp:docPr id="115" name="fig_e21_memorization.emf"/>
          <wp:cNvGraphicFramePr/>
          <a:graphic>
            <a:graphicData uri="http://schemas.openxmlformats.org/drawingml/2006/picture">
              <pic:pic>
                <pic:nvPicPr>
                  <pic:cNvPr id="0" name="fig_e21_memorization.emf"/>
                  <pic:cNvPicPr/>
                </pic:nvPicPr>
                <pic:blipFill>
                  <a:blip r:embed="rId47"/>
                  <a:stretch>
                    <a:fillRect/>
                  </a:stretch>
                </pic:blipFill>
                <pic:spPr>
                  <a:xfrm>
                    <a:off x="0" y="0"/>
                    <a:ext cx="6552000" cy="1840748"/>
                  </a:xfrm>
                  <a:prstGeom prst="rect">
                    <a:avLst/>
                  </a:prstGeom>
                </pic:spPr>
              </pic:pic>
            </a:graphicData>
          </a:graphic>
        </wp:inline>
      </w:drawing>
    </w:p>
    <w:p>
      <w:pPr>
        <w:pStyle w:val="FigureCaption"/>
      </w:pPr>
      <w:r>
        <w:rPr>
          <w:sz w:val="19"/>
        </w:rPr>
        <w:t>Fig. 15. Trained-generator memorization audit.  (a) Training and held-out loss over 520 epochs; the gap is the memorization.  (b) Sampling calibration: position-wise pitch agreement of sampled continuations versus per-piece held likelihood (memorization); even the most memorized pieces are not regurgitated.  (c) Cascade confirmation and source attribution for the three sampling groups against the λ = 0 / λ = 1 anchors of Table XI.</w:t>
      </w:r>
    </w:p>
    <w:p>
      <w:pPr>
        <w:sectPr w:rsidR="007E713A" w:rsidSect="00002FAF">
          <w:headerReference w:type="default" r:id="rId9"/>
          <w:type w:val="continuous"/>
          <w:pgSz w:w="12240" w:h="15840"/>
          <w:pgMar w:top="1008" w:right="936" w:bottom="1008" w:left="936" w:header="432" w:footer="432" w:gutter="0"/>
          <w:cols w:space="288"/>
        </w:sectPr>
      </w:pPr>
    </w:p>
    <w:p>
      <w:pPr>
        <w:pStyle w:val="TableTitle"/>
        <w:keepNext/>
      </w:pPr>
      <w:r>
        <w:t>TABLE XIV.</w:t>
      </w:r>
    </w:p>
    <w:p>
      <w:pPr>
        <w:pStyle w:val="TableTitle"/>
        <w:keepNext/>
      </w:pPr>
      <w:r>
        <w:t>Trained-generator audit against the E6.2 emulation anchors: the overfit transformer confirms in the lambda = 0 band and attributes no better than chance, while per-piece likelihood (AUC = 0.94) exposes the memorization that sampling conceals.</w:t>
      </w:r>
    </w:p>
    <w:tbl>
      <w:tblPr>
        <w:tblW w:type="auto" w:w="0"/>
        <w:jc w:val="center"/>
        <w:tblLayout w:type="autofit"/>
        <w:tblLook w:firstColumn="1" w:firstRow="1" w:lastColumn="0" w:lastRow="0" w:noHBand="0" w:noVBand="1" w:val="04A0"/>
      </w:tblPr>
      <w:tblGrid>
        <w:gridCol w:w="1728"/>
        <w:gridCol w:w="1728"/>
        <w:gridCol w:w="1728"/>
        <w:gridCol w:w="1728"/>
        <w:gridCol w:w="1728"/>
        <w:gridCol w:w="1728"/>
      </w:tblGrid>
      <w:tr>
        <w:trPr>
          <w:cantSplit/>
        </w:trPr>
        <w:tc>
          <w:tcPr>
            <w:tcW w:type="dxa" w:w="1728"/>
            <w:tcBorders>
              <w:top w:val="single" w:sz="12" w:color="000000"/>
              <w:bottom w:val="single" w:sz="6" w:color="000000"/>
            </w:tcBorders>
          </w:tcPr>
          <w:p>
            <w:pPr>
              <w:keepNext/>
              <w:jc w:val="left"/>
            </w:pPr>
            <w:r/>
            <w:r>
              <w:rPr>
                <w:rFonts w:ascii="Times New Roman" w:hAnsi="Times New Roman"/>
                <w:b/>
                <w:sz w:val="16"/>
              </w:rPr>
              <w:t>Generator</w:t>
            </w:r>
          </w:p>
        </w:tc>
        <w:tc>
          <w:tcPr>
            <w:tcW w:type="dxa" w:w="1728"/>
            <w:tcBorders>
              <w:top w:val="single" w:sz="12" w:color="000000"/>
              <w:bottom w:val="single" w:sz="6" w:color="000000"/>
            </w:tcBorders>
          </w:tcPr>
          <w:p>
            <w:pPr>
              <w:keepNext/>
              <w:jc w:val="center"/>
            </w:pPr>
            <w:r/>
            <w:r>
              <w:rPr>
                <w:rFonts w:ascii="Times New Roman" w:hAnsi="Times New Roman"/>
                <w:b/>
                <w:sz w:val="16"/>
              </w:rPr>
              <w:t>Group</w:t>
            </w:r>
          </w:p>
        </w:tc>
        <w:tc>
          <w:tcPr>
            <w:tcW w:type="dxa" w:w="1728"/>
            <w:tcBorders>
              <w:top w:val="single" w:sz="12" w:color="000000"/>
              <w:bottom w:val="single" w:sz="6" w:color="000000"/>
            </w:tcBorders>
          </w:tcPr>
          <w:p>
            <w:pPr>
              <w:keepNext/>
              <w:jc w:val="center"/>
            </w:pPr>
            <w:r/>
            <w:r>
              <w:rPr>
                <w:rFonts w:ascii="Times New Roman" w:hAnsi="Times New Roman"/>
                <w:b/>
                <w:sz w:val="16"/>
              </w:rPr>
              <w:t>n</w:t>
            </w:r>
          </w:p>
        </w:tc>
        <w:tc>
          <w:tcPr>
            <w:tcW w:type="dxa" w:w="1728"/>
            <w:tcBorders>
              <w:top w:val="single" w:sz="12" w:color="000000"/>
              <w:bottom w:val="single" w:sz="6" w:color="000000"/>
            </w:tcBorders>
          </w:tcPr>
          <w:p>
            <w:pPr>
              <w:keepNext/>
              <w:jc w:val="center"/>
            </w:pPr>
            <w:r/>
            <w:r>
              <w:rPr>
                <w:rFonts w:ascii="Times New Roman" w:hAnsi="Times New Roman"/>
                <w:b/>
                <w:sz w:val="16"/>
              </w:rPr>
              <w:t>Confirmed %</w:t>
            </w:r>
          </w:p>
        </w:tc>
        <w:tc>
          <w:tcPr>
            <w:tcW w:type="dxa" w:w="1728"/>
            <w:tcBorders>
              <w:top w:val="single" w:sz="12" w:color="000000"/>
              <w:bottom w:val="single" w:sz="6" w:color="000000"/>
            </w:tcBorders>
          </w:tcPr>
          <w:p>
            <w:pPr>
              <w:keepNext/>
              <w:jc w:val="center"/>
            </w:pPr>
            <w:r/>
            <w:r>
              <w:rPr>
                <w:rFonts w:ascii="Times New Roman" w:hAnsi="Times New Roman"/>
                <w:b/>
                <w:sz w:val="16"/>
              </w:rPr>
              <w:t>Source-attributed %</w:t>
            </w:r>
          </w:p>
        </w:tc>
        <w:tc>
          <w:tcPr>
            <w:tcW w:type="dxa" w:w="1728"/>
            <w:tcBorders>
              <w:top w:val="single" w:sz="12" w:color="000000"/>
              <w:bottom w:val="single" w:sz="6" w:color="000000"/>
            </w:tcBorders>
          </w:tcPr>
          <w:p>
            <w:pPr>
              <w:keepNext/>
              <w:jc w:val="center"/>
            </w:pPr>
            <w:r/>
            <w:r>
              <w:rPr>
                <w:rFonts w:ascii="Times New Roman" w:hAnsi="Times New Roman"/>
                <w:b/>
                <w:sz w:val="16"/>
              </w:rPr>
              <w:t>Source in top-C %</w:t>
            </w:r>
          </w:p>
        </w:tc>
      </w:tr>
      <w:tr>
        <w:trPr>
          <w:cantSplit/>
        </w:trPr>
        <w:tc>
          <w:tcPr>
            <w:tcW w:type="dxa" w:w="1728"/>
          </w:tcPr>
          <w:p>
            <w:pPr>
              <w:keepNext/>
              <w:jc w:val="left"/>
            </w:pPr>
            <w:r/>
            <w:r>
              <w:rPr>
                <w:rFonts w:ascii="Times New Roman" w:hAnsi="Times New Roman"/>
                <w:b w:val="0"/>
                <w:sz w:val="16"/>
              </w:rPr>
              <w:t>n-gram/copy (E6.2)</w:t>
            </w:r>
          </w:p>
        </w:tc>
        <w:tc>
          <w:tcPr>
            <w:tcW w:type="dxa" w:w="1728"/>
          </w:tcPr>
          <w:p>
            <w:pPr>
              <w:keepNext/>
              <w:jc w:val="center"/>
            </w:pPr>
            <w:r/>
            <w:r>
              <w:rPr>
                <w:rFonts w:ascii="Times New Roman" w:hAnsi="Times New Roman"/>
                <w:b w:val="0"/>
                <w:sz w:val="16"/>
              </w:rPr>
              <w:t>m=8, lambda=0</w:t>
            </w:r>
          </w:p>
        </w:tc>
        <w:tc>
          <w:tcPr>
            <w:tcW w:type="dxa" w:w="1728"/>
          </w:tcPr>
          <w:p>
            <w:pPr>
              <w:keepNext/>
              <w:jc w:val="center"/>
            </w:pPr>
            <w:r/>
            <w:r>
              <w:rPr>
                <w:rFonts w:ascii="Times New Roman" w:hAnsi="Times New Roman"/>
                <w:b w:val="0"/>
                <w:sz w:val="16"/>
              </w:rPr>
              <w:t>50</w:t>
            </w:r>
          </w:p>
        </w:tc>
        <w:tc>
          <w:tcPr>
            <w:tcW w:type="dxa" w:w="1728"/>
          </w:tcPr>
          <w:p>
            <w:pPr>
              <w:keepNext/>
              <w:jc w:val="center"/>
            </w:pPr>
            <w:r/>
            <w:r>
              <w:rPr>
                <w:rFonts w:ascii="Times New Roman" w:hAnsi="Times New Roman"/>
                <w:b w:val="0"/>
                <w:sz w:val="16"/>
              </w:rPr>
              <w:t>32</w:t>
            </w:r>
          </w:p>
        </w:tc>
        <w:tc>
          <w:tcPr>
            <w:tcW w:type="dxa" w:w="1728"/>
          </w:tcPr>
          <w:p>
            <w:pPr>
              <w:keepNext/>
              <w:jc w:val="center"/>
            </w:pPr>
            <w:r/>
            <w:r>
              <w:rPr>
                <w:rFonts w:ascii="Times New Roman" w:hAnsi="Times New Roman"/>
                <w:b w:val="0"/>
                <w:sz w:val="16"/>
              </w:rPr>
              <w:t>2</w:t>
            </w:r>
          </w:p>
        </w:tc>
        <w:tc>
          <w:tcPr>
            <w:tcW w:type="dxa" w:w="1728"/>
          </w:tcPr>
          <w:p>
            <w:pPr>
              <w:keepNext/>
              <w:jc w:val="center"/>
            </w:pPr>
            <w:r/>
            <w:r>
              <w:rPr>
                <w:rFonts w:ascii="Times New Roman" w:hAnsi="Times New Roman"/>
                <w:b w:val="0"/>
                <w:sz w:val="16"/>
              </w:rPr>
              <w:t>–</w:t>
            </w:r>
          </w:p>
        </w:tc>
      </w:tr>
      <w:tr>
        <w:trPr>
          <w:cantSplit/>
        </w:trPr>
        <w:tc>
          <w:tcPr>
            <w:tcW w:type="dxa" w:w="1728"/>
          </w:tcPr>
          <w:p>
            <w:pPr>
              <w:keepNext/>
              <w:jc w:val="left"/>
            </w:pPr>
            <w:r/>
            <w:r>
              <w:rPr>
                <w:rFonts w:ascii="Times New Roman" w:hAnsi="Times New Roman"/>
                <w:b w:val="0"/>
                <w:sz w:val="16"/>
              </w:rPr>
              <w:t>n-gram/copy (E6.2)</w:t>
            </w:r>
          </w:p>
        </w:tc>
        <w:tc>
          <w:tcPr>
            <w:tcW w:type="dxa" w:w="1728"/>
          </w:tcPr>
          <w:p>
            <w:pPr>
              <w:keepNext/>
              <w:jc w:val="center"/>
            </w:pPr>
            <w:r/>
            <w:r>
              <w:rPr>
                <w:rFonts w:ascii="Times New Roman" w:hAnsi="Times New Roman"/>
                <w:b w:val="0"/>
                <w:sz w:val="16"/>
              </w:rPr>
              <w:t>m=8, lambda=1</w:t>
            </w:r>
          </w:p>
        </w:tc>
        <w:tc>
          <w:tcPr>
            <w:tcW w:type="dxa" w:w="1728"/>
          </w:tcPr>
          <w:p>
            <w:pPr>
              <w:keepNext/>
              <w:jc w:val="center"/>
            </w:pPr>
            <w:r/>
            <w:r>
              <w:rPr>
                <w:rFonts w:ascii="Times New Roman" w:hAnsi="Times New Roman"/>
                <w:b w:val="0"/>
                <w:sz w:val="16"/>
              </w:rPr>
              <w:t>50</w:t>
            </w:r>
          </w:p>
        </w:tc>
        <w:tc>
          <w:tcPr>
            <w:tcW w:type="dxa" w:w="1728"/>
          </w:tcPr>
          <w:p>
            <w:pPr>
              <w:keepNext/>
              <w:jc w:val="center"/>
            </w:pPr>
            <w:r/>
            <w:r>
              <w:rPr>
                <w:rFonts w:ascii="Times New Roman" w:hAnsi="Times New Roman"/>
                <w:b w:val="0"/>
                <w:sz w:val="16"/>
              </w:rPr>
              <w:t>100</w:t>
            </w:r>
          </w:p>
        </w:tc>
        <w:tc>
          <w:tcPr>
            <w:tcW w:type="dxa" w:w="1728"/>
          </w:tcPr>
          <w:p>
            <w:pPr>
              <w:keepNext/>
              <w:jc w:val="center"/>
            </w:pPr>
            <w:r/>
            <w:r>
              <w:rPr>
                <w:rFonts w:ascii="Times New Roman" w:hAnsi="Times New Roman"/>
                <w:b w:val="0"/>
                <w:sz w:val="16"/>
              </w:rPr>
              <w:t>98</w:t>
            </w:r>
          </w:p>
        </w:tc>
        <w:tc>
          <w:tcPr>
            <w:tcW w:type="dxa" w:w="1728"/>
          </w:tcPr>
          <w:p>
            <w:pPr>
              <w:keepNext/>
              <w:jc w:val="center"/>
            </w:pPr>
            <w:r/>
            <w:r>
              <w:rPr>
                <w:rFonts w:ascii="Times New Roman" w:hAnsi="Times New Roman"/>
                <w:b w:val="0"/>
                <w:sz w:val="16"/>
              </w:rPr>
              <w:t>–</w:t>
            </w:r>
          </w:p>
        </w:tc>
      </w:tr>
      <w:tr>
        <w:trPr>
          <w:cantSplit/>
        </w:trPr>
        <w:tc>
          <w:tcPr>
            <w:tcW w:type="dxa" w:w="1728"/>
          </w:tcPr>
          <w:p>
            <w:pPr>
              <w:keepNext/>
              <w:jc w:val="left"/>
            </w:pPr>
            <w:r/>
            <w:r>
              <w:rPr>
                <w:rFonts w:ascii="Times New Roman" w:hAnsi="Times New Roman"/>
                <w:b w:val="0"/>
                <w:sz w:val="16"/>
              </w:rPr>
              <w:t>transformer (E6.4)</w:t>
            </w:r>
          </w:p>
        </w:tc>
        <w:tc>
          <w:tcPr>
            <w:tcW w:type="dxa" w:w="1728"/>
          </w:tcPr>
          <w:p>
            <w:pPr>
              <w:keepNext/>
              <w:jc w:val="center"/>
            </w:pPr>
            <w:r/>
            <w:r>
              <w:rPr>
                <w:rFonts w:ascii="Times New Roman" w:hAnsi="Times New Roman"/>
                <w:b w:val="0"/>
                <w:sz w:val="16"/>
              </w:rPr>
              <w:t>memorized sources</w:t>
            </w:r>
          </w:p>
        </w:tc>
        <w:tc>
          <w:tcPr>
            <w:tcW w:type="dxa" w:w="1728"/>
          </w:tcPr>
          <w:p>
            <w:pPr>
              <w:keepNext/>
              <w:jc w:val="center"/>
            </w:pPr>
            <w:r/>
            <w:r>
              <w:rPr>
                <w:rFonts w:ascii="Times New Roman" w:hAnsi="Times New Roman"/>
                <w:b w:val="0"/>
                <w:sz w:val="16"/>
              </w:rPr>
              <w:t>20</w:t>
            </w:r>
          </w:p>
        </w:tc>
        <w:tc>
          <w:tcPr>
            <w:tcW w:type="dxa" w:w="1728"/>
          </w:tcPr>
          <w:p>
            <w:pPr>
              <w:keepNext/>
              <w:jc w:val="center"/>
            </w:pPr>
            <w:r/>
            <w:r>
              <w:rPr>
                <w:rFonts w:ascii="Times New Roman" w:hAnsi="Times New Roman"/>
                <w:b w:val="0"/>
                <w:sz w:val="16"/>
              </w:rPr>
              <w:t>40</w:t>
            </w:r>
          </w:p>
        </w:tc>
        <w:tc>
          <w:tcPr>
            <w:tcW w:type="dxa" w:w="1728"/>
          </w:tcPr>
          <w:p>
            <w:pPr>
              <w:keepNext/>
              <w:jc w:val="center"/>
            </w:pPr>
            <w:r/>
            <w:r>
              <w:rPr>
                <w:rFonts w:ascii="Times New Roman" w:hAnsi="Times New Roman"/>
                <w:b w:val="0"/>
                <w:sz w:val="16"/>
              </w:rPr>
              <w:t>5</w:t>
            </w:r>
          </w:p>
        </w:tc>
        <w:tc>
          <w:tcPr>
            <w:tcW w:type="dxa" w:w="1728"/>
          </w:tcPr>
          <w:p>
            <w:pPr>
              <w:keepNext/>
              <w:jc w:val="center"/>
            </w:pPr>
            <w:r/>
            <w:r>
              <w:rPr>
                <w:rFonts w:ascii="Times New Roman" w:hAnsi="Times New Roman"/>
                <w:b w:val="0"/>
                <w:sz w:val="16"/>
              </w:rPr>
              <w:t>5</w:t>
            </w:r>
          </w:p>
        </w:tc>
      </w:tr>
      <w:tr>
        <w:trPr>
          <w:cantSplit/>
        </w:trPr>
        <w:tc>
          <w:tcPr>
            <w:tcW w:type="dxa" w:w="1728"/>
          </w:tcPr>
          <w:p>
            <w:pPr>
              <w:keepNext/>
              <w:jc w:val="left"/>
            </w:pPr>
            <w:r/>
            <w:r>
              <w:rPr>
                <w:rFonts w:ascii="Times New Roman" w:hAnsi="Times New Roman"/>
                <w:b w:val="0"/>
                <w:sz w:val="16"/>
              </w:rPr>
              <w:t>transformer (E6.4)</w:t>
            </w:r>
          </w:p>
        </w:tc>
        <w:tc>
          <w:tcPr>
            <w:tcW w:type="dxa" w:w="1728"/>
          </w:tcPr>
          <w:p>
            <w:pPr>
              <w:keepNext/>
              <w:jc w:val="center"/>
            </w:pPr>
            <w:r/>
            <w:r>
              <w:rPr>
                <w:rFonts w:ascii="Times New Roman" w:hAnsi="Times New Roman"/>
                <w:b w:val="0"/>
                <w:sz w:val="16"/>
              </w:rPr>
              <w:t>untrained controls</w:t>
            </w:r>
          </w:p>
        </w:tc>
        <w:tc>
          <w:tcPr>
            <w:tcW w:type="dxa" w:w="1728"/>
          </w:tcPr>
          <w:p>
            <w:pPr>
              <w:keepNext/>
              <w:jc w:val="center"/>
            </w:pPr>
            <w:r/>
            <w:r>
              <w:rPr>
                <w:rFonts w:ascii="Times New Roman" w:hAnsi="Times New Roman"/>
                <w:b w:val="0"/>
                <w:sz w:val="16"/>
              </w:rPr>
              <w:t>20</w:t>
            </w:r>
          </w:p>
        </w:tc>
        <w:tc>
          <w:tcPr>
            <w:tcW w:type="dxa" w:w="1728"/>
          </w:tcPr>
          <w:p>
            <w:pPr>
              <w:keepNext/>
              <w:jc w:val="center"/>
            </w:pPr>
            <w:r/>
            <w:r>
              <w:rPr>
                <w:rFonts w:ascii="Times New Roman" w:hAnsi="Times New Roman"/>
                <w:b w:val="0"/>
                <w:sz w:val="16"/>
              </w:rPr>
              <w:t>40</w:t>
            </w:r>
          </w:p>
        </w:tc>
        <w:tc>
          <w:tcPr>
            <w:tcW w:type="dxa" w:w="1728"/>
          </w:tcPr>
          <w:p>
            <w:pPr>
              <w:keepNext/>
              <w:jc w:val="center"/>
            </w:pPr>
            <w:r/>
            <w:r>
              <w:rPr>
                <w:rFonts w:ascii="Times New Roman" w:hAnsi="Times New Roman"/>
                <w:b w:val="0"/>
                <w:sz w:val="16"/>
              </w:rPr>
              <w:t>10</w:t>
            </w:r>
          </w:p>
        </w:tc>
        <w:tc>
          <w:tcPr>
            <w:tcW w:type="dxa" w:w="1728"/>
          </w:tcPr>
          <w:p>
            <w:pPr>
              <w:keepNext/>
              <w:jc w:val="center"/>
            </w:pPr>
            <w:r/>
            <w:r>
              <w:rPr>
                <w:rFonts w:ascii="Times New Roman" w:hAnsi="Times New Roman"/>
                <w:b w:val="0"/>
                <w:sz w:val="16"/>
              </w:rPr>
              <w:t>15</w:t>
            </w:r>
          </w:p>
        </w:tc>
      </w:tr>
      <w:tr>
        <w:trPr>
          <w:cantSplit/>
        </w:trPr>
        <w:tc>
          <w:tcPr>
            <w:tcW w:type="dxa" w:w="1728"/>
            <w:tcBorders>
              <w:bottom w:val="single" w:sz="12" w:color="000000"/>
            </w:tcBorders>
          </w:tcPr>
          <w:p>
            <w:pPr>
              <w:jc w:val="left"/>
            </w:pPr>
            <w:r/>
            <w:r>
              <w:rPr>
                <w:rFonts w:ascii="Times New Roman" w:hAnsi="Times New Roman"/>
                <w:b w:val="0"/>
                <w:sz w:val="16"/>
              </w:rPr>
              <w:t>transformer (E6.4)</w:t>
            </w:r>
          </w:p>
        </w:tc>
        <w:tc>
          <w:tcPr>
            <w:tcW w:type="dxa" w:w="1728"/>
            <w:tcBorders>
              <w:bottom w:val="single" w:sz="12" w:color="000000"/>
            </w:tcBorders>
          </w:tcPr>
          <w:p>
            <w:pPr>
              <w:jc w:val="center"/>
            </w:pPr>
            <w:r/>
            <w:r>
              <w:rPr>
                <w:rFonts w:ascii="Times New Roman" w:hAnsi="Times New Roman"/>
                <w:b w:val="0"/>
                <w:sz w:val="16"/>
              </w:rPr>
              <w:t>random trained</w:t>
            </w:r>
          </w:p>
        </w:tc>
        <w:tc>
          <w:tcPr>
            <w:tcW w:type="dxa" w:w="1728"/>
            <w:tcBorders>
              <w:bottom w:val="single" w:sz="12" w:color="000000"/>
            </w:tcBorders>
          </w:tcPr>
          <w:p>
            <w:pPr>
              <w:jc w:val="center"/>
            </w:pPr>
            <w:r/>
            <w:r>
              <w:rPr>
                <w:rFonts w:ascii="Times New Roman" w:hAnsi="Times New Roman"/>
                <w:b w:val="0"/>
                <w:sz w:val="16"/>
              </w:rPr>
              <w:t>20</w:t>
            </w:r>
          </w:p>
        </w:tc>
        <w:tc>
          <w:tcPr>
            <w:tcW w:type="dxa" w:w="1728"/>
            <w:tcBorders>
              <w:bottom w:val="single" w:sz="12" w:color="000000"/>
            </w:tcBorders>
          </w:tcPr>
          <w:p>
            <w:pPr>
              <w:jc w:val="center"/>
            </w:pPr>
            <w:r/>
            <w:r>
              <w:rPr>
                <w:rFonts w:ascii="Times New Roman" w:hAnsi="Times New Roman"/>
                <w:b w:val="0"/>
                <w:sz w:val="16"/>
              </w:rPr>
              <w:t>35</w:t>
            </w:r>
          </w:p>
        </w:tc>
        <w:tc>
          <w:tcPr>
            <w:tcW w:type="dxa" w:w="1728"/>
            <w:tcBorders>
              <w:bottom w:val="single" w:sz="12" w:color="000000"/>
            </w:tcBorders>
          </w:tcPr>
          <w:p>
            <w:pPr>
              <w:jc w:val="center"/>
            </w:pPr>
            <w:r/>
            <w:r>
              <w:rPr>
                <w:rFonts w:ascii="Times New Roman" w:hAnsi="Times New Roman"/>
                <w:b w:val="0"/>
                <w:sz w:val="16"/>
              </w:rPr>
              <w:t>0</w:t>
            </w:r>
          </w:p>
        </w:tc>
        <w:tc>
          <w:tcPr>
            <w:tcW w:type="dxa" w:w="1728"/>
            <w:tcBorders>
              <w:bottom w:val="single" w:sz="12" w:color="000000"/>
            </w:tcBorders>
          </w:tcPr>
          <w:p>
            <w:pPr>
              <w:jc w:val="center"/>
            </w:pPr>
            <w:r/>
            <w:r>
              <w:rPr>
                <w:rFonts w:ascii="Times New Roman" w:hAnsi="Times New Roman"/>
                <w:b w:val="0"/>
                <w:sz w:val="16"/>
              </w:rPr>
              <w:t>25</w:t>
            </w:r>
          </w:p>
        </w:tc>
      </w:tr>
    </w:tbl>
    <w:p>
      <w:pPr>
        <w:spacing w:after="40"/>
      </w:pPr>
    </w:p>
    <w:p>
      <w:pPr>
        <w:pStyle w:val="Heading1"/>
      </w:pPr>
      <w:r>
        <w:t>VII. DISCUSSION</w:t>
      </w:r>
    </w:p>
    <w:p>
      <w:pPr>
        <w:spacing w:after="0"/>
        <w:ind w:firstLine="204"/>
        <w:jc w:val="both"/>
      </w:pPr>
      <w:r>
        <w:t xml:space="preserve">Three boundaries are worth stating plainly. First, item-set containment is a recall instrument; any deployment that treats its counts as verdicts will over-flag exactly the repertoire it is meant to protect. Second, chain-based confirmation requires contiguity: copies fragmented below the ρ threshold evade detection, so the system's proper role is high-precision screening with evidence, not autonomous adjudication. </w:t>
      </w:r>
    </w:p>
    <w:p>
      <w:pPr>
        <w:spacing w:after="0"/>
        <w:ind w:firstLine="204"/>
        <w:jc w:val="both"/>
      </w:pPr>
      <w:r>
        <w:t>Third, the guarantees are conditional on the declared noise model; transformations outside tolerance (large transposition without sketch retrieval, heavy swing quantization) must be covered by model extensions rather than threshold tweaking.</w:t>
      </w:r>
    </w:p>
    <w:p>
      <w:pPr>
        <w:spacing w:after="0"/>
        <w:ind w:firstLine="204"/>
        <w:jc w:val="both"/>
      </w:pPr>
      <w:r>
        <w:t xml:space="preserve">Threats to validity. The planted transformations are parametric approximations of real reuse: actual audio-to-MIDI transcription errors are correlated (a misaligned beat grid shifts many notes together), which our jitter model under-represents, and human-made covers vary by arrangement choices no parametric family captures. Hard negatives are harvested by pitch-class histogram similarity, which finds harmonically confusable peers but may miss style-similar pairs with different key distributions. </w:t>
      </w:r>
    </w:p>
    <w:p>
      <w:pPr>
        <w:spacing w:after="0"/>
        <w:ind w:firstLine="204"/>
        <w:jc w:val="both"/>
      </w:pPr>
      <w:r>
        <w:t>The memorization study spans both a transparent n-gram/copy emulation and an actually trained generator, but the latter is a 0.9M-parameter CPU-scale transformer whose memorization is non-extractive—larger generators that regurgitate verbatim would move samples toward the lambda = 1 corner of Table XIV rather than challenge the detection physics; and the in-the-wild census, while spanning the full 174,300-piece corpus, rests on a 1/8 systematic sample of queries and a 120-pair adjudication audit whose verdicts are automatic (chain criterion), not human, and examines one corpus lineage. We regard the cell-by-cell bound audit and the per-length hard-negative breakdown as the load-bearing evidence, because both are exhaustive over their stated domains rather than sampled.</w:t>
      </w:r>
    </w:p>
    <w:p>
      <w:pPr>
        <w:spacing w:after="0"/>
        <w:ind w:firstLine="204"/>
        <w:jc w:val="both"/>
      </w:pPr>
      <w:r>
        <w:t xml:space="preserve">Deployment and responsible use. Operationally, the index accepts incremental piece insertions without rebuild, and the anytime budget lets a screening queue trade recall headroom against throughput at busy times — the open-set size reported after every query is a directly schedulable quantity. An adversary who learns the declared tolerance can in principle evade by exceeding it; the honest response is to widen the envelope (coarser tolerance, interval-sketch retrieval) and re-audit, which the cell-by-cell methodology supports cheaply. </w:t>
      </w:r>
    </w:p>
    <w:p>
      <w:pPr>
        <w:spacing w:after="0"/>
        <w:ind w:firstLine="204"/>
        <w:jc w:val="both"/>
      </w:pPr>
      <w:r>
        <w:t>Finally, the system's output is evidence for a human decision, not a legal determination: a confirmed chain localizes shared material and estimates transposition, while questions of access, originality, and substantial similarity remain with adjudicators [20], [30]. The expected utility of the system is bounded accordingly: it catches extractive regurgitation—copied spans a generator emits intact—but not distributed memorization, where influence is spread across a model without any recoverable span; that per-sample question is the complement of membership inference [23], and the two instruments are most credible when used together. All code and experiment scripts are released to make every number in this paper independently reproducible.</w:t>
      </w:r>
    </w:p>
    <w:p>
      <w:pPr>
        <w:pStyle w:val="Heading1"/>
      </w:pPr>
      <w:r>
        <w:t>VIII. CONCLUSION</w:t>
      </w:r>
    </w:p>
    <w:p>
      <w:pPr>
        <w:spacing w:after="0"/>
        <w:ind w:firstLine="204"/>
        <w:jc w:val="both"/>
      </w:pPr>
      <w:r>
        <w:t>Copy detection for symbolic music decomposes into a provable-recall screening problem and a structural confirmation problem—two layers specified by explicit contracts, recall with a proof and precision with evidence—and the decomposition is clean enough to build, verify cell-by-cell, and operate at publisher scale: 100% planted recall with an exact anytime bound, 2.1% fragment-level false positives on style-similar hard negatives, decision-latency queries on a 174,300-piece corpus, and alignment evidence that a musician can check against a score. What makes the contracts transferable is that none of them is specific to music: any domain where a long container hides a short copied span, and where style peers defeat set similarity, admits the same evidence-bound screen and chain confirmation. Future work targets the two exposed boundaries: fragmented memorization below the contiguity threshold, and recall guarantees under transformations outside the current tolerance envelope.</w:t>
      </w:r>
    </w:p>
    <w:p>
      <w:pPr>
        <w:pStyle w:val="ReferenceHead"/>
      </w:pPr>
      <w:r>
        <w:t>References</w:t>
      </w:r>
    </w:p>
    <w:p>
      <w:pPr>
        <w:pStyle w:val="References"/>
        <w:ind w:left="425" w:hanging="425"/>
      </w:pPr>
      <w:r>
        <w:t>R. Typke, R. C. Veltkamp, and F. Wiering, “Searching notated polyphonic music using transportation distances,” in Proc. ACM Multimedia, 2004.</w:t>
      </w:r>
    </w:p>
    <w:p>
      <w:pPr>
        <w:pStyle w:val="References"/>
        <w:ind w:left="425" w:hanging="425"/>
      </w:pPr>
      <w:r>
        <w:t>D. Meredith, K. Lemström, and G. A. Wiggins, “Algorithms for discovering repeated patterns in multidimensional representations of polyphonic music,” Journal of New Music Research, vol. 31, no. 4, pp. 321–345, 2002.</w:t>
      </w:r>
    </w:p>
    <w:p>
      <w:pPr>
        <w:pStyle w:val="References"/>
        <w:ind w:left="425" w:hanging="425"/>
      </w:pPr>
      <w:r>
        <w:t>M. A. Casey et al., “Content-based music information retrieval: Current directions and future challenges,” Proceedings of the IEEE, vol. 96, no. 4, pp. 668–676, 2008.</w:t>
      </w:r>
    </w:p>
    <w:p>
      <w:pPr>
        <w:pStyle w:val="References"/>
        <w:ind w:left="425" w:hanging="425"/>
      </w:pPr>
      <w:r>
        <w:t>M. Müller, Information Retrieval for Music and Motion. Springer, 2007.</w:t>
      </w:r>
    </w:p>
    <w:p>
      <w:pPr>
        <w:pStyle w:val="References"/>
        <w:ind w:left="425" w:hanging="425"/>
      </w:pPr>
      <w:r>
        <w:t>R. Typke, F. Wiering, and R. C. Veltkamp, “A survey of music information retrieval systems,” in Proc. ISMIR, 2005.</w:t>
      </w:r>
    </w:p>
    <w:p>
      <w:pPr>
        <w:pStyle w:val="References"/>
        <w:ind w:left="425" w:hanging="425"/>
      </w:pPr>
      <w:r>
        <w:t>C. Raffel and D. P. W. Ellis, “Optimizing DTW-based audio-to-MIDI alignment and matching,” in Proc. ICASSP, 2016.</w:t>
      </w:r>
    </w:p>
    <w:p>
      <w:pPr>
        <w:pStyle w:val="References"/>
        <w:ind w:left="425" w:hanging="425"/>
      </w:pPr>
      <w:r>
        <w:t>C. Raffel, Learning-Based Methods for Comparing Sequences, with Applications to Audio-to-MIDI Alignment and Matching. PhD thesis, Columbia University, 2016 (Lakh MIDI Dataset).</w:t>
      </w:r>
    </w:p>
    <w:p>
      <w:pPr>
        <w:pStyle w:val="References"/>
        <w:ind w:left="425" w:hanging="425"/>
      </w:pPr>
      <w:r>
        <w:t>S. Zilberstein, “Using anytime algorithms in intelligent systems,” AI Magazine, vol. 17, no. 3, pp. 73–83, 1996.</w:t>
      </w:r>
    </w:p>
    <w:p>
      <w:pPr>
        <w:pStyle w:val="References"/>
        <w:ind w:left="425" w:hanging="425"/>
      </w:pPr>
      <w:r>
        <w:t>R. Agrawal and R. Srikant, “Fast algorithms for mining association rules in large databases,” in Proc. VLDB, 1994.</w:t>
      </w:r>
    </w:p>
    <w:p>
      <w:pPr>
        <w:pStyle w:val="References"/>
        <w:ind w:left="425" w:hanging="425"/>
      </w:pPr>
      <w:r>
        <w:t>J. Han, J. Pei, and Y. Yin, “Mining frequent patterns without candidate generation,” in Proc. ACM SIGMOD, 2000.</w:t>
      </w:r>
    </w:p>
    <w:p>
      <w:pPr>
        <w:pStyle w:val="References"/>
        <w:ind w:left="425" w:hanging="425"/>
      </w:pPr>
      <w:r>
        <w:t>N. Carlini et al., “Extracting training data from large language models,” in Proc. USENIX Security, 2021.</w:t>
      </w:r>
    </w:p>
    <w:p>
      <w:pPr>
        <w:pStyle w:val="References"/>
        <w:ind w:left="425" w:hanging="425"/>
      </w:pPr>
      <w:r>
        <w:t>M. Müller and S. Ewert, “Chroma Toolbox: MATLAB implementations for extracting variants of chroma-based audio features,” in Proc. ISMIR, 2011.</w:t>
      </w:r>
    </w:p>
    <w:p>
      <w:pPr>
        <w:pStyle w:val="References"/>
        <w:ind w:left="425" w:hanging="425"/>
      </w:pPr>
      <w:r>
        <w:t>A. Ghias, J. Logan, D. Chamberlin, and B. C. Smith, “Query by humming: Musical information retrieval in an audio database,” in Proc. ACM Multimedia, 1995.</w:t>
      </w:r>
    </w:p>
    <w:p>
      <w:pPr>
        <w:pStyle w:val="References"/>
        <w:ind w:left="425" w:hanging="425"/>
      </w:pPr>
      <w:r>
        <w:t>J. Salamon, J. Serra, and E. Gómez, “Tonal representations for music retrieval: From version identification to query-by-humming,” Int. Journal of Multimedia Information Retrieval, vol. 2, no. 1, pp. 35–48, 2013.</w:t>
      </w:r>
    </w:p>
    <w:p>
      <w:pPr>
        <w:pStyle w:val="References"/>
        <w:ind w:left="425" w:hanging="425"/>
      </w:pPr>
      <w:r>
        <w:t>Z. Yu, X. Xu, X. Chen, and D. Yang, “Learning a representation for cover song identification using convolutional neural network,” in Proc. ICASSP, 2020.</w:t>
      </w:r>
    </w:p>
    <w:p>
      <w:pPr>
        <w:pStyle w:val="References"/>
        <w:ind w:left="425" w:hanging="425"/>
      </w:pPr>
      <w:r>
        <w:t>X. Du, Z. Yu, B. Zhu, X. Chen, and Z. Ma, “ByteCover: Cover song identification via multi-loss training,” in Proc. ICASSP, 2021.</w:t>
      </w:r>
    </w:p>
    <w:p>
      <w:pPr>
        <w:pStyle w:val="References"/>
        <w:ind w:left="425" w:hanging="425"/>
      </w:pPr>
      <w:r>
        <w:t>F. Liu, D. Tuo, Y. Xu, and X. Han, “CoverHunter: Cover song identification with refined attention and alignments,” in Proc. IEEE ICASSP, 2023.</w:t>
      </w:r>
    </w:p>
    <w:p>
      <w:pPr>
        <w:pStyle w:val="References"/>
        <w:ind w:left="425" w:hanging="425"/>
      </w:pPr>
      <w:r>
        <w:t>C. Dittmar, K. F. Hildebrand, D. Gärtner, M. Gräber, and C. Landmeyer, “Audio forensics meets music information retrieval—A toolbox for inspection of music plagiarism claims,” in Proc. AES Int. Conf. Semantic Audio, 2012.</w:t>
      </w:r>
    </w:p>
    <w:p>
      <w:pPr>
        <w:pStyle w:val="References"/>
        <w:ind w:left="425" w:hanging="425"/>
      </w:pPr>
      <w:r>
        <w:t>W. Liu, T. He, C. Gong, N. Zhang, H. Yang, and J. Yan, “Fine-grained music plagiarism detection: Revealing plagiarists through bipartite graph matching and a comprehensive large-scale dataset,” in Proc. ACM Int. Conf. Multimedia, 2023, pp. 8839–8848.</w:t>
      </w:r>
    </w:p>
    <w:p>
      <w:pPr>
        <w:pStyle w:val="References"/>
        <w:ind w:left="425" w:hanging="425"/>
      </w:pPr>
      <w:r>
        <w:t>S. Park, H. Kim, J. Jung, J. Park, J. Kim, and J. Nam, “Quantitative analysis of melodic similarity in music copyright infringement cases,” in Proc. ISMIR, 2024.</w:t>
      </w:r>
    </w:p>
    <w:p>
      <w:pPr>
        <w:pStyle w:val="References"/>
        <w:ind w:left="425" w:hanging="425"/>
      </w:pPr>
      <w:r>
        <w:t>K. J. M. Lee, J. Ens, S. Adkins, P. Sarmento, et al., “The GigaMIDI dataset with features for expressive music performance detection,” Transactions of the Int. Society for Music Information Retrieval, 2025.</w:t>
      </w:r>
    </w:p>
    <w:p>
      <w:pPr>
        <w:pStyle w:val="References"/>
        <w:ind w:left="425" w:hanging="425"/>
      </w:pPr>
      <w:r>
        <w:t>C.-Z. A. Huang et al., “Music Transformer: Generating music with long-term structure,” in Proc. ICLR, 2019.</w:t>
      </w:r>
    </w:p>
    <w:p>
      <w:pPr>
        <w:pStyle w:val="References"/>
        <w:ind w:left="425" w:hanging="425"/>
      </w:pPr>
      <w:r>
        <w:t>R. Shokri, M. Stronati, C. Song, and V. Shmatikov, “Membership inference attacks against machine learning models,” in Proc. IEEE Symp. Security and Privacy, 2017.</w:t>
      </w:r>
    </w:p>
    <w:p>
      <w:pPr>
        <w:pStyle w:val="References"/>
        <w:ind w:left="425" w:hanging="425"/>
      </w:pPr>
      <w:r>
        <w:t>N. Carlini, J. Hayes, M. Nasr, M. Jagielski, et al., “Extracting training data from diffusion models,” in Proc. USENIX Security, 2023.</w:t>
      </w:r>
    </w:p>
    <w:p>
      <w:pPr>
        <w:pStyle w:val="References"/>
        <w:ind w:left="425" w:hanging="425"/>
      </w:pPr>
      <w:r>
        <w:t>K. Lee, D. Ippolito, A. Nystrom, C. Zhang, et al., “Deduplicating training data makes language models better,” in Proc. ACL, 2022.</w:t>
      </w:r>
    </w:p>
    <w:p>
      <w:pPr>
        <w:pStyle w:val="References"/>
        <w:ind w:left="425" w:hanging="425"/>
      </w:pPr>
      <w:r>
        <w:t>N. Kandpal, E. Wallace, and C. Raffel, “Deduplicating training data mitigates privacy risks in language models,” in Proc. ICML, 2022.</w:t>
      </w:r>
    </w:p>
    <w:p>
      <w:pPr>
        <w:pStyle w:val="References"/>
        <w:ind w:left="425" w:hanging="425"/>
      </w:pPr>
      <w:r>
        <w:t>G. van den Burg and C. Williams, “On memorization in probabilistic deep generative models,” in NeurIPS 2021 Workshop Deep Generative Models, 2021.</w:t>
      </w:r>
    </w:p>
    <w:p>
      <w:pPr>
        <w:pStyle w:val="References"/>
        <w:ind w:left="425" w:hanging="425"/>
      </w:pPr>
      <w:r>
        <w:t>Y.-C. Liu, J. Yu, K. Cao, S. I. A. Meerza, et al., “Auditing training data in generative music models via black-box membership inference,” in Proc. IEEE Symp. Security and Privacy Workshops (SPW), 2026, pp. 230–237.</w:t>
      </w:r>
    </w:p>
    <w:p>
      <w:pPr>
        <w:pStyle w:val="References"/>
        <w:ind w:left="425" w:hanging="425"/>
      </w:pPr>
      <w:r>
        <w:t>J. Barnett, H. F. Garcia, and B. Pardo, “Exploring musical roots: Applying audio embeddings to empower influence attribution for a generative music model,” arXiv preprint arXiv:2401.14542, 2024.</w:t>
      </w:r>
    </w:p>
    <w:p>
      <w:pPr>
        <w:pStyle w:val="References"/>
        <w:ind w:left="425" w:hanging="425"/>
      </w:pPr>
      <w:r>
        <w:t>S. Stober and T. W. Dornis, “Generative AI training and copyright law,” arXiv preprint arXiv:2502.15858, 2025.</w:t>
      </w:r>
    </w:p>
    <w:p>
      <w:pPr>
        <w:pStyle w:val="References"/>
        <w:ind w:left="425" w:hanging="425"/>
      </w:pPr>
      <w:r>
        <w:t>Y. Zhang et al., “Anytime frequent itemset mining: A threshold-free progressive item-activation framework with CPU–GPU heterogeneous collaboration,” under review.</w:t>
      </w:r>
    </w:p>
    <w:p>
      <w:pPr>
        <w:pStyle w:val="References"/>
        <w:ind w:left="425" w:hanging="425"/>
      </w:pPr>
      <w:r>
        <w:t>Y. Zhang et al., “TensorFIM: Exact maximal frequent itemset mining on tensor cores,” under review.</w:t>
      </w:r>
    </w:p>
    <w:p>
      <w:pPr>
        <w:pStyle w:val="References"/>
        <w:ind w:left="425" w:hanging="425"/>
      </w:pPr>
      <w:r>
        <w:t>R. Fagin, A. Lotem, and M. Naor, “Optimal aggregation algorithms for middleware,” in Proc. ACM Symp. Principles of Database Systems (PODS), 2001.</w:t>
      </w:r>
    </w:p>
    <w:p>
      <w:pPr>
        <w:pStyle w:val="References"/>
        <w:ind w:left="425" w:hanging="425"/>
      </w:pPr>
      <w:r>
        <w:t>E. L. Lawler and D. E. Wood, “Branch-and-bound methods: A survey,” Operations Research, vol. 14, no. 4, pp. 699–719, 1966.</w:t>
      </w:r>
    </w:p>
    <w:p>
      <w:pPr>
        <w:pStyle w:val="References"/>
        <w:ind w:left="425" w:hanging="425"/>
      </w:pPr>
      <w:r>
        <w:t>A. Z. Broder, “On the resemblance and containment of documents,” in Proc. Compression and Complexity of Sequences, 1997.</w:t>
      </w:r>
    </w:p>
    <w:p>
      <w:pPr>
        <w:pStyle w:val="References"/>
        <w:ind w:left="425" w:hanging="425"/>
      </w:pPr>
      <w:r>
        <w:t>B. D. Ondov et al., “Mash: Fast genome and metagenome distance estimation using MinHash,” Genome Biology, vol. 17, 2016.</w:t>
      </w:r>
    </w:p>
    <w:p>
      <w:p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rPr>
          <w:sz w:val="18"/>
        </w:rPr>
      </w:pPr>
    </w:p>
    <w:p>
      <w:pPr>
        <w:sectPr w:rsidR="007E713A" w:rsidSect="00002FAF">
          <w:headerReference w:type="default" r:id="rId9"/>
          <w:type w:val="continuous"/>
          <w:pgSz w:w="12240" w:h="15840"/>
          <w:pgMar w:top="1008" w:right="936" w:bottom="1008" w:left="936" w:header="432" w:footer="432" w:gutter="0"/>
          <w:cols w:space="288"/>
        </w:sectPr>
      </w:pPr>
    </w:p>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DAAF20E" w14:textId="77777777" w:rsidR="004C2573" w:rsidRDefault="004C2573">
      <w:r>
        <w:separator/>
      </w:r>
    </w:p>
  </w:endnote>
  <w:endnote w:type="continuationSeparator" w:id="0">
    <w:p w14:paraId="31199390" w14:textId="77777777" w:rsidR="004C2573" w:rsidRDefault="004C257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Baskerville">
    <w:altName w:val="Perpetua"/>
    <w:charset w:val="00"/>
    <w:family w:val="auto"/>
    <w:pitch w:val="variable"/>
    <w:sig w:usb0="80000063" w:usb1="00000000" w:usb2="00000000" w:usb3="00000000" w:csb0="000001FB" w:csb1="00000000"/>
  </w:font>
  <w:font w:name="Formata-Regular">
    <w:altName w:val="Calibri"/>
    <w:panose1 w:val="00000000000000000000"/>
    <w:charset w:val="4D"/>
    <w:family w:val="auto"/>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Times">
    <w:panose1 w:val="02020603050405020304"/>
    <w:charset w:val="00"/>
    <w:family w:val="roman"/>
    <w:pitch w:val="variable"/>
    <w:sig w:usb0="E0002EFF" w:usb1="C000785B" w:usb2="00000009" w:usb3="00000000" w:csb0="000001FF" w:csb1="00000000"/>
  </w:font>
  <w:font w:name="NimbusRomNo9L-Regu">
    <w:altName w:val="Calibri"/>
    <w:panose1 w:val="00000000000000000000"/>
    <w:charset w:val="00"/>
    <w:family w:val="auto"/>
    <w:notTrueType/>
    <w:pitch w:val="default"/>
    <w:sig w:usb0="00000003" w:usb1="08070000" w:usb2="00000010" w:usb3="00000000" w:csb0="00020001"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7F0C3B3" w14:textId="77777777" w:rsidR="004C2573" w:rsidRPr="009A0AA6" w:rsidRDefault="004C2573" w:rsidP="009A0AA6">
      <w:pPr>
        <w:pStyle w:val="Footer"/>
      </w:pPr>
    </w:p>
  </w:footnote>
  <w:footnote w:type="continuationSeparator" w:id="0">
    <w:p w14:paraId="38D72284" w14:textId="77777777" w:rsidR="004C2573" w:rsidRDefault="004C2573">
      <w:r>
        <w:continuationSeparator/>
      </w:r>
    </w:p>
  </w:footnote>
  <w:footnote w:id="1">
    <w:p w14:paraId="350D71A7" w14:textId="77777777" w:rsidR="00BE4774" w:rsidRDefault="00BE4774" w:rsidP="00BE4774">
      <w:pPr>
        <w:keepLines/>
        <w:pBdr>
          <w:top w:val="nil"/>
          <w:left w:val="nil"/>
          <w:bottom w:val="nil"/>
          <w:right w:val="nil"/>
          <w:between w:val="nil"/>
        </w:pBdr>
        <w:ind w:firstLine="202"/>
        <w:jc w:val="both"/>
        <w:rPr>
          <w:color w:val="000000"/>
          <w:sz w:val="16"/>
          <w:szCs w:val="16"/>
        </w:rPr>
      </w:pPr>
      <w:r>
        <w:rPr>
          <w:color w:val="000000"/>
          <w:sz w:val="16"/>
          <w:szCs w:val="16"/>
        </w:rPr>
        <w:t xml:space="preserve">This paragraph of the first footnote will contain the date on which you submitted your paper for review, </w:t>
      </w:r>
      <w:r>
        <w:rPr>
          <w:sz w:val="16"/>
          <w:szCs w:val="16"/>
        </w:rPr>
        <w:t xml:space="preserve">which is </w:t>
      </w:r>
      <w:r>
        <w:rPr>
          <w:color w:val="000000"/>
          <w:sz w:val="16"/>
          <w:szCs w:val="16"/>
        </w:rPr>
        <w:t xml:space="preserve">populated by IEEE. </w:t>
      </w:r>
      <w:r>
        <w:rPr>
          <w:sz w:val="16"/>
          <w:szCs w:val="16"/>
        </w:rPr>
        <w:t>It is IEEE style to display</w:t>
      </w:r>
      <w:r>
        <w:rPr>
          <w:color w:val="000000"/>
          <w:sz w:val="16"/>
          <w:szCs w:val="16"/>
        </w:rPr>
        <w:t xml:space="preserve"> support information, including sponsor and financial support acknowledgment, here and not in</w:t>
      </w:r>
      <w:r>
        <w:rPr>
          <w:sz w:val="16"/>
          <w:szCs w:val="16"/>
        </w:rPr>
        <w:t xml:space="preserve"> an acknowledgment section at the end of the article</w:t>
      </w:r>
      <w:r>
        <w:rPr>
          <w:color w:val="000000"/>
          <w:sz w:val="16"/>
          <w:szCs w:val="16"/>
        </w:rPr>
        <w:t>. For example, “This work was supported in part by the U.S. Department of Commerce under Grant 123456.” The n</w:t>
      </w:r>
      <w:r>
        <w:rPr>
          <w:sz w:val="16"/>
          <w:szCs w:val="16"/>
        </w:rPr>
        <w:t>ame of the corresponding author appears after the financial information, e.g.</w:t>
      </w:r>
      <w:r>
        <w:rPr>
          <w:i/>
          <w:sz w:val="16"/>
          <w:szCs w:val="16"/>
        </w:rPr>
        <w:t xml:space="preserve"> (Corresponding author: </w:t>
      </w:r>
      <w:r w:rsidRPr="00E01B5B">
        <w:rPr>
          <w:i/>
          <w:sz w:val="16"/>
          <w:szCs w:val="16"/>
        </w:rPr>
        <w:t>Second B. Author</w:t>
      </w:r>
      <w:r>
        <w:rPr>
          <w:i/>
          <w:sz w:val="16"/>
          <w:szCs w:val="16"/>
        </w:rPr>
        <w:t xml:space="preserve">). </w:t>
      </w:r>
      <w:r>
        <w:rPr>
          <w:sz w:val="16"/>
          <w:szCs w:val="16"/>
        </w:rPr>
        <w:t xml:space="preserve">Here you may also indicate if authors contributed equally or if there are co-first authors. </w:t>
      </w:r>
    </w:p>
    <w:p w14:paraId="5FCDE783" w14:textId="77777777" w:rsidR="00BE4774" w:rsidRDefault="00BE4774" w:rsidP="00BE4774">
      <w:pPr>
        <w:keepLines/>
        <w:pBdr>
          <w:top w:val="nil"/>
          <w:left w:val="nil"/>
          <w:bottom w:val="nil"/>
          <w:right w:val="nil"/>
          <w:between w:val="nil"/>
        </w:pBdr>
        <w:ind w:firstLine="202"/>
        <w:jc w:val="both"/>
        <w:rPr>
          <w:color w:val="000000"/>
          <w:sz w:val="16"/>
          <w:szCs w:val="16"/>
        </w:rPr>
      </w:pPr>
      <w:r>
        <w:rPr>
          <w:color w:val="000000"/>
          <w:sz w:val="16"/>
          <w:szCs w:val="16"/>
        </w:rPr>
        <w:t>The next few paragraphs should contain the authors’ current affiliations, including current address and e-mail. For example, F</w:t>
      </w:r>
      <w:r>
        <w:rPr>
          <w:sz w:val="16"/>
          <w:szCs w:val="16"/>
        </w:rPr>
        <w:t>irst</w:t>
      </w:r>
      <w:r>
        <w:rPr>
          <w:color w:val="000000"/>
          <w:sz w:val="16"/>
          <w:szCs w:val="16"/>
        </w:rPr>
        <w:t xml:space="preserve"> A. Author is with the National Institute of Standards and Technology, Boulder, CO 80305 USA (e-mail: author@ boulder.nist.gov). </w:t>
      </w:r>
    </w:p>
    <w:p w14:paraId="7937703E" w14:textId="4B530715" w:rsidR="00BE4774" w:rsidRDefault="00BE4774" w:rsidP="00BE4774">
      <w:pPr>
        <w:keepLines/>
        <w:pBdr>
          <w:top w:val="nil"/>
          <w:left w:val="nil"/>
          <w:bottom w:val="nil"/>
          <w:right w:val="nil"/>
          <w:between w:val="nil"/>
        </w:pBdr>
        <w:ind w:firstLine="202"/>
        <w:jc w:val="both"/>
        <w:rPr>
          <w:color w:val="000000"/>
          <w:sz w:val="16"/>
          <w:szCs w:val="16"/>
        </w:rPr>
      </w:pPr>
      <w:r>
        <w:rPr>
          <w:color w:val="000000"/>
          <w:sz w:val="16"/>
          <w:szCs w:val="16"/>
        </w:rPr>
        <w:t>S</w:t>
      </w:r>
      <w:r>
        <w:rPr>
          <w:sz w:val="16"/>
          <w:szCs w:val="16"/>
        </w:rPr>
        <w:t>econd</w:t>
      </w:r>
      <w:r>
        <w:rPr>
          <w:color w:val="000000"/>
          <w:sz w:val="16"/>
          <w:szCs w:val="16"/>
        </w:rPr>
        <w:t xml:space="preserve"> B. Author Jr. was with Rice University, Houston, TX 77005 USA. He is now with the Department of Physics, Colorado State University, Fort Collins, CO 80523 USA (e-mail: author@lamar.colostate.edu).</w:t>
      </w:r>
    </w:p>
    <w:p w14:paraId="5ED9EAB1" w14:textId="77777777" w:rsidR="00BE4774" w:rsidRDefault="00BE4774" w:rsidP="00BE4774">
      <w:pPr>
        <w:keepLines/>
        <w:pBdr>
          <w:top w:val="nil"/>
          <w:left w:val="nil"/>
          <w:bottom w:val="nil"/>
          <w:right w:val="nil"/>
          <w:between w:val="nil"/>
        </w:pBdr>
        <w:ind w:firstLine="202"/>
        <w:jc w:val="both"/>
        <w:rPr>
          <w:color w:val="000000"/>
          <w:sz w:val="16"/>
          <w:szCs w:val="16"/>
        </w:rPr>
      </w:pPr>
      <w:r>
        <w:rPr>
          <w:color w:val="000000"/>
          <w:sz w:val="16"/>
          <w:szCs w:val="16"/>
        </w:rPr>
        <w:t>T</w:t>
      </w:r>
      <w:r>
        <w:rPr>
          <w:sz w:val="16"/>
          <w:szCs w:val="16"/>
        </w:rPr>
        <w:t>hird</w:t>
      </w:r>
      <w:r>
        <w:rPr>
          <w:color w:val="000000"/>
          <w:sz w:val="16"/>
          <w:szCs w:val="16"/>
        </w:rPr>
        <w:t xml:space="preserve"> C. Author is with the Electrical Engineering Department, University of Colorado, Boulder, CO 80309 USA, on leave from the National Research Institute for Metals, Tsukuba 305-0047, Japan (e-mail: author@nrim.go.jp).</w:t>
      </w:r>
    </w:p>
    <w:p w14:paraId="690D5EFE" w14:textId="77777777" w:rsidR="00BE4774" w:rsidRDefault="00BE4774" w:rsidP="00BE4774">
      <w:pPr>
        <w:keepLines/>
        <w:widowControl w:val="0"/>
        <w:spacing w:line="252" w:lineRule="auto"/>
        <w:ind w:firstLine="202"/>
        <w:jc w:val="both"/>
        <w:rPr>
          <w:sz w:val="16"/>
          <w:szCs w:val="16"/>
        </w:rPr>
      </w:pPr>
      <w:r>
        <w:rPr>
          <w:sz w:val="16"/>
          <w:szCs w:val="16"/>
        </w:rPr>
        <w:t>Mentions of supplemental materials and animal/human rights statements can be included here.</w:t>
      </w:r>
    </w:p>
    <w:p w14:paraId="4102162F" w14:textId="77777777" w:rsidR="00BE4774" w:rsidRDefault="00BE4774" w:rsidP="00BE4774">
      <w:pPr>
        <w:pStyle w:val="FootnoteText"/>
      </w:pPr>
      <w:r>
        <w:t>Color versions of one or more of the figures in this article are available online at http://ieeexplore.ieee.org</w:t>
      </w:r>
    </w:p>
  </w:footnote>
  <w:footnote w:id="2">
    <w:p w14:paraId="00256728" w14:textId="77777777" w:rsidR="00732E46" w:rsidRDefault="000F2C11">
      <w:pPr>
        <w:pBdr>
          <w:top w:val="nil"/>
          <w:left w:val="nil"/>
          <w:bottom w:val="nil"/>
          <w:right w:val="nil"/>
          <w:between w:val="nil"/>
        </w:pBdr>
        <w:ind w:firstLine="202"/>
        <w:jc w:val="both"/>
        <w:rPr>
          <w:color w:val="000000"/>
          <w:sz w:val="16"/>
          <w:szCs w:val="16"/>
        </w:rPr>
      </w:pPr>
      <w:r>
        <w:rPr>
          <w:rStyle w:val="FootnoteReference"/>
        </w:rPr>
        <w:footnoteRef/>
      </w:r>
      <w:r>
        <w:rPr>
          <w:color w:val="000000"/>
          <w:sz w:val="16"/>
          <w:szCs w:val="16"/>
        </w:rPr>
        <w:t>It is recommended that footnotes be avoided (except for the unnumbered footnote with the receipt date on the first page). Instead, try to integrate the footnote information into the text.</w:t>
      </w:r>
    </w:p>
  </w:footnote>
  <w:footnote w:id="3">
    <w:p>
      <w:pPr>
        <w:keepLines/>
        <w:pBdr>
          <w:top w:val="nil"/>
          <w:left w:val="nil"/>
          <w:bottom w:val="nil"/>
          <w:right w:val="nil"/>
        </w:pBdr>
        <w:spacing w:before="0" w:after="0" w:line="240" w:lineRule="auto"/>
        <w:ind w:firstLine="202"/>
        <w:jc w:val="both"/>
        <w:rPr>
          <w:sz w:val="16"/>
        </w:rPr>
      </w:pPr>
      <w:r>
        <w:rPr>
          <w:sz w:val="16"/>
        </w:rPr>
        <w:t xml:space="preserve">This work was supported by the Key Science and Technology Tackling Program of the Quzhou Municipal Bureau of Science and Technology under Grant 2025K192, and by the “Pioneer and Leading Goose+X” R&amp;D Program of the Department of Science and Technology of Zhejiang Province under Grant 2024C01227. </w:t>
      </w:r>
      <w:r>
        <w:rPr>
          <w:i/>
          <w:sz w:val="16"/>
        </w:rPr>
        <w:t xml:space="preserve">(Corresponding author: Yalong Zhang, ylzhang@qzc.edu.cn.)</w:t>
      </w:r>
    </w:p>
    <w:p>
      <w:pPr>
        <w:keepLines/>
        <w:pBdr>
          <w:top w:val="nil"/>
          <w:left w:val="nil"/>
          <w:bottom w:val="nil"/>
          <w:right w:val="nil"/>
        </w:pBdr>
        <w:spacing w:before="0" w:after="0" w:line="240" w:lineRule="auto"/>
        <w:ind w:firstLine="202"/>
        <w:jc w:val="both"/>
        <w:rPr>
          <w:sz w:val="16"/>
        </w:rPr>
      </w:pPr>
      <w:r>
        <w:rPr>
          <w:sz w:val="16"/>
        </w:rPr>
        <w:t xml:space="preserve">Xuemei Li and Jianping Deng are with the Faculty of Teacher Education, Quzhou University, Quzhou 324000, China.</w:t>
      </w:r>
    </w:p>
    <w:p>
      <w:pPr>
        <w:keepLines/>
        <w:pBdr>
          <w:top w:val="nil"/>
          <w:left w:val="nil"/>
          <w:bottom w:val="nil"/>
          <w:right w:val="nil"/>
        </w:pBdr>
        <w:spacing w:before="0" w:after="0" w:line="240" w:lineRule="auto"/>
        <w:ind w:firstLine="202"/>
        <w:jc w:val="both"/>
        <w:rPr>
          <w:sz w:val="16"/>
        </w:rPr>
      </w:pPr>
      <w:r>
        <w:rPr>
          <w:sz w:val="16"/>
        </w:rPr>
        <w:t xml:space="preserve">Meng Huang, Bao Wang, and Yalong Zhang are with the College of Electrical and Information Engineering, Quzhou University, Quzhou 324000, China.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BDD9899" w14:textId="77777777" w:rsidR="00732E46" w:rsidRDefault="000F2C11">
    <w:pPr>
      <w:jc w:val="right"/>
    </w:pPr>
    <w:r>
      <w:fldChar w:fldCharType="begin"/>
    </w:r>
    <w:r>
      <w:instrText>PAGE</w:instrText>
    </w:r>
    <w:r>
      <w:fldChar w:fldCharType="separate"/>
    </w:r>
    <w:r w:rsidR="005A170E">
      <w:rPr>
        <w:noProof/>
      </w:rPr>
      <w:t>3</w:t>
    </w:r>
    <w:r>
      <w:fldChar w:fldCharType="end"/>
    </w:r>
  </w:p>
  <w:p w14:paraId="3F33F23C" w14:textId="77777777" w:rsidR="00732E46" w:rsidRDefault="000F2C11">
    <w:pPr>
      <w:ind w:right="360"/>
    </w:pPr>
    <w:r>
      <w:t>&gt; REPLACE THIS LINE WITH YOUR MANUSCRIPT ID NUMBER (DOUBLE-CLICK HERE TO EDIT) &lt;</w:t>
    </w:r>
  </w:p>
  <w:p w14:paraId="46E0BAAB" w14:textId="77777777" w:rsidR="00732E46" w:rsidRDefault="00732E46">
    <w:pP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43C2982"/>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D27563A"/>
    <w:multiLevelType w:val="multilevel"/>
    <w:tmpl w:val="91500BF2"/>
    <w:lvl w:ilvl="0">
      <w:start w:val="1"/>
      <w:numFmt w:val="upperRoman"/>
      <w:lvlText w:val="%1."/>
      <w:lvlJc w:val="left"/>
      <w:pPr>
        <w:ind w:left="0" w:firstLine="0"/>
      </w:pPr>
    </w:lvl>
    <w:lvl w:ilvl="1">
      <w:start w:val="1"/>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2" w15:restartNumberingAfterBreak="0">
    <w:nsid w:val="119C305F"/>
    <w:multiLevelType w:val="multilevel"/>
    <w:tmpl w:val="DCC063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BAC5DBD"/>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4" w15:restartNumberingAfterBreak="0">
    <w:nsid w:val="31F66E8E"/>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5" w15:restartNumberingAfterBreak="0">
    <w:nsid w:val="40BB7F3B"/>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6" w15:restartNumberingAfterBreak="0">
    <w:nsid w:val="44604766"/>
    <w:multiLevelType w:val="multilevel"/>
    <w:tmpl w:val="C84CC298"/>
    <w:lvl w:ilvl="0">
      <w:start w:val="1"/>
      <w:numFmt w:val="decimal"/>
      <w:pStyle w:val="Reference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7" w15:restartNumberingAfterBreak="0">
    <w:nsid w:val="466B4453"/>
    <w:multiLevelType w:val="multilevel"/>
    <w:tmpl w:val="45AE852C"/>
    <w:lvl w:ilvl="0">
      <w:start w:val="1"/>
      <w:numFmt w:val="upperRoman"/>
      <w:lvlText w:val="%1."/>
      <w:lvlJc w:val="left"/>
      <w:pPr>
        <w:ind w:left="0" w:firstLine="0"/>
      </w:pPr>
    </w:lvl>
    <w:lvl w:ilvl="1">
      <w:start w:val="1"/>
      <w:numFmt w:val="decimal"/>
      <w:lvlText w:val="%2)"/>
      <w:lvlJc w:val="left"/>
      <w:pPr>
        <w:ind w:left="450" w:hanging="360"/>
      </w:pPr>
      <w:rPr>
        <w:b w:val="0"/>
        <w:i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8" w15:restartNumberingAfterBreak="0">
    <w:nsid w:val="4C936FD3"/>
    <w:multiLevelType w:val="multilevel"/>
    <w:tmpl w:val="82B850BA"/>
    <w:lvl w:ilvl="0">
      <w:start w:val="1"/>
      <w:numFmt w:val="upperLetter"/>
      <w:lvlText w:val="%1."/>
      <w:lvlJc w:val="left"/>
      <w:pPr>
        <w:ind w:left="720" w:hanging="360"/>
      </w:pPr>
      <w:rPr>
        <w: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4CC97A8F"/>
    <w:multiLevelType w:val="multilevel"/>
    <w:tmpl w:val="51823B8A"/>
    <w:lvl w:ilvl="0">
      <w:start w:val="1"/>
      <w:numFmt w:val="decimal"/>
      <w:lvlText w:val="[%1]"/>
      <w:lvlJc w:val="left"/>
      <w:pPr>
        <w:ind w:left="990" w:hanging="360"/>
      </w:pPr>
      <w:rPr>
        <w:i w:val="0"/>
        <w:sz w:val="16"/>
        <w:szCs w:val="16"/>
      </w:rPr>
    </w:lvl>
    <w:lvl w:ilvl="1">
      <w:start w:val="1"/>
      <w:numFmt w:val="bullet"/>
      <w:pStyle w:val="Heading2"/>
      <w:lvlText w:val=""/>
      <w:lvlJc w:val="left"/>
      <w:pPr>
        <w:ind w:left="0" w:firstLine="0"/>
      </w:pPr>
    </w:lvl>
    <w:lvl w:ilvl="2">
      <w:start w:val="1"/>
      <w:numFmt w:val="bullet"/>
      <w:pStyle w:val="Heading3"/>
      <w:lvlText w:val=""/>
      <w:lvlJc w:val="left"/>
      <w:pPr>
        <w:ind w:left="0" w:firstLine="0"/>
      </w:pPr>
    </w:lvl>
    <w:lvl w:ilvl="3">
      <w:start w:val="1"/>
      <w:numFmt w:val="bullet"/>
      <w:pStyle w:val="Heading4"/>
      <w:lvlText w:val=""/>
      <w:lvlJc w:val="left"/>
      <w:pPr>
        <w:ind w:left="0" w:firstLine="0"/>
      </w:pPr>
    </w:lvl>
    <w:lvl w:ilvl="4">
      <w:start w:val="1"/>
      <w:numFmt w:val="bullet"/>
      <w:pStyle w:val="Heading5"/>
      <w:lvlText w:val=""/>
      <w:lvlJc w:val="left"/>
      <w:pPr>
        <w:ind w:left="0" w:firstLine="0"/>
      </w:pPr>
    </w:lvl>
    <w:lvl w:ilvl="5">
      <w:start w:val="1"/>
      <w:numFmt w:val="bullet"/>
      <w:pStyle w:val="Heading6"/>
      <w:lvlText w:val=""/>
      <w:lvlJc w:val="left"/>
      <w:pPr>
        <w:ind w:left="0" w:firstLine="0"/>
      </w:pPr>
    </w:lvl>
    <w:lvl w:ilvl="6">
      <w:start w:val="1"/>
      <w:numFmt w:val="bullet"/>
      <w:pStyle w:val="Heading7"/>
      <w:lvlText w:val=""/>
      <w:lvlJc w:val="left"/>
      <w:pPr>
        <w:ind w:left="0" w:firstLine="0"/>
      </w:pPr>
    </w:lvl>
    <w:lvl w:ilvl="7">
      <w:start w:val="1"/>
      <w:numFmt w:val="bullet"/>
      <w:pStyle w:val="Heading8"/>
      <w:lvlText w:val=""/>
      <w:lvlJc w:val="left"/>
      <w:pPr>
        <w:ind w:left="0" w:firstLine="0"/>
      </w:pPr>
    </w:lvl>
    <w:lvl w:ilvl="8">
      <w:start w:val="1"/>
      <w:numFmt w:val="bullet"/>
      <w:pStyle w:val="Heading9"/>
      <w:lvlText w:val=""/>
      <w:lvlJc w:val="left"/>
      <w:pPr>
        <w:ind w:left="0" w:firstLine="0"/>
      </w:pPr>
    </w:lvl>
  </w:abstractNum>
  <w:abstractNum w:abstractNumId="10" w15:restartNumberingAfterBreak="0">
    <w:nsid w:val="52F65CE7"/>
    <w:multiLevelType w:val="multilevel"/>
    <w:tmpl w:val="9A60E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DEA164D"/>
    <w:multiLevelType w:val="multilevel"/>
    <w:tmpl w:val="8D6CF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04474254">
    <w:abstractNumId w:val="9"/>
  </w:num>
  <w:num w:numId="2" w16cid:durableId="1182279118">
    <w:abstractNumId w:val="2"/>
  </w:num>
  <w:num w:numId="3" w16cid:durableId="83192768">
    <w:abstractNumId w:val="1"/>
  </w:num>
  <w:num w:numId="4" w16cid:durableId="1311791867">
    <w:abstractNumId w:val="8"/>
  </w:num>
  <w:num w:numId="5" w16cid:durableId="171183208">
    <w:abstractNumId w:val="5"/>
  </w:num>
  <w:num w:numId="6" w16cid:durableId="1268463963">
    <w:abstractNumId w:val="6"/>
  </w:num>
  <w:num w:numId="7" w16cid:durableId="439372643">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538515103">
    <w:abstractNumId w:val="4"/>
  </w:num>
  <w:num w:numId="9" w16cid:durableId="1950312838">
    <w:abstractNumId w:val="3"/>
  </w:num>
  <w:num w:numId="10" w16cid:durableId="881602541">
    <w:abstractNumId w:val="7"/>
  </w:num>
  <w:num w:numId="11" w16cid:durableId="830146748">
    <w:abstractNumId w:val="0"/>
  </w:num>
  <w:num w:numId="12" w16cid:durableId="947540831">
    <w:abstractNumId w:val="11"/>
  </w:num>
  <w:num w:numId="13" w16cid:durableId="152536492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removePersonalInformation/>
  <w:removeDateAndTim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32E46"/>
    <w:rsid w:val="00002FAF"/>
    <w:rsid w:val="00023182"/>
    <w:rsid w:val="00031B79"/>
    <w:rsid w:val="0003442C"/>
    <w:rsid w:val="000403AE"/>
    <w:rsid w:val="00050683"/>
    <w:rsid w:val="00053B2E"/>
    <w:rsid w:val="000650E5"/>
    <w:rsid w:val="00067023"/>
    <w:rsid w:val="00081747"/>
    <w:rsid w:val="00085D7A"/>
    <w:rsid w:val="000968E1"/>
    <w:rsid w:val="000C21BE"/>
    <w:rsid w:val="000D4F4C"/>
    <w:rsid w:val="000F2C11"/>
    <w:rsid w:val="000F400B"/>
    <w:rsid w:val="00114406"/>
    <w:rsid w:val="00124A09"/>
    <w:rsid w:val="0014692A"/>
    <w:rsid w:val="00152AB3"/>
    <w:rsid w:val="00170C54"/>
    <w:rsid w:val="001743EC"/>
    <w:rsid w:val="00180047"/>
    <w:rsid w:val="0019206C"/>
    <w:rsid w:val="001B020C"/>
    <w:rsid w:val="001B0334"/>
    <w:rsid w:val="001B2E51"/>
    <w:rsid w:val="001E7EDB"/>
    <w:rsid w:val="001F1173"/>
    <w:rsid w:val="001F2329"/>
    <w:rsid w:val="001F512A"/>
    <w:rsid w:val="00201147"/>
    <w:rsid w:val="00233A4C"/>
    <w:rsid w:val="00234ABB"/>
    <w:rsid w:val="002577ED"/>
    <w:rsid w:val="00262D2F"/>
    <w:rsid w:val="002775B6"/>
    <w:rsid w:val="00282E76"/>
    <w:rsid w:val="00285E41"/>
    <w:rsid w:val="002947C5"/>
    <w:rsid w:val="002E2421"/>
    <w:rsid w:val="002F221E"/>
    <w:rsid w:val="00305C29"/>
    <w:rsid w:val="0031286C"/>
    <w:rsid w:val="00313303"/>
    <w:rsid w:val="00357347"/>
    <w:rsid w:val="0036091A"/>
    <w:rsid w:val="003913E5"/>
    <w:rsid w:val="003F021E"/>
    <w:rsid w:val="00402320"/>
    <w:rsid w:val="004063A4"/>
    <w:rsid w:val="00474613"/>
    <w:rsid w:val="0048247F"/>
    <w:rsid w:val="004A4B26"/>
    <w:rsid w:val="004B29E3"/>
    <w:rsid w:val="004C0A1B"/>
    <w:rsid w:val="004C0A56"/>
    <w:rsid w:val="004C1E98"/>
    <w:rsid w:val="004C2573"/>
    <w:rsid w:val="00533E1B"/>
    <w:rsid w:val="00550D56"/>
    <w:rsid w:val="0056364D"/>
    <w:rsid w:val="0059348A"/>
    <w:rsid w:val="005A170E"/>
    <w:rsid w:val="005A2567"/>
    <w:rsid w:val="005B43C2"/>
    <w:rsid w:val="005C18AE"/>
    <w:rsid w:val="005C68BC"/>
    <w:rsid w:val="005E2D10"/>
    <w:rsid w:val="005E69DC"/>
    <w:rsid w:val="005F0DEA"/>
    <w:rsid w:val="005F12E8"/>
    <w:rsid w:val="005F4497"/>
    <w:rsid w:val="005F5E3C"/>
    <w:rsid w:val="006068E5"/>
    <w:rsid w:val="00613800"/>
    <w:rsid w:val="006209FC"/>
    <w:rsid w:val="00621141"/>
    <w:rsid w:val="00636D0A"/>
    <w:rsid w:val="00645190"/>
    <w:rsid w:val="006514FE"/>
    <w:rsid w:val="0065173B"/>
    <w:rsid w:val="00660F88"/>
    <w:rsid w:val="006774B8"/>
    <w:rsid w:val="00694E0B"/>
    <w:rsid w:val="006B68F3"/>
    <w:rsid w:val="006C32BD"/>
    <w:rsid w:val="006C60F0"/>
    <w:rsid w:val="006E42E3"/>
    <w:rsid w:val="006F18B8"/>
    <w:rsid w:val="006F6F5A"/>
    <w:rsid w:val="007054D1"/>
    <w:rsid w:val="00732E46"/>
    <w:rsid w:val="00756915"/>
    <w:rsid w:val="00771AA2"/>
    <w:rsid w:val="007938DE"/>
    <w:rsid w:val="007A2DEB"/>
    <w:rsid w:val="007B07C3"/>
    <w:rsid w:val="007B38DE"/>
    <w:rsid w:val="007B62A7"/>
    <w:rsid w:val="007C410D"/>
    <w:rsid w:val="007C5FE2"/>
    <w:rsid w:val="007E5119"/>
    <w:rsid w:val="007E713A"/>
    <w:rsid w:val="007F4FB6"/>
    <w:rsid w:val="0080720F"/>
    <w:rsid w:val="00810E2F"/>
    <w:rsid w:val="00813371"/>
    <w:rsid w:val="00827FB8"/>
    <w:rsid w:val="008313C6"/>
    <w:rsid w:val="00851B4D"/>
    <w:rsid w:val="00874977"/>
    <w:rsid w:val="008856C3"/>
    <w:rsid w:val="0089298D"/>
    <w:rsid w:val="008E1FF8"/>
    <w:rsid w:val="008E4F03"/>
    <w:rsid w:val="00932FBA"/>
    <w:rsid w:val="009454A2"/>
    <w:rsid w:val="00954BD6"/>
    <w:rsid w:val="0096199E"/>
    <w:rsid w:val="00986618"/>
    <w:rsid w:val="009A0AA6"/>
    <w:rsid w:val="009B429F"/>
    <w:rsid w:val="009D0B85"/>
    <w:rsid w:val="009E2C51"/>
    <w:rsid w:val="009E73E3"/>
    <w:rsid w:val="00A26A6A"/>
    <w:rsid w:val="00A27561"/>
    <w:rsid w:val="00A320DF"/>
    <w:rsid w:val="00A41540"/>
    <w:rsid w:val="00A530D2"/>
    <w:rsid w:val="00A6122B"/>
    <w:rsid w:val="00A65256"/>
    <w:rsid w:val="00A80BDA"/>
    <w:rsid w:val="00A853F3"/>
    <w:rsid w:val="00AA5225"/>
    <w:rsid w:val="00AB4C22"/>
    <w:rsid w:val="00AC0FD4"/>
    <w:rsid w:val="00AF3089"/>
    <w:rsid w:val="00B05CCE"/>
    <w:rsid w:val="00B07BB7"/>
    <w:rsid w:val="00B10AF1"/>
    <w:rsid w:val="00B51AB6"/>
    <w:rsid w:val="00B54450"/>
    <w:rsid w:val="00B60677"/>
    <w:rsid w:val="00B630FA"/>
    <w:rsid w:val="00B83635"/>
    <w:rsid w:val="00BC0495"/>
    <w:rsid w:val="00BE4774"/>
    <w:rsid w:val="00C04F49"/>
    <w:rsid w:val="00C16047"/>
    <w:rsid w:val="00C25825"/>
    <w:rsid w:val="00C52F3D"/>
    <w:rsid w:val="00C54B70"/>
    <w:rsid w:val="00C64D24"/>
    <w:rsid w:val="00C72820"/>
    <w:rsid w:val="00C7592D"/>
    <w:rsid w:val="00C821C0"/>
    <w:rsid w:val="00C9162C"/>
    <w:rsid w:val="00CB5CB4"/>
    <w:rsid w:val="00CC21A8"/>
    <w:rsid w:val="00CD54DC"/>
    <w:rsid w:val="00CF48E2"/>
    <w:rsid w:val="00D050EC"/>
    <w:rsid w:val="00D05F12"/>
    <w:rsid w:val="00D10AC8"/>
    <w:rsid w:val="00D20E00"/>
    <w:rsid w:val="00D66528"/>
    <w:rsid w:val="00D83AF6"/>
    <w:rsid w:val="00D868B8"/>
    <w:rsid w:val="00D87F8B"/>
    <w:rsid w:val="00DA34C3"/>
    <w:rsid w:val="00DA5A9A"/>
    <w:rsid w:val="00DB3364"/>
    <w:rsid w:val="00DB4355"/>
    <w:rsid w:val="00DC758F"/>
    <w:rsid w:val="00DD7F24"/>
    <w:rsid w:val="00DF6629"/>
    <w:rsid w:val="00E05735"/>
    <w:rsid w:val="00E2077B"/>
    <w:rsid w:val="00E247D3"/>
    <w:rsid w:val="00E30D60"/>
    <w:rsid w:val="00E45781"/>
    <w:rsid w:val="00E57D3D"/>
    <w:rsid w:val="00E625A7"/>
    <w:rsid w:val="00E653B5"/>
    <w:rsid w:val="00E65DF7"/>
    <w:rsid w:val="00E90136"/>
    <w:rsid w:val="00EA352F"/>
    <w:rsid w:val="00EC35CE"/>
    <w:rsid w:val="00EE01E7"/>
    <w:rsid w:val="00EE02E8"/>
    <w:rsid w:val="00EF6430"/>
    <w:rsid w:val="00F22A05"/>
    <w:rsid w:val="00F33F99"/>
    <w:rsid w:val="00F63565"/>
    <w:rsid w:val="00F67007"/>
    <w:rsid w:val="00FA6C74"/>
    <w:rsid w:val="00FB41DF"/>
    <w:rsid w:val="00FD69D2"/>
    <w:rsid w:val="00FF4CD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434F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827FB8"/>
    <w:pPr>
      <w:keepNext/>
      <w:spacing w:before="240" w:after="80"/>
      <w:jc w:val="center"/>
      <w:outlineLvl w:val="0"/>
    </w:pPr>
    <w:rPr>
      <w:smallCaps/>
      <w:kern w:val="28"/>
    </w:rPr>
  </w:style>
  <w:style w:type="paragraph" w:styleId="Heading2">
    <w:name w:val="heading 2"/>
    <w:basedOn w:val="Normal"/>
    <w:next w:val="Normal"/>
    <w:link w:val="Heading2Char"/>
    <w:uiPriority w:val="9"/>
    <w:unhideWhenUsed/>
    <w:qFormat/>
    <w:pPr>
      <w:keepNext/>
      <w:numPr>
        <w:ilvl w:val="1"/>
        <w:numId w:val="1"/>
      </w:numPr>
      <w:spacing w:before="120" w:after="60"/>
      <w:outlineLvl w:val="1"/>
    </w:pPr>
    <w:rPr>
      <w:i/>
      <w:iCs/>
    </w:rPr>
  </w:style>
  <w:style w:type="paragraph" w:styleId="Heading3">
    <w:name w:val="heading 3"/>
    <w:basedOn w:val="Normal"/>
    <w:next w:val="Normal"/>
    <w:uiPriority w:val="9"/>
    <w:unhideWhenUsed/>
    <w:qFormat/>
    <w:pPr>
      <w:keepNext/>
      <w:numPr>
        <w:ilvl w:val="2"/>
        <w:numId w:val="1"/>
      </w:numPr>
      <w:outlineLvl w:val="2"/>
    </w:pPr>
    <w:rPr>
      <w:i/>
      <w:iCs/>
    </w:rPr>
  </w:style>
  <w:style w:type="paragraph" w:styleId="Heading4">
    <w:name w:val="heading 4"/>
    <w:basedOn w:val="Normal"/>
    <w:next w:val="Normal"/>
    <w:uiPriority w:val="9"/>
    <w:semiHidden/>
    <w:unhideWhenUsed/>
    <w:qFormat/>
    <w:pPr>
      <w:keepNext/>
      <w:numPr>
        <w:ilvl w:val="3"/>
        <w:numId w:val="1"/>
      </w:numPr>
      <w:spacing w:before="240" w:after="60"/>
      <w:outlineLvl w:val="3"/>
    </w:pPr>
    <w:rPr>
      <w:i/>
      <w:iCs/>
      <w:sz w:val="18"/>
      <w:szCs w:val="18"/>
    </w:rPr>
  </w:style>
  <w:style w:type="paragraph" w:styleId="Heading5">
    <w:name w:val="heading 5"/>
    <w:basedOn w:val="Normal"/>
    <w:next w:val="Normal"/>
    <w:uiPriority w:val="9"/>
    <w:semiHidden/>
    <w:unhideWhenUsed/>
    <w:qFormat/>
    <w:pPr>
      <w:numPr>
        <w:ilvl w:val="4"/>
        <w:numId w:val="1"/>
      </w:numPr>
      <w:spacing w:before="240" w:after="60"/>
      <w:outlineLvl w:val="4"/>
    </w:pPr>
    <w:rPr>
      <w:sz w:val="18"/>
      <w:szCs w:val="18"/>
    </w:rPr>
  </w:style>
  <w:style w:type="paragraph" w:styleId="Heading6">
    <w:name w:val="heading 6"/>
    <w:basedOn w:val="Normal"/>
    <w:next w:val="Normal"/>
    <w:uiPriority w:val="9"/>
    <w:semiHidden/>
    <w:unhideWhenUsed/>
    <w:qFormat/>
    <w:pPr>
      <w:numPr>
        <w:ilvl w:val="5"/>
        <w:numId w:val="1"/>
      </w:numPr>
      <w:spacing w:before="240" w:after="60"/>
      <w:outlineLvl w:val="5"/>
    </w:pPr>
    <w:rPr>
      <w:i/>
      <w:iCs/>
      <w:sz w:val="16"/>
      <w:szCs w:val="16"/>
    </w:rPr>
  </w:style>
  <w:style w:type="paragraph" w:styleId="Heading7">
    <w:name w:val="heading 7"/>
    <w:basedOn w:val="Normal"/>
    <w:next w:val="Normal"/>
    <w:uiPriority w:val="9"/>
    <w:qFormat/>
    <w:pPr>
      <w:numPr>
        <w:ilvl w:val="6"/>
        <w:numId w:val="1"/>
      </w:numPr>
      <w:spacing w:before="240" w:after="60"/>
      <w:outlineLvl w:val="6"/>
    </w:pPr>
    <w:rPr>
      <w:sz w:val="16"/>
      <w:szCs w:val="16"/>
    </w:rPr>
  </w:style>
  <w:style w:type="paragraph" w:styleId="Heading8">
    <w:name w:val="heading 8"/>
    <w:basedOn w:val="Normal"/>
    <w:next w:val="Normal"/>
    <w:uiPriority w:val="9"/>
    <w:qFormat/>
    <w:pPr>
      <w:numPr>
        <w:ilvl w:val="7"/>
        <w:numId w:val="1"/>
      </w:numPr>
      <w:spacing w:before="240" w:after="60"/>
      <w:outlineLvl w:val="7"/>
    </w:pPr>
    <w:rPr>
      <w:i/>
      <w:iCs/>
      <w:sz w:val="16"/>
      <w:szCs w:val="16"/>
    </w:rPr>
  </w:style>
  <w:style w:type="paragraph" w:styleId="Heading9">
    <w:name w:val="heading 9"/>
    <w:basedOn w:val="Normal"/>
    <w:next w:val="Normal"/>
    <w:uiPriority w:val="9"/>
    <w:qFormat/>
    <w:pPr>
      <w:numPr>
        <w:ilvl w:val="8"/>
        <w:numId w:val="1"/>
      </w:numPr>
      <w:spacing w:before="240" w:after="60"/>
      <w:outlineLvl w:val="8"/>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framePr w:w="9360" w:hSpace="187" w:vSpace="187" w:wrap="notBeside" w:vAnchor="text" w:hAnchor="page" w:xAlign="center" w:y="1"/>
      <w:jc w:val="center"/>
    </w:pPr>
    <w:rPr>
      <w:kern w:val="28"/>
      <w:sz w:val="48"/>
      <w:szCs w:val="48"/>
    </w:rPr>
  </w:style>
  <w:style w:type="paragraph" w:customStyle="1" w:styleId="Abstract">
    <w:name w:val="Abstract"/>
    <w:basedOn w:val="Normal"/>
    <w:next w:val="Normal"/>
    <w:pPr>
      <w:spacing w:before="20"/>
      <w:ind w:firstLine="202"/>
      <w:jc w:val="both"/>
    </w:pPr>
    <w:rPr>
      <w:b/>
      <w:bCs/>
      <w:sz w:val="18"/>
      <w:szCs w:val="18"/>
    </w:rPr>
  </w:style>
  <w:style w:type="paragraph" w:customStyle="1" w:styleId="Authors">
    <w:name w:val="Authors"/>
    <w:basedOn w:val="Normal"/>
    <w:next w:val="Normal"/>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FootnoteText">
    <w:name w:val="footnote text"/>
    <w:basedOn w:val="Normal"/>
    <w:link w:val="FootnoteTextChar"/>
    <w:semiHidden/>
    <w:pPr>
      <w:ind w:firstLine="202"/>
      <w:jc w:val="both"/>
    </w:pPr>
    <w:rPr>
      <w:sz w:val="16"/>
      <w:szCs w:val="16"/>
    </w:rPr>
  </w:style>
  <w:style w:type="paragraph" w:customStyle="1" w:styleId="References">
    <w:name w:val="References"/>
    <w:basedOn w:val="Normal"/>
    <w:pPr>
      <w:numPr>
        <w:numId w:val="6"/>
      </w:numPr>
      <w:jc w:val="both"/>
    </w:pPr>
    <w:rPr>
      <w:sz w:val="16"/>
      <w:szCs w:val="16"/>
    </w:rPr>
  </w:style>
  <w:style w:type="paragraph" w:customStyle="1" w:styleId="IndexTerms">
    <w:name w:val="IndexTerms"/>
    <w:basedOn w:val="Normal"/>
    <w:next w:val="Normal"/>
    <w:pPr>
      <w:ind w:firstLine="202"/>
      <w:jc w:val="both"/>
    </w:pPr>
    <w:rPr>
      <w:b/>
      <w:bCs/>
      <w:sz w:val="18"/>
      <w:szCs w:val="18"/>
    </w:rPr>
  </w:style>
  <w:style w:type="character" w:styleId="FootnoteReference">
    <w:name w:val="footnote reference"/>
    <w:semiHidden/>
    <w:rPr>
      <w:vertAlign w:val="superscript"/>
    </w:rPr>
  </w:style>
  <w:style w:type="paragraph" w:styleId="Footer">
    <w:name w:val="footer"/>
    <w:basedOn w:val="Normal"/>
    <w:link w:val="FooterChar"/>
    <w:uiPriority w:val="99"/>
    <w:pPr>
      <w:tabs>
        <w:tab w:val="center" w:pos="4320"/>
        <w:tab w:val="right" w:pos="8640"/>
      </w:tabs>
    </w:pPr>
  </w:style>
  <w:style w:type="paragraph" w:customStyle="1" w:styleId="Text">
    <w:name w:val="Text"/>
    <w:basedOn w:val="Normal"/>
    <w:link w:val="TextChar"/>
    <w:pPr>
      <w:widowControl w:val="0"/>
      <w:spacing w:line="252" w:lineRule="auto"/>
      <w:ind w:firstLine="202"/>
      <w:jc w:val="both"/>
    </w:pPr>
  </w:style>
  <w:style w:type="paragraph" w:customStyle="1" w:styleId="FigureCaption">
    <w:name w:val="Figure Caption"/>
    <w:basedOn w:val="Normal"/>
    <w:pPr>
      <w:jc w:val="both"/>
    </w:pPr>
    <w:rPr>
      <w:sz w:val="16"/>
      <w:szCs w:val="16"/>
    </w:rPr>
  </w:style>
  <w:style w:type="paragraph" w:customStyle="1" w:styleId="TableTitle">
    <w:name w:val="Table Title"/>
    <w:basedOn w:val="Normal"/>
    <w:pPr>
      <w:jc w:val="center"/>
    </w:pPr>
    <w:rPr>
      <w:smallCaps/>
      <w:sz w:val="16"/>
      <w:szCs w:val="16"/>
    </w:rPr>
  </w:style>
  <w:style w:type="paragraph" w:customStyle="1" w:styleId="ReferenceHead">
    <w:name w:val="Reference Head"/>
    <w:basedOn w:val="Heading1"/>
    <w:link w:val="ReferenceHeadChar"/>
  </w:style>
  <w:style w:type="paragraph" w:styleId="Header">
    <w:name w:val="header"/>
    <w:basedOn w:val="Normal"/>
    <w:pPr>
      <w:tabs>
        <w:tab w:val="center" w:pos="4320"/>
        <w:tab w:val="right" w:pos="8640"/>
      </w:tabs>
    </w:pPr>
  </w:style>
  <w:style w:type="paragraph" w:customStyle="1" w:styleId="Equation">
    <w:name w:val="Equation"/>
    <w:basedOn w:val="Normal"/>
    <w:next w:val="Normal"/>
    <w:pPr>
      <w:widowControl w:val="0"/>
      <w:tabs>
        <w:tab w:val="right" w:pos="5040"/>
      </w:tabs>
      <w:spacing w:line="252" w:lineRule="auto"/>
      <w:jc w:val="both"/>
    </w:pPr>
  </w:style>
  <w:style w:type="character" w:styleId="Hyperlink">
    <w:name w:val="Hyperlink"/>
    <w:rPr>
      <w:color w:val="0000FF"/>
      <w:u w:val="single"/>
    </w:rPr>
  </w:style>
  <w:style w:type="character" w:styleId="FollowedHyperlink">
    <w:name w:val="FollowedHyperlink"/>
    <w:rPr>
      <w:color w:val="800080"/>
      <w:u w:val="single"/>
    </w:rPr>
  </w:style>
  <w:style w:type="paragraph" w:styleId="BodyTextIndent">
    <w:name w:val="Body Text Indent"/>
    <w:basedOn w:val="Normal"/>
    <w:link w:val="BodyTextIndentChar"/>
    <w:pPr>
      <w:ind w:left="630" w:hanging="630"/>
    </w:pPr>
    <w:rPr>
      <w:szCs w:val="24"/>
    </w:rPr>
  </w:style>
  <w:style w:type="paragraph" w:styleId="DocumentMap">
    <w:name w:val="Document Map"/>
    <w:basedOn w:val="Normal"/>
    <w:semiHidden/>
    <w:rsid w:val="00DC5FC7"/>
    <w:pPr>
      <w:shd w:val="clear" w:color="auto" w:fill="000080"/>
    </w:pPr>
    <w:rPr>
      <w:rFonts w:ascii="Tahoma" w:hAnsi="Tahoma" w:cs="Tahoma"/>
    </w:rPr>
  </w:style>
  <w:style w:type="paragraph" w:customStyle="1" w:styleId="Pa0">
    <w:name w:val="Pa0"/>
    <w:basedOn w:val="Normal"/>
    <w:next w:val="Normal"/>
    <w:rsid w:val="00426966"/>
    <w:pPr>
      <w:widowControl w:val="0"/>
      <w:adjustRightInd w:val="0"/>
      <w:spacing w:line="241" w:lineRule="atLeast"/>
    </w:pPr>
    <w:rPr>
      <w:rFonts w:ascii="Baskerville" w:hAnsi="Baskerville"/>
      <w:sz w:val="24"/>
      <w:szCs w:val="24"/>
    </w:rPr>
  </w:style>
  <w:style w:type="character" w:customStyle="1" w:styleId="A5">
    <w:name w:val="A5"/>
    <w:rsid w:val="00426966"/>
    <w:rPr>
      <w:color w:val="00529F"/>
      <w:sz w:val="20"/>
      <w:szCs w:val="20"/>
    </w:rPr>
  </w:style>
  <w:style w:type="paragraph" w:styleId="BalloonText">
    <w:name w:val="Balloon Text"/>
    <w:basedOn w:val="Normal"/>
    <w:link w:val="BalloonTextChar"/>
    <w:rsid w:val="00F33D49"/>
    <w:rPr>
      <w:rFonts w:ascii="Tahoma" w:hAnsi="Tahoma" w:cs="Tahoma"/>
      <w:sz w:val="16"/>
      <w:szCs w:val="16"/>
    </w:rPr>
  </w:style>
  <w:style w:type="character" w:customStyle="1" w:styleId="BalloonTextChar">
    <w:name w:val="Balloon Text Char"/>
    <w:link w:val="BalloonText"/>
    <w:rsid w:val="00F33D49"/>
    <w:rPr>
      <w:rFonts w:ascii="Tahoma" w:hAnsi="Tahoma" w:cs="Tahoma"/>
      <w:sz w:val="16"/>
      <w:szCs w:val="16"/>
    </w:rPr>
  </w:style>
  <w:style w:type="character" w:customStyle="1" w:styleId="MediumGrid11">
    <w:name w:val="Medium Grid 11"/>
    <w:uiPriority w:val="99"/>
    <w:semiHidden/>
    <w:rsid w:val="009A1F6E"/>
    <w:rPr>
      <w:color w:val="808080"/>
    </w:rPr>
  </w:style>
  <w:style w:type="paragraph" w:customStyle="1" w:styleId="ParagraphStyle1">
    <w:name w:val="Paragraph Style 1"/>
    <w:basedOn w:val="Normal"/>
    <w:uiPriority w:val="99"/>
    <w:rsid w:val="00C82D86"/>
    <w:pPr>
      <w:widowControl w:val="0"/>
      <w:tabs>
        <w:tab w:val="left" w:pos="480"/>
      </w:tabs>
      <w:adjustRightInd w:val="0"/>
      <w:spacing w:before="100" w:line="280" w:lineRule="atLeast"/>
      <w:textAlignment w:val="center"/>
    </w:pPr>
    <w:rPr>
      <w:rFonts w:ascii="Formata-Regular" w:eastAsia="MS Mincho" w:hAnsi="Formata-Regular" w:cs="Formata-Regular"/>
      <w:color w:val="000000"/>
      <w:sz w:val="22"/>
      <w:szCs w:val="22"/>
      <w:lang w:eastAsia="ja-JP"/>
    </w:rPr>
  </w:style>
  <w:style w:type="character" w:customStyle="1" w:styleId="BodyText1">
    <w:name w:val="Body Text1"/>
    <w:uiPriority w:val="99"/>
    <w:rsid w:val="00C82D86"/>
    <w:rPr>
      <w:rFonts w:ascii="Verdana" w:hAnsi="Verdana" w:cs="Verdana"/>
      <w:color w:val="000000"/>
      <w:sz w:val="22"/>
      <w:szCs w:val="22"/>
    </w:rPr>
  </w:style>
  <w:style w:type="character" w:customStyle="1" w:styleId="bodytype">
    <w:name w:val="body type"/>
    <w:uiPriority w:val="99"/>
    <w:rsid w:val="00C82D86"/>
    <w:rPr>
      <w:rFonts w:ascii="Formata-Regular" w:hAnsi="Formata-Regular" w:cs="Formata-Regular"/>
      <w:color w:val="000000"/>
      <w:sz w:val="22"/>
      <w:szCs w:val="22"/>
    </w:rPr>
  </w:style>
  <w:style w:type="paragraph" w:customStyle="1" w:styleId="Style1">
    <w:name w:val="Style1"/>
    <w:basedOn w:val="ReferenceHead"/>
    <w:link w:val="Style1Char"/>
    <w:qFormat/>
    <w:rsid w:val="003F52AD"/>
  </w:style>
  <w:style w:type="character" w:customStyle="1" w:styleId="Heading1Char">
    <w:name w:val="Heading 1 Char"/>
    <w:link w:val="Heading1"/>
    <w:uiPriority w:val="9"/>
    <w:rsid w:val="00827FB8"/>
    <w:rPr>
      <w:smallCaps/>
      <w:kern w:val="28"/>
    </w:rPr>
  </w:style>
  <w:style w:type="character" w:customStyle="1" w:styleId="ReferenceHeadChar">
    <w:name w:val="Reference Head Char"/>
    <w:link w:val="ReferenceHead"/>
    <w:rsid w:val="003F52AD"/>
    <w:rPr>
      <w:smallCaps/>
      <w:kern w:val="28"/>
    </w:rPr>
  </w:style>
  <w:style w:type="character" w:customStyle="1" w:styleId="Style1Char">
    <w:name w:val="Style1 Char"/>
    <w:link w:val="Style1"/>
    <w:rsid w:val="003F52AD"/>
    <w:rPr>
      <w:smallCaps/>
      <w:kern w:val="28"/>
    </w:rPr>
  </w:style>
  <w:style w:type="paragraph" w:customStyle="1" w:styleId="ColorfulShading-Accent11">
    <w:name w:val="Colorful Shading - Accent 11"/>
    <w:hidden/>
    <w:uiPriority w:val="99"/>
    <w:semiHidden/>
    <w:rsid w:val="001B36B1"/>
  </w:style>
  <w:style w:type="character" w:customStyle="1" w:styleId="BodyText2">
    <w:name w:val="Body Text2"/>
    <w:uiPriority w:val="99"/>
    <w:rsid w:val="001B36B1"/>
    <w:rPr>
      <w:rFonts w:ascii="Verdana" w:hAnsi="Verdana" w:cs="Verdana"/>
      <w:color w:val="000000"/>
      <w:sz w:val="22"/>
      <w:szCs w:val="22"/>
    </w:rPr>
  </w:style>
  <w:style w:type="character" w:customStyle="1" w:styleId="Heading2Char">
    <w:name w:val="Heading 2 Char"/>
    <w:link w:val="Heading2"/>
    <w:uiPriority w:val="9"/>
    <w:rsid w:val="001B36B1"/>
    <w:rPr>
      <w:i/>
      <w:iCs/>
    </w:rPr>
  </w:style>
  <w:style w:type="paragraph" w:customStyle="1" w:styleId="TextL-MAG">
    <w:name w:val="Text L-MAG"/>
    <w:basedOn w:val="Normal"/>
    <w:link w:val="TextL-MAGChar"/>
    <w:qFormat/>
    <w:rsid w:val="009C7D17"/>
    <w:pPr>
      <w:widowControl w:val="0"/>
      <w:tabs>
        <w:tab w:val="left" w:pos="360"/>
      </w:tabs>
      <w:spacing w:line="276" w:lineRule="auto"/>
      <w:ind w:firstLine="360"/>
      <w:jc w:val="both"/>
    </w:pPr>
    <w:rPr>
      <w:rFonts w:ascii="Arial" w:eastAsia="MS Mincho" w:hAnsi="Arial"/>
      <w:sz w:val="18"/>
      <w:szCs w:val="22"/>
      <w:lang w:eastAsia="ja-JP"/>
    </w:rPr>
  </w:style>
  <w:style w:type="character" w:customStyle="1" w:styleId="TextL-MAGChar">
    <w:name w:val="Text L-MAG Char"/>
    <w:link w:val="TextL-MAG"/>
    <w:rsid w:val="009C7D17"/>
    <w:rPr>
      <w:rFonts w:ascii="Arial" w:eastAsia="MS Mincho" w:hAnsi="Arial"/>
      <w:sz w:val="18"/>
      <w:szCs w:val="22"/>
      <w:lang w:eastAsia="ja-JP"/>
    </w:rPr>
  </w:style>
  <w:style w:type="character" w:customStyle="1" w:styleId="FooterChar">
    <w:name w:val="Footer Char"/>
    <w:basedOn w:val="DefaultParagraphFont"/>
    <w:link w:val="Footer"/>
    <w:uiPriority w:val="99"/>
    <w:rsid w:val="00D90C10"/>
  </w:style>
  <w:style w:type="character" w:customStyle="1" w:styleId="FootnoteTextChar">
    <w:name w:val="Footnote Text Char"/>
    <w:link w:val="FootnoteText"/>
    <w:semiHidden/>
    <w:rsid w:val="00C075EF"/>
    <w:rPr>
      <w:sz w:val="16"/>
      <w:szCs w:val="16"/>
    </w:rPr>
  </w:style>
  <w:style w:type="character" w:customStyle="1" w:styleId="BodyTextIndentChar">
    <w:name w:val="Body Text Indent Char"/>
    <w:link w:val="BodyTextIndent"/>
    <w:rsid w:val="003F26BD"/>
    <w:rPr>
      <w:szCs w:val="24"/>
    </w:rPr>
  </w:style>
  <w:style w:type="character" w:customStyle="1" w:styleId="m5113501246024331607m-6864882937387638336gmail-il">
    <w:name w:val="m_5113501246024331607m_-6864882937387638336gmail-il"/>
    <w:basedOn w:val="DefaultParagraphFont"/>
    <w:rsid w:val="0076355A"/>
  </w:style>
  <w:style w:type="paragraph" w:customStyle="1" w:styleId="ColorfulList-Accent11">
    <w:name w:val="Colorful List - Accent 11"/>
    <w:basedOn w:val="Normal"/>
    <w:uiPriority w:val="34"/>
    <w:qFormat/>
    <w:rsid w:val="0076355A"/>
    <w:pPr>
      <w:ind w:left="720"/>
      <w:contextualSpacing/>
    </w:pPr>
  </w:style>
  <w:style w:type="character" w:customStyle="1" w:styleId="apple-converted-space">
    <w:name w:val="apple-converted-space"/>
    <w:basedOn w:val="DefaultParagraphFont"/>
    <w:rsid w:val="00F932B6"/>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character" w:customStyle="1" w:styleId="UnresolvedMention1">
    <w:name w:val="Unresolved Mention1"/>
    <w:basedOn w:val="DefaultParagraphFont"/>
    <w:uiPriority w:val="99"/>
    <w:semiHidden/>
    <w:unhideWhenUsed/>
    <w:rsid w:val="00A853F3"/>
    <w:rPr>
      <w:color w:val="605E5C"/>
      <w:shd w:val="clear" w:color="auto" w:fill="E1DFDD"/>
    </w:rPr>
  </w:style>
  <w:style w:type="character" w:styleId="CommentReference">
    <w:name w:val="annotation reference"/>
    <w:basedOn w:val="DefaultParagraphFont"/>
    <w:uiPriority w:val="99"/>
    <w:semiHidden/>
    <w:unhideWhenUsed/>
    <w:rsid w:val="001E7EDB"/>
    <w:rPr>
      <w:sz w:val="16"/>
      <w:szCs w:val="16"/>
    </w:rPr>
  </w:style>
  <w:style w:type="paragraph" w:styleId="CommentText">
    <w:name w:val="annotation text"/>
    <w:basedOn w:val="Normal"/>
    <w:link w:val="CommentTextChar"/>
    <w:uiPriority w:val="99"/>
    <w:semiHidden/>
    <w:unhideWhenUsed/>
    <w:rsid w:val="001E7EDB"/>
  </w:style>
  <w:style w:type="character" w:customStyle="1" w:styleId="CommentTextChar">
    <w:name w:val="Comment Text Char"/>
    <w:basedOn w:val="DefaultParagraphFont"/>
    <w:link w:val="CommentText"/>
    <w:uiPriority w:val="99"/>
    <w:semiHidden/>
    <w:rsid w:val="001E7EDB"/>
  </w:style>
  <w:style w:type="paragraph" w:styleId="CommentSubject">
    <w:name w:val="annotation subject"/>
    <w:basedOn w:val="CommentText"/>
    <w:next w:val="CommentText"/>
    <w:link w:val="CommentSubjectChar"/>
    <w:uiPriority w:val="99"/>
    <w:semiHidden/>
    <w:unhideWhenUsed/>
    <w:rsid w:val="001E7EDB"/>
    <w:rPr>
      <w:b/>
      <w:bCs/>
    </w:rPr>
  </w:style>
  <w:style w:type="character" w:customStyle="1" w:styleId="CommentSubjectChar">
    <w:name w:val="Comment Subject Char"/>
    <w:basedOn w:val="CommentTextChar"/>
    <w:link w:val="CommentSubject"/>
    <w:uiPriority w:val="99"/>
    <w:semiHidden/>
    <w:rsid w:val="001E7EDB"/>
    <w:rPr>
      <w:b/>
      <w:bCs/>
    </w:rPr>
  </w:style>
  <w:style w:type="paragraph" w:styleId="ListParagraph">
    <w:name w:val="List Paragraph"/>
    <w:basedOn w:val="Normal"/>
    <w:uiPriority w:val="34"/>
    <w:qFormat/>
    <w:rsid w:val="00DB3364"/>
    <w:pPr>
      <w:ind w:left="720"/>
      <w:contextualSpacing/>
    </w:pPr>
  </w:style>
  <w:style w:type="character" w:styleId="Emphasis">
    <w:name w:val="Emphasis"/>
    <w:basedOn w:val="DefaultParagraphFont"/>
    <w:uiPriority w:val="20"/>
    <w:qFormat/>
    <w:rsid w:val="002947C5"/>
    <w:rPr>
      <w:i/>
      <w:iCs/>
    </w:rPr>
  </w:style>
  <w:style w:type="paragraph" w:styleId="NormalWeb">
    <w:name w:val="Normal (Web)"/>
    <w:basedOn w:val="Normal"/>
    <w:uiPriority w:val="99"/>
    <w:semiHidden/>
    <w:unhideWhenUsed/>
    <w:rsid w:val="00DA5A9A"/>
    <w:pPr>
      <w:spacing w:before="100" w:beforeAutospacing="1" w:after="100" w:afterAutospacing="1"/>
    </w:pPr>
    <w:rPr>
      <w:sz w:val="24"/>
      <w:szCs w:val="24"/>
    </w:rPr>
  </w:style>
  <w:style w:type="character" w:customStyle="1" w:styleId="TextChar">
    <w:name w:val="Text Char"/>
    <w:link w:val="Text"/>
    <w:rsid w:val="00BE4774"/>
  </w:style>
  <w:style w:type="paragraph" w:customStyle="1" w:styleId="PARA">
    <w:name w:val="PARA"/>
    <w:basedOn w:val="Text"/>
    <w:link w:val="PARAChar"/>
    <w:rsid w:val="00621141"/>
    <w:pPr>
      <w:ind w:firstLine="0"/>
    </w:pPr>
  </w:style>
  <w:style w:type="paragraph" w:customStyle="1" w:styleId="PARAIndent">
    <w:name w:val="PARA_Indent"/>
    <w:basedOn w:val="Text"/>
    <w:link w:val="PARAIndentChar"/>
    <w:rsid w:val="00621141"/>
    <w:pPr>
      <w:spacing w:line="240" w:lineRule="auto"/>
    </w:pPr>
  </w:style>
  <w:style w:type="character" w:customStyle="1" w:styleId="PARAIndentChar">
    <w:name w:val="PARA_Indent Char"/>
    <w:link w:val="PARAIndent"/>
    <w:rsid w:val="00621141"/>
  </w:style>
  <w:style w:type="character" w:customStyle="1" w:styleId="PARAChar">
    <w:name w:val="PARA Char"/>
    <w:link w:val="PARA"/>
    <w:rsid w:val="0062114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231187393">
      <w:bodyDiv w:val="1"/>
      <w:marLeft w:val="0"/>
      <w:marRight w:val="0"/>
      <w:marTop w:val="0"/>
      <w:marBottom w:val="0"/>
      <w:divBdr>
        <w:top w:val="none" w:sz="0" w:space="0" w:color="auto"/>
        <w:left w:val="none" w:sz="0" w:space="0" w:color="auto"/>
        <w:bottom w:val="none" w:sz="0" w:space="0" w:color="auto"/>
        <w:right w:val="none" w:sz="0" w:space="0" w:color="auto"/>
      </w:divBdr>
      <w:divsChild>
        <w:div w:id="21169730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63418517">
              <w:marLeft w:val="0"/>
              <w:marRight w:val="0"/>
              <w:marTop w:val="0"/>
              <w:marBottom w:val="0"/>
              <w:divBdr>
                <w:top w:val="none" w:sz="0" w:space="0" w:color="auto"/>
                <w:left w:val="none" w:sz="0" w:space="0" w:color="auto"/>
                <w:bottom w:val="none" w:sz="0" w:space="0" w:color="auto"/>
                <w:right w:val="none" w:sz="0" w:space="0" w:color="auto"/>
              </w:divBdr>
              <w:divsChild>
                <w:div w:id="175772336">
                  <w:marLeft w:val="0"/>
                  <w:marRight w:val="0"/>
                  <w:marTop w:val="0"/>
                  <w:marBottom w:val="0"/>
                  <w:divBdr>
                    <w:top w:val="none" w:sz="0" w:space="0" w:color="auto"/>
                    <w:left w:val="none" w:sz="0" w:space="0" w:color="auto"/>
                    <w:bottom w:val="none" w:sz="0" w:space="0" w:color="auto"/>
                    <w:right w:val="none" w:sz="0" w:space="0" w:color="auto"/>
                  </w:divBdr>
                  <w:divsChild>
                    <w:div w:id="91903409">
                      <w:marLeft w:val="0"/>
                      <w:marRight w:val="0"/>
                      <w:marTop w:val="0"/>
                      <w:marBottom w:val="0"/>
                      <w:divBdr>
                        <w:top w:val="none" w:sz="0" w:space="0" w:color="auto"/>
                        <w:left w:val="none" w:sz="0" w:space="0" w:color="auto"/>
                        <w:bottom w:val="none" w:sz="0" w:space="0" w:color="auto"/>
                        <w:right w:val="none" w:sz="0" w:space="0" w:color="auto"/>
                      </w:divBdr>
                      <w:divsChild>
                        <w:div w:id="349307477">
                          <w:blockQuote w:val="1"/>
                          <w:marLeft w:val="96"/>
                          <w:marRight w:val="0"/>
                          <w:marTop w:val="0"/>
                          <w:marBottom w:val="0"/>
                          <w:divBdr>
                            <w:top w:val="none" w:sz="0" w:space="0" w:color="auto"/>
                            <w:left w:val="single" w:sz="6" w:space="6" w:color="CCCCCC"/>
                            <w:bottom w:val="none" w:sz="0" w:space="0" w:color="auto"/>
                            <w:right w:val="none" w:sz="0" w:space="0" w:color="auto"/>
                          </w:divBdr>
                          <w:divsChild>
                            <w:div w:id="690840997">
                              <w:marLeft w:val="0"/>
                              <w:marRight w:val="0"/>
                              <w:marTop w:val="0"/>
                              <w:marBottom w:val="0"/>
                              <w:divBdr>
                                <w:top w:val="none" w:sz="0" w:space="0" w:color="auto"/>
                                <w:left w:val="none" w:sz="0" w:space="0" w:color="auto"/>
                                <w:bottom w:val="none" w:sz="0" w:space="0" w:color="auto"/>
                                <w:right w:val="none" w:sz="0" w:space="0" w:color="auto"/>
                              </w:divBdr>
                              <w:divsChild>
                                <w:div w:id="229121804">
                                  <w:marLeft w:val="0"/>
                                  <w:marRight w:val="0"/>
                                  <w:marTop w:val="0"/>
                                  <w:marBottom w:val="0"/>
                                  <w:divBdr>
                                    <w:top w:val="none" w:sz="0" w:space="0" w:color="auto"/>
                                    <w:left w:val="none" w:sz="0" w:space="0" w:color="auto"/>
                                    <w:bottom w:val="none" w:sz="0" w:space="0" w:color="auto"/>
                                    <w:right w:val="none" w:sz="0" w:space="0" w:color="auto"/>
                                  </w:divBdr>
                                  <w:divsChild>
                                    <w:div w:id="708576033">
                                      <w:marLeft w:val="0"/>
                                      <w:marRight w:val="0"/>
                                      <w:marTop w:val="0"/>
                                      <w:marBottom w:val="0"/>
                                      <w:divBdr>
                                        <w:top w:val="none" w:sz="0" w:space="0" w:color="auto"/>
                                        <w:left w:val="none" w:sz="0" w:space="0" w:color="auto"/>
                                        <w:bottom w:val="none" w:sz="0" w:space="0" w:color="auto"/>
                                        <w:right w:val="none" w:sz="0" w:space="0" w:color="auto"/>
                                      </w:divBdr>
                                      <w:divsChild>
                                        <w:div w:id="1432965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569195544">
      <w:bodyDiv w:val="1"/>
      <w:marLeft w:val="0"/>
      <w:marRight w:val="0"/>
      <w:marTop w:val="0"/>
      <w:marBottom w:val="0"/>
      <w:divBdr>
        <w:top w:val="none" w:sz="0" w:space="0" w:color="auto"/>
        <w:left w:val="none" w:sz="0" w:space="0" w:color="auto"/>
        <w:bottom w:val="none" w:sz="0" w:space="0" w:color="auto"/>
        <w:right w:val="none" w:sz="0" w:space="0" w:color="auto"/>
      </w:divBdr>
      <w:divsChild>
        <w:div w:id="6960059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95332046">
              <w:marLeft w:val="0"/>
              <w:marRight w:val="0"/>
              <w:marTop w:val="0"/>
              <w:marBottom w:val="0"/>
              <w:divBdr>
                <w:top w:val="none" w:sz="0" w:space="0" w:color="auto"/>
                <w:left w:val="none" w:sz="0" w:space="0" w:color="auto"/>
                <w:bottom w:val="none" w:sz="0" w:space="0" w:color="auto"/>
                <w:right w:val="none" w:sz="0" w:space="0" w:color="auto"/>
              </w:divBdr>
              <w:divsChild>
                <w:div w:id="1457792411">
                  <w:marLeft w:val="0"/>
                  <w:marRight w:val="0"/>
                  <w:marTop w:val="0"/>
                  <w:marBottom w:val="0"/>
                  <w:divBdr>
                    <w:top w:val="none" w:sz="0" w:space="0" w:color="auto"/>
                    <w:left w:val="none" w:sz="0" w:space="0" w:color="auto"/>
                    <w:bottom w:val="none" w:sz="0" w:space="0" w:color="auto"/>
                    <w:right w:val="none" w:sz="0" w:space="0" w:color="auto"/>
                  </w:divBdr>
                  <w:divsChild>
                    <w:div w:id="1929775424">
                      <w:marLeft w:val="0"/>
                      <w:marRight w:val="0"/>
                      <w:marTop w:val="0"/>
                      <w:marBottom w:val="0"/>
                      <w:divBdr>
                        <w:top w:val="none" w:sz="0" w:space="0" w:color="auto"/>
                        <w:left w:val="none" w:sz="0" w:space="0" w:color="auto"/>
                        <w:bottom w:val="none" w:sz="0" w:space="0" w:color="auto"/>
                        <w:right w:val="none" w:sz="0" w:space="0" w:color="auto"/>
                      </w:divBdr>
                      <w:divsChild>
                        <w:div w:id="1271738231">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925020562">
                              <w:marLeft w:val="0"/>
                              <w:marRight w:val="0"/>
                              <w:marTop w:val="0"/>
                              <w:marBottom w:val="0"/>
                              <w:divBdr>
                                <w:top w:val="none" w:sz="0" w:space="0" w:color="auto"/>
                                <w:left w:val="none" w:sz="0" w:space="0" w:color="auto"/>
                                <w:bottom w:val="none" w:sz="0" w:space="0" w:color="auto"/>
                                <w:right w:val="none" w:sz="0" w:space="0" w:color="auto"/>
                              </w:divBdr>
                              <w:divsChild>
                                <w:div w:id="804002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880160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www.overleaf.com/blog/278-how-to-use-overleaf-with-ieee-collabratec-your-quick-guide-to-getting-started%23.Vp6tpPkrKM9" TargetMode="External"/><Relationship Id="rId18" Type="http://schemas.openxmlformats.org/officeDocument/2006/relationships/hyperlink" Target="https://store.wiris.com/en/products/mathtype/download" TargetMode="External"/><Relationship Id="rId26" Type="http://schemas.openxmlformats.org/officeDocument/2006/relationships/hyperlink" Target="http://www.ieee.org/publications_standards/publications/authors/authors_submission.html" TargetMode="External"/><Relationship Id="rId3" Type="http://schemas.openxmlformats.org/officeDocument/2006/relationships/numbering" Target="numbering.xml"/><Relationship Id="rId21" Type="http://schemas.openxmlformats.org/officeDocument/2006/relationships/image" Target="media/image2.png"/><Relationship Id="rId7" Type="http://schemas.openxmlformats.org/officeDocument/2006/relationships/footnotes" Target="footnotes.xml"/><Relationship Id="rId12" Type="http://schemas.openxmlformats.org/officeDocument/2006/relationships/hyperlink" Target="https://www.overleaf.com/blog/278-how-to-use-overleaf-with-ieee-collabratec-your-quick-guide-to-getting-started%23.Vp6tpPkrKM9" TargetMode="External"/><Relationship Id="rId17" Type="http://schemas.openxmlformats.org/officeDocument/2006/relationships/image" Target="media/image1.png"/><Relationship Id="rId25" Type="http://schemas.openxmlformats.org/officeDocument/2006/relationships/hyperlink" Target="https://journals.ieeeauthorcenter.ieee.org/create-your-ieee-journal-article/create-the-text-of-your-article/ieee-editorial-style-manual/" TargetMode="External"/><Relationship Id="rId2" Type="http://schemas.openxmlformats.org/officeDocument/2006/relationships/customXml" Target="../customXml/item2.xml"/><Relationship Id="rId16" Type="http://schemas.openxmlformats.org/officeDocument/2006/relationships/hyperlink" Target="https://journals.ieeeauthorcenter.ieee.org/create-your-ieee-journal-article/create-the-text-of-your-article/structure-your-article/" TargetMode="External"/><Relationship Id="rId20" Type="http://schemas.openxmlformats.org/officeDocument/2006/relationships/hyperlink" Target="http://journals.ieeeauthorcenter.ieee.org/wp-content/uploads/sites/7/IEEE-Math-Typesetting-Guide-for-MS-Word-Users.pdf" TargetMode="External"/><Relationship Id="rId29" Type="http://schemas.openxmlformats.org/officeDocument/2006/relationships/hyperlink" Target="https://journals.ieeeauthorcenter.ieee.org/become-an-ieee-journal-author/publishing-ethics/guidelines-and-policies/"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journals.ieeeauthorcenter.ieee.org/create-your-ieee-journal-article/authoring-tools-and-templates/tools-for-ieee-authors/ieee-article-templates/" TargetMode="External"/><Relationship Id="rId24" Type="http://schemas.openxmlformats.org/officeDocument/2006/relationships/oleObject" Target="embeddings/oleObject1.bin"/><Relationship Id="rId32"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hyperlink" Target="https://journals.ieeeauthorcenter.ieee.org/create-your-ieee-journal-article/create-the-text-of-your-article/ieee-editorial-style-manual/" TargetMode="External"/><Relationship Id="rId23" Type="http://schemas.openxmlformats.org/officeDocument/2006/relationships/image" Target="media/image4.wmf"/><Relationship Id="rId28" Type="http://schemas.openxmlformats.org/officeDocument/2006/relationships/hyperlink" Target="https://www.ieee.org/publications/rights/index.html" TargetMode="External"/><Relationship Id="rId10" Type="http://schemas.openxmlformats.org/officeDocument/2006/relationships/hyperlink" Target="https://www.ieee.org/publications/services/thesaurus.html" TargetMode="External"/><Relationship Id="rId19" Type="http://schemas.openxmlformats.org/officeDocument/2006/relationships/hyperlink" Target="http://journals.ieeeauthorcenter.ieee.org/wp-content/uploads/sites/7/Editing-Mathematics.pdf" TargetMode="External"/><Relationship Id="rId31"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hyperlink" Target="https://www.overleaf.com/blog/278-how-to-use-overleaf-with-ieee-collabratec-your-quick-guide-to-getting-started%23.Vp6tpPkrKM9" TargetMode="External"/><Relationship Id="rId22" Type="http://schemas.openxmlformats.org/officeDocument/2006/relationships/image" Target="media/image3.tiff"/><Relationship Id="rId27" Type="http://schemas.openxmlformats.org/officeDocument/2006/relationships/hyperlink" Target="https://www.ieee.org/publications/rights/index.html" TargetMode="External"/><Relationship Id="rId30" Type="http://schemas.openxmlformats.org/officeDocument/2006/relationships/image" Target="media/image5.jpeg"/><Relationship Id="rId33" Type="http://schemas.openxmlformats.org/officeDocument/2006/relationships/image" Target="media/fig1_alt.emf"/><Relationship Id="rId34" Type="http://schemas.openxmlformats.org/officeDocument/2006/relationships/image" Target="media/fig1_architecture.emf"/><Relationship Id="rId35" Type="http://schemas.openxmlformats.org/officeDocument/2006/relationships/image" Target="media/fig2_scaling.emf"/><Relationship Id="rId36" Type="http://schemas.openxmlformats.org/officeDocument/2006/relationships/image" Target="media/fig_e1_heatmap.emf"/><Relationship Id="rId37" Type="http://schemas.openxmlformats.org/officeDocument/2006/relationships/image" Target="media/fig4_bounds.emf"/><Relationship Id="rId38" Type="http://schemas.openxmlformats.org/officeDocument/2006/relationships/image" Target="media/fig3_anytime.emf"/><Relationship Id="rId39" Type="http://schemas.openxmlformats.org/officeDocument/2006/relationships/image" Target="media/fig_e13_margins.emf"/><Relationship Id="rId40" Type="http://schemas.openxmlformats.org/officeDocument/2006/relationships/image" Target="media/fig_e14_rho.emf"/><Relationship Id="rId41" Type="http://schemas.openxmlformats.org/officeDocument/2006/relationships/image" Target="media/fig5_cascade.emf"/><Relationship Id="rId42" Type="http://schemas.openxmlformats.org/officeDocument/2006/relationships/image" Target="media/fig_e5_ablation.emf"/><Relationship Id="rId43" Type="http://schemas.openxmlformats.org/officeDocument/2006/relationships/image" Target="media/fig_e20_lsh.emf"/><Relationship Id="rId44" Type="http://schemas.openxmlformats.org/officeDocument/2006/relationships/image" Target="media/fig6_memorization.emf"/><Relationship Id="rId45" Type="http://schemas.openxmlformats.org/officeDocument/2006/relationships/image" Target="media/fig7_case.emf"/><Relationship Id="rId46" Type="http://schemas.openxmlformats.org/officeDocument/2006/relationships/image" Target="media/fig8_census.emf"/><Relationship Id="rId47" Type="http://schemas.openxmlformats.org/officeDocument/2006/relationships/image" Target="media/fig_e21_memorization.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jPovk3igAzhESNbNe8yh+DWI7/jA==">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</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7FDB3116-7FC6-4074-8BFD-613BFCEE0C0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4702</Words>
  <Characters>26805</Characters>
  <Application>Microsoft Office Word</Application>
  <DocSecurity>0</DocSecurity>
  <Lines>223</Lines>
  <Paragraphs>62</Paragraphs>
  <ScaleCrop>false</ScaleCrop>
  <Company/>
  <LinksUpToDate>false</LinksUpToDate>
  <CharactersWithSpaces>31445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Yalong Zhang</dc:creator>
  <cp:lastModifiedBy>Yalong Zhang</cp:lastModifiedBy>
  <cp:revision>1</cp:revision>
  <dcterms:created xsi:type="dcterms:W3CDTF">2024-06-12T13:11:00Z</dcterms:created>
  <dcterms:modified xsi:type="dcterms:W3CDTF">2024-06-12T13:11:00Z</dcterms:modified>
  <dc:title>Guarantees, Not Thresholds: Provable-Recall Screening with Structural Confirmation for Copy Detection in Symbolic Music</dc:title>
  <dc:subject>copy detection, symbolic music</dc:subject>
  <dc:description/>
  <cp:category>journal submission draft</cp:category>
</cp:coreProperties>
</file>