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sectPr w:rsidR="007E713A" w:rsidSect="00002FAF">
          <w:headerReference w:type="default" r:id="rId9"/>
          <w:type w:val="continuous"/>
          <w:pgSz w:w="12240" w:h="15840"/>
          <w:pgMar w:top="1008" w:right="936" w:bottom="1008" w:left="936" w:header="432" w:footer="432" w:gutter="0"/>
          <w:cols w:space="288"/>
        </w:sectPr>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(Proposition 1 formalizes the invisibility; Section V-G measures it).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 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 To our knowledge, no prior copy-detection system states and audits its screening contract as a per-query recall guarantee under a declared noise model.</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motivated by a negative result that is also a theorem (Proposition 1: no corpus-side resemblance threshold attains complete recall on contained copies) and validated empirically: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spacing w:after="0"/>
        <w:ind w:firstLine="227"/>
        <w:jc w:val="both"/>
      </w:pPr>
      <w:r>
        <w:t xml:space="preserve">Proposition 1 (containment invisibility of resemblance). Fix </w:t>
      </w:r>
      <w:r>
        <w:rPr>
          <w:i/>
        </w:rPr>
        <w:t>τ</w:t>
      </w:r>
      <w:r>
        <w:t xml:space="preserve"> &gt; 0 and a query Q with </w:t>
      </w:r>
      <w:r>
        <w:rPr>
          <w:i/>
        </w:rPr>
        <w:t>q</w:t>
      </w:r>
      <w:r>
        <w:t xml:space="preserve"> items. For any corpus piece </w:t>
      </w:r>
      <w:r>
        <w:rPr>
          <w:i/>
        </w:rPr>
        <w:t>P</w:t>
      </w:r>
      <w:r>
        <w:t xml:space="preserve"> with p distinct items, J(Q, </w:t>
      </w:r>
      <w:r>
        <w:rPr>
          <w:i/>
        </w:rPr>
        <w:t>P</w:t>
      </w:r>
      <w:r>
        <w:t xml:space="preserve">) ≤ </w:t>
      </w:r>
      <w:r>
        <w:rPr>
          <w:i/>
        </w:rPr>
        <w:t>q</w:t>
      </w:r>
      <w:r>
        <w:t xml:space="preserve">/p: the donor of a planted span scores below </w:t>
      </w:r>
      <w:r>
        <w:rPr>
          <w:i/>
        </w:rPr>
        <w:t>τ</w:t>
      </w:r>
      <w:r>
        <w:t xml:space="preserve"> whenever p &gt; </w:t>
      </w:r>
      <w:r>
        <w:rPr>
          <w:i/>
        </w:rPr>
        <w:t>q</w:t>
      </w:r>
      <w:r>
        <w:t>/</w:t>
      </w:r>
      <w:r>
        <w:rPr>
          <w:i/>
        </w:rPr>
        <w:t>τ</w:t>
      </w:r>
      <w:r>
        <w:t xml:space="preserve">, however faithfully the copied items are preserved. No fixed corpus-side resemblance threshold therefore attains complete recall on contained copies, and no MinHash-LSH configuration repairs this, since banding only reparametrizes the same Jaccard operating point. Proof: the intersection contains at most the </w:t>
      </w:r>
      <w:r>
        <w:rPr>
          <w:i/>
        </w:rPr>
        <w:t>q</w:t>
      </w:r>
      <w:r>
        <w:t xml:space="preserve"> query items and the union contains all p piece items; the bound is tight when the span is the only overlap. ∎</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(tolerant evidence lower bound and certified open set). Let a query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the two frequent-itemset engines of our companion papers (under review) serve as enumeration baselines. They are independent of—and not contributions of—this paper; for completeness, Algorithm 1 gives pseudocode of the full pipeline, and the released source contains both engines' complete implementation details.</w:t>
      </w:r>
    </w:p>
    <w:p>
      <w:pPr>
        <w:spacing w:after="0"/>
        <w:ind w:firstLine="204"/>
        <w:jc w:val="both"/>
      </w:pPr>
      <w:r>
        <w:t xml:space="preserve">Environment. All experiments run on one commodity workstation (12th-generation Intel Core i9, 128 GB RAM); the computation engines are </w:t>
      </w:r>
      <w:r>
        <w:rPr>
          <w:i/>
        </w:rPr>
        <w:t>C</w:t>
      </w:r>
      <w:r>
        <w:t>++, the harness (corpus preparation, index building, measurement, figure and table generation) is Python 3.12 with NumPy, and all quoted latencies are CPU-only figures. The released pipeline re-downloads the corpus shards, rebuilds the index, and regenerates every table and figure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two companion engines—was measured infeasible at the support levels copying detection requires (over 11 million frequent pairs at </w:t>
      </w:r>
      <w:r>
        <w:rPr>
          <w:i/>
        </w:rPr>
        <w:t>N</w:t>
      </w:r>
      <w:r>
        <w:t>=300 under the standard cutoff), which is precisely why the architecture places FIM semantics on the query side. Fig. 3 reports scaling on subsampled corpora and Table II gives the corresponding numbers.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spacing w:before="4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(6-semitone transposition exceeds the ±2 guarantee). Fig. 5 verifies the bound: across all 337 cells the measured donor evidence never falls below the theoretical lower bound (0 violations; margins in Table IV),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Proposition 1 turns the expected failure of this baseline into a prediction to test. A planted query of the recall matrix embeds a 40-item span in 300 noise items and probes pieces of ~700 distinct items; the proposition then rules out any resemblance threshold that both recovers such contained donors and keeps candidate volume bounded, because the donor's Jaccard is capped near the span-to-container ratio and can only fall as containers grow. The measurement confirms the cap is operative, not hypothetical: even a perfect set-Jaccard oracle scores the donor at only 0.045 / 0.099 / 0.200 (quartiles over the 337 cells; Fig. 11(a)); just 168 of 337 donors reach Jaccard 0.10. A contained copy is structurally invisible to relative overlap, however faithfully its items are preserved.</w:t>
      </w:r>
    </w:p>
    <w:p>
      <w:pPr>
        <w:spacing w:after="0"/>
        <w:ind w:firstLine="204"/>
        <w:jc w:val="both"/>
      </w:pPr>
      <w:r>
        <w:t xml:space="preserve">Tuning the band configuration then moves the operating point along the recall-versus-candidate-volume trade-off the proposition predicts,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[33], [34]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rPr>
          <w:sz w:val="12"/>
        </w:r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