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Guarantees, Not Thresholds: Provable-Recall Screening with Structural Confirmation for Copy Detection in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When a publisher screens a submission against a corpus of 174,300 MIDI files, or a dataset curator must decide whether a generative model has memorized its training data, every missed copy is a liability and every false alarm is an expert afternoon lost. Existing systems force a choice no such user can afford: audio fingerprinting and learned embeddings tolerate noise but certify no recall; exact pattern mining carries no recall guarantee and explodes at the support levels copying requires; and the set-similarity engines behind large-scale deduplication are structurally blind to contained copies. We show that this trade-off is architectural rather than fundamental and dissolve it by giving the two layers different contracts. A tolerant item-set screen guarantees recall per query through an evidence lower bound, verified cell by cell on 337 adversarial cells with zero violations, and its rare-first anytime schedule answers in time driven by the evidence rather than by the corpus. A strict structural confirmation layer then aligns ordered note chains, cutting the fragment-level false-positive rate on style-similar hard negatives to 2.1% at 83.9% recall under transcription noise. The index builds in 24.7 s and answers queries in 41.9 ms (p50) at 100% planted recall. The same pipeline screens a trained music generator across the full memorization spectrum with 96-100% correct source attribution, and delivers a full-corpus census of duplicate structure, localizing spliced segments and transposed covers with score-checkable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stakes are concrete: a census run with the system of this paper finds on the order of 107k verbatim-level duplicate pairs in a single public corpus mirror alone (Section VI-C).</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[1], [2] and chroma-based matching [3], [4] target audio and tolerate noise well, but their features are lossy with respect to the symbolic content publishers must adjudicate, and they provide no recall guarantee. Frequent itemset mining (FIM) and its geometric cousins (SIATEC and successors) [5], [6], [7]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Nor can the gap be closed by re-tuning the engines that power large-scale deduplication. The obstacle is geometric: a copied span of about 40 items embedded in a piece of about 700 items scores below 0.10 in set-Jaccard under a perfect oracle (measured quartiles 0.045/0.099/0.200 over our 337-cell adversarial audit), and no band configuration of a MinHash-LSH index recovers such a donor at any operating point (Section V-G). Relative overlap has no threshold at which a contained copy becomes visible, so resemblance cannot be tuned into recall; containment must be verified query-side, not estimated corpus-side (Proposition 1 formalizes the invisibility; Section V-G measures it). This negative result is what motivates the architecture: the screen's contract must be stated on evidence, not on similarity.</w:t>
      </w:r>
    </w:p>
    <w:p>
      <w:pPr>
        <w:spacing w:after="0"/>
        <w:ind w:firstLine="204"/>
        <w:jc w:val="both"/>
      </w:pPr>
      <w:r>
        <w:t>Cover-song identification has moved to learned audio embeddings [8]–[10], while plagiarism detection specifically has been addressed with chroma-based forensics [11], bipartite graph matching [12], and melodic-similarity analysis of real copyright cases [13]; these audio- and embedding-centric methods, like query-by-humming lineage [14], [15], do not provide a symbolic, per-query recall guarantee of the kind a publisher can contract against. Fig. 1 previews the whole system as an evidence funnel: candidate sets narrow through the L1 screen and the L2 top-</w:t>
      </w:r>
      <w:r>
        <w:rPr>
          <w:i/>
        </w:rPr>
        <w:t>C</w:t>
      </w:r>
      <w:r>
        <w:t xml:space="preserve"> gate while the recall floor (Thm 1) stays unbroken; L3 inspects survivors under a structural lens, and confirmed matches ship as adjudicable reports.</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6"/>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w:t>
      </w:r>
      <w:r>
        <w:rPr>
          <w:i/>
          <w:sz w:val="16"/>
        </w:rPr>
        <w:t>ρ</w:t>
      </w:r>
      <w:r>
        <w:rPr>
          <w:sz w:val="16"/>
        </w:rPr>
        <w:t xml:space="preserve"> = 0.62 ≥ 0.5) as a publisher-readable verdict.</w:t>
      </w:r>
    </w:p>
    <w:p>
      <w:pPr>
        <w:rPr>
          <w:sz w:val="12"/>
        </w:rPr>
        <w:sectPr w:rsidR="007E713A" w:rsidSect="00002FAF">
          <w:headerReference w:type="default" r:id="rId9"/>
          <w:type w:val="continuous"/>
          <w:pgSz w:w="12240" w:h="15840"/>
          <w:pgMar w:top="1008" w:right="936" w:bottom="1008" w:left="936" w:header="432" w:footer="432" w:gutter="0"/>
          <w:cols w:space="288"/>
        </w:sectPr>
      </w:pP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[16]: under a partial budget it must return the best partial answer together with a sound bound on what remains open. To our knowledge, no prior copy-detection system states and audits its screening contract as a per-query recall guarantee under a declared noise model.</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through-line of these results is that guarantees, not thresholds, are the unit of design: each layer is specified by a contract it must honor, and every reported number is a measurement of contract compliance rather than a tuned operating point. The contributions are: (1) an architectural decomposition of copy detection into a provable-recall screening problem and a structural confirmation problem, with formal contracts for each layer, motivated by a negative result that is also a theorem (Proposition 1: no corpus-side resemblance threshold attains complete recall on contained copies) and validated empirically: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pStyle w:val="Heading1"/>
      </w:pPr>
      <w:r>
        <w:t>II. RELATED WORK</w:t>
      </w:r>
    </w:p>
    <w:p>
      <w:pPr>
        <w:pStyle w:val="Heading2"/>
        <w:spacing w:before="100"/>
      </w:pPr>
      <w:r>
        <w:t>A. Symbolic music retrieval and pattern discovery</w:t>
      </w:r>
    </w:p>
    <w:p>
      <w:pPr>
        <w:spacing w:after="0"/>
        <w:ind w:firstLine="204"/>
        <w:jc w:val="both"/>
      </w:pPr>
      <w:r>
        <w:t>Sequence-based matching of notated music under edit distance and transportation distance was established by Typke et al. [17], and geometric repeated-pattern discovery by Meredith et al. [5]. Surveying the field, Casey et al. [1] and Typke et al. [2] separate audio-descriptor approaches from symbolic approaches; Müller [3], [4] systematize chroma and alignment techniques. Our screen layer inherits the item-set view of FIM [6], [7]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[18] and sequence-comparison methods benchmarked on the Lakh corpus [19]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w:t>
      </w:r>
      <w:r>
        <w:rPr>
          <w:i/>
        </w:rPr>
        <w:t>C</w:t>
      </w:r>
      <w:r>
        <w:t xml:space="preserve"> set small enough that exact structural alignment becomes affordable, while the bound certifies that nothing outside the set needs alignment at all.</w:t>
      </w:r>
    </w:p>
    <w:p>
      <w:pPr>
        <w:pStyle w:val="Heading2"/>
        <w:spacing w:before="100"/>
      </w:pPr>
      <w:r>
        <w:t>B. Memorization in generative models</w:t>
      </w:r>
    </w:p>
    <w:p>
      <w:pPr>
        <w:spacing w:after="0"/>
        <w:ind w:firstLine="204"/>
        <w:jc w:val="both"/>
      </w:pPr>
      <w:r>
        <w:t xml:space="preserve">Carlini et al. [20] demonstrated that large language models regurgitate training sequences and that extraction is detectable with membership tests [21]; the same extraction was then shown for diffusion models [22]. Deduplication reduces both verbatim regurgitation and privacy leakage [23], [24], and memorization is measurable even in probabilistic deep generative models [25]. For music specifically, symbolic generators such as Music Transformer [26] are trained on scraped MIDI, membership-inference auditing of generative music models has only recently been demonstrated [27], influence-level attribution has been explored with audio embeddings [28], and the legal status of such training data remains contested [29].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spacing w:before="100"/>
      </w:pPr>
      <w:r>
        <w:t>C. Anytime algorithms</w:t>
      </w:r>
    </w:p>
    <w:p>
      <w:pPr>
        <w:spacing w:after="0"/>
        <w:ind w:firstLine="204"/>
        <w:jc w:val="both"/>
      </w:pPr>
      <w:r>
        <w:t>Zilberstein [16]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w:t>
      </w:r>
      <w:r>
        <w:rPr>
          <w:i/>
        </w:rPr>
        <w:t>k</w:t>
      </w:r>
      <w:r>
        <w:t xml:space="preserve"> aggregation [30] maintain a partial-score bound under which no unseen candidate can qualify, and branch-and-bound search [31] carries an admissible estimate of everything not yet explored. Theorem 1 transfers this contract to tolerant item-set evidence: because every unprocessed position can contribute at most one to any piece, </w:t>
      </w:r>
      <w:r>
        <w:rPr>
          <w:i/>
        </w:rPr>
        <w:t>score</w:t>
      </w:r>
      <w:r>
        <w:rPr>
          <w:i/>
          <w:vertAlign w:val="subscript"/>
        </w:rPr>
        <w:t>u</w:t>
      </w:r>
      <w:r>
        <w:rPr>
          <w:i/>
        </w:rPr>
        <w:t>(P)</w:t>
      </w:r>
      <w:r>
        <w:t xml:space="preserve"> + (</w:t>
      </w:r>
      <w:r>
        <w:rPr>
          <w:i/>
        </w:rPr>
        <w:t>q</w:t>
      </w:r>
      <w:r>
        <w:t xml:space="preserve"> − </w:t>
      </w:r>
      <w:r>
        <w:rPr>
          <w:i/>
        </w:rPr>
        <w:t>u</w:t>
      </w:r>
      <w:r>
        <w:t>)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pStyle w:val="Heading2"/>
        <w:spacing w:before="100"/>
      </w:pPr>
      <w:r>
        <w:t>A. Problem statement and notation</w:t>
      </w:r>
    </w:p>
    <w:p>
      <w:pPr>
        <w:spacing w:after="0"/>
        <w:ind w:firstLine="204"/>
        <w:jc w:val="both"/>
      </w:pPr>
      <w:r>
        <w:t xml:space="preserve">A piece </w:t>
      </w:r>
      <w:r>
        <w:rPr>
          <w:i/>
        </w:rPr>
        <w:t>P</w:t>
      </w:r>
      <w:r>
        <w:t xml:space="preserve"> = (</w:t>
      </w:r>
      <w:r>
        <w:rPr>
          <w:i/>
        </w:rPr>
        <w:t>e₁</w:t>
      </w:r>
      <w:r>
        <w:t xml:space="preserve">, …, </w:t>
      </w:r>
      <w:r>
        <w:rPr>
          <w:i/>
        </w:rPr>
        <w:t>e</w:t>
      </w:r>
      <w:r>
        <w:rPr>
          <w:i/>
          <w:vertAlign w:val="subscript"/>
        </w:rPr>
        <w:t>n</w:t>
      </w:r>
      <w:r>
        <w:t xml:space="preserve">) is a sequence of note events </w:t>
      </w:r>
      <w:r>
        <w:rPr>
          <w:i/>
        </w:rPr>
        <w:t>e</w:t>
      </w:r>
      <w:r>
        <w:rPr>
          <w:i/>
          <w:vertAlign w:val="subscript"/>
        </w:rPr>
        <w:t>i</w:t>
      </w:r>
      <w:r>
        <w:t xml:space="preserve"> = (</w:t>
      </w:r>
      <w:r>
        <w:rPr>
          <w:i/>
        </w:rPr>
        <w:t>t</w:t>
      </w:r>
      <w:r>
        <w:rPr>
          <w:i/>
          <w:vertAlign w:val="subscript"/>
        </w:rPr>
        <w:t>i</w:t>
      </w:r>
      <w:r>
        <w:t xml:space="preserve">, </w:t>
      </w:r>
      <w:r>
        <w:rPr>
          <w:i/>
        </w:rPr>
        <w:t>p</w:t>
      </w:r>
      <w:r>
        <w:rPr>
          <w:i/>
          <w:vertAlign w:val="subscript"/>
        </w:rPr>
        <w:t>i</w:t>
      </w:r>
      <w:r>
        <w:t xml:space="preserve">, </w:t>
      </w:r>
      <w:r>
        <w:rPr>
          <w:i/>
        </w:rPr>
        <w:t>d</w:t>
      </w:r>
      <w:r>
        <w:rPr>
          <w:i/>
          <w:vertAlign w:val="subscript"/>
        </w:rPr>
        <w:t>i</w:t>
      </w:r>
      <w:r>
        <w:t xml:space="preserve">, </w:t>
      </w:r>
      <w:r>
        <w:rPr>
          <w:i/>
        </w:rPr>
        <w:t>v</w:t>
      </w:r>
      <w:r>
        <w:rPr>
          <w:i/>
          <w:vertAlign w:val="subscript"/>
        </w:rPr>
        <w:t>i</w:t>
      </w:r>
      <w:r>
        <w:t xml:space="preserve">): onset time, MIDI pitch, duration, and velocity. An encoding </w:t>
      </w:r>
      <w:r>
        <w:rPr>
          <w:i/>
        </w:rPr>
        <w:t>φ</w:t>
      </w:r>
      <w:r>
        <w:t xml:space="preserve"> maps each event to an item, a tuple of quantized features (Section III-B); the item set </w:t>
      </w:r>
      <w:r>
        <w:rPr>
          <w:i/>
        </w:rPr>
        <w:t>S(P)</w:t>
      </w:r>
      <w:r>
        <w:t>, the union of {</w:t>
      </w:r>
      <w:r>
        <w:rPr>
          <w:i/>
        </w:rPr>
        <w:t>φ</w:t>
      </w:r>
      <w:r>
        <w:t>(</w:t>
      </w:r>
      <w:r>
        <w:rPr>
          <w:i/>
        </w:rPr>
        <w:t>e</w:t>
      </w:r>
      <w:r>
        <w:rPr>
          <w:i/>
          <w:vertAlign w:val="subscript"/>
        </w:rPr>
        <w:t>i</w:t>
      </w:r>
      <w:r>
        <w:t xml:space="preserve">)} over all positions, discards order and repetition. For tolerance vector </w:t>
      </w:r>
      <w:r>
        <w:rPr>
          <w:i/>
        </w:rPr>
        <w:t>k</w:t>
      </w:r>
      <w:r>
        <w:t xml:space="preserve"> = (</w:t>
      </w:r>
      <w:r>
        <w:rPr>
          <w:i/>
        </w:rPr>
        <w:t>k_pitch</w:t>
      </w:r>
      <w:r>
        <w:t xml:space="preserve">, </w:t>
      </w:r>
      <w:r>
        <w:rPr>
          <w:i/>
        </w:rPr>
        <w:t>k_bin</w:t>
      </w:r>
      <w:r>
        <w:t xml:space="preserve">, </w:t>
      </w:r>
      <w:r>
        <w:rPr>
          <w:i/>
        </w:rPr>
        <w:t>k_vel</w:t>
      </w:r>
      <w:r>
        <w:t xml:space="preserve">), the neighborhood </w:t>
      </w:r>
      <w:r>
        <w:rPr>
          <w:i/>
        </w:rPr>
        <w:t>N</w:t>
      </w:r>
      <w:r>
        <w:rPr>
          <w:i/>
          <w:vertAlign w:val="subscript"/>
        </w:rPr>
        <w:t>k</w:t>
      </w:r>
      <w:r>
        <w:rPr>
          <w:i/>
        </w:rPr>
        <w:t>(x)</w:t>
      </w:r>
      <w:r>
        <w:t xml:space="preserve"> of an item x is the set of items whose pitch differs by at most </w:t>
      </w:r>
      <w:r>
        <w:rPr>
          <w:i/>
        </w:rPr>
        <w:t>k_pitch</w:t>
      </w:r>
      <w:r>
        <w:t xml:space="preserve"> semitones and whose duration, inter-onset interval (IOI), and velocity bins differ by at most </w:t>
      </w:r>
      <w:r>
        <w:rPr>
          <w:i/>
        </w:rPr>
        <w:t>k_bin</w:t>
      </w:r>
      <w:r>
        <w:t xml:space="preserve"> and </w:t>
      </w:r>
      <w:r>
        <w:rPr>
          <w:i/>
        </w:rPr>
        <w:t>k_vel</w:t>
      </w:r>
      <w:r>
        <w:t xml:space="preserve"> bins respectively. A planted copy of a span </w:t>
      </w:r>
      <w:r>
        <w:rPr>
          <w:i/>
        </w:rPr>
        <w:t>X</w:t>
      </w:r>
      <w:r>
        <w:t xml:space="preserve"> is produced by transforming every event of </w:t>
      </w:r>
      <w:r>
        <w:rPr>
          <w:i/>
        </w:rPr>
        <w:t>X</w:t>
      </w:r>
      <w:r>
        <w:t xml:space="preserve"> with one of the six families of Section IV; the declared screen tolerance </w:t>
      </w:r>
      <w:r>
        <w:rPr>
          <w:i/>
        </w:rPr>
        <w:t>k</w:t>
      </w:r>
      <w:r>
        <w:t xml:space="preserve"> = (2, 1, 1) covers all families except transposition beyond ±2 semitones and transcription jitter beyond ±1 bin, which the interval-sketch index of Section III-B handles separately.</w:t>
      </w:r>
    </w:p>
    <w:p>
      <w:pPr>
        <w:spacing w:after="0"/>
        <w:ind w:firstLine="204"/>
        <w:jc w:val="both"/>
      </w:pPr>
      <w:r>
        <w:t>Problem. Given a corpus D = {</w:t>
      </w:r>
      <w:r>
        <w:rPr>
          <w:i/>
        </w:rPr>
        <w:t>P₁</w:t>
      </w:r>
      <w:r>
        <w:t xml:space="preserve">, …, </w:t>
      </w:r>
      <w:r>
        <w:rPr>
          <w:i/>
        </w:rPr>
        <w:t>P</w:t>
      </w:r>
      <w:r>
        <w:rPr>
          <w:i/>
          <w:vertAlign w:val="subscript"/>
        </w:rPr>
        <w:t>N</w:t>
      </w:r>
      <w:r>
        <w:rPr>
          <w:i/>
        </w:rPr>
        <w:t>}</w:t>
      </w:r>
      <w:r>
        <w:t xml:space="preserve"> and a query fragment </w:t>
      </w:r>
      <w:r>
        <w:rPr>
          <w:i/>
        </w:rPr>
        <w:t>q</w:t>
      </w:r>
      <w:r>
        <w:t xml:space="preserve">, return a ranked candidate list with per-candidate evidence such that (completeness) every piece that shares with </w:t>
      </w:r>
      <w:r>
        <w:rPr>
          <w:i/>
        </w:rPr>
        <w:t>q</w:t>
      </w:r>
      <w:r>
        <w:t xml:space="preserve">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spacing w:after="0"/>
        <w:ind w:firstLine="227"/>
        <w:jc w:val="both"/>
      </w:pPr>
      <w:r>
        <w:t xml:space="preserve">Proposition 1 (containment invisibility of resemblance). Fix </w:t>
      </w:r>
      <w:r>
        <w:rPr>
          <w:i/>
        </w:rPr>
        <w:t>τ</w:t>
      </w:r>
      <w:r>
        <w:t xml:space="preserve"> &gt; 0 and a query Q with </w:t>
      </w:r>
      <w:r>
        <w:rPr>
          <w:i/>
        </w:rPr>
        <w:t>q</w:t>
      </w:r>
      <w:r>
        <w:t xml:space="preserve"> items. For any corpus piece </w:t>
      </w:r>
      <w:r>
        <w:rPr>
          <w:i/>
        </w:rPr>
        <w:t>P</w:t>
      </w:r>
      <w:r>
        <w:t xml:space="preserve"> with p distinct items, J(Q, </w:t>
      </w:r>
      <w:r>
        <w:rPr>
          <w:i/>
        </w:rPr>
        <w:t>P</w:t>
      </w:r>
      <w:r>
        <w:t xml:space="preserve">) ≤ </w:t>
      </w:r>
      <w:r>
        <w:rPr>
          <w:i/>
        </w:rPr>
        <w:t>q</w:t>
      </w:r>
      <w:r>
        <w:t xml:space="preserve">/p: the donor of a planted span scores below </w:t>
      </w:r>
      <w:r>
        <w:rPr>
          <w:i/>
        </w:rPr>
        <w:t>τ</w:t>
      </w:r>
      <w:r>
        <w:t xml:space="preserve"> whenever p &gt; </w:t>
      </w:r>
      <w:r>
        <w:rPr>
          <w:i/>
        </w:rPr>
        <w:t>q</w:t>
      </w:r>
      <w:r>
        <w:t>/</w:t>
      </w:r>
      <w:r>
        <w:rPr>
          <w:i/>
        </w:rPr>
        <w:t>τ</w:t>
      </w:r>
      <w:r>
        <w:t xml:space="preserve">, however faithfully the copied items are preserved. No fixed corpus-side resemblance threshold therefore attains complete recall on contained copies, and no MinHash-LSH configuration repairs this, since banding only reparametrizes the same Jaccard operating point. Proof: the intersection contains at most the </w:t>
      </w:r>
      <w:r>
        <w:rPr>
          <w:i/>
        </w:rPr>
        <w:t>q</w:t>
      </w:r>
      <w:r>
        <w:t xml:space="preserve"> query items and the union contains all p piece items; the bound is tight when the span is the only overlap. ∎</w:t>
      </w:r>
    </w:p>
    <w:p>
      <w:pPr>
        <w:pStyle w:val="Heading2"/>
        <w:spacing w:before="100"/>
      </w:pPr>
      <w:r>
        <w:t>B. Event encoding and index construction</w:t>
      </w:r>
    </w:p>
    <w:p>
      <w:pPr>
        <w:spacing w:after="0"/>
        <w:ind w:firstLine="204"/>
        <w:jc w:val="both"/>
      </w:pPr>
      <w:r>
        <w:t>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6"/>
        </w:rPr>
        <w:t xml:space="preserve">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w:t>
      </w:r>
      <w:r>
        <w:rPr>
          <w:i/>
          <w:sz w:val="16"/>
        </w:rPr>
        <w:t>ρ</w:t>
      </w:r>
      <w:r>
        <w:rPr>
          <w:sz w:val="16"/>
        </w:rPr>
        <w:t xml:space="preserve"> = 0.62 ≥ 0.5. (d) Confirmed matches ship as adjudicable reports; memorization and in-the-wild audits close the loop. Black arrows mark data flow; amber markers trace one query end to end.</w:t>
      </w:r>
    </w:p>
    <w:p>
      <w:pPr>
        <w:rPr>
          <w:sz w:val="12"/>
        </w:rPr>
        <w:sectPr w:rsidR="007E713A" w:rsidSect="00002FAF">
          <w:headerReference w:type="default" r:id="rId9"/>
          <w:type w:val="continuous"/>
          <w:pgSz w:w="12240" w:h="15840"/>
          <w:pgMar w:top="1008" w:right="936" w:bottom="1008" w:left="936" w:header="432" w:footer="432" w:gutter="0"/>
          <w:cols w:space="288"/>
        </w:sectPr>
      </w:pPr>
    </w:p>
    <w:p>
      <w:pPr>
        <w:spacing w:after="0"/>
        <w:ind w:firstLine="204"/>
        <w:jc w:val="both"/>
      </w:pPr>
      <w:r>
        <w:t xml:space="preserve">The corpus index is an inverted index from item to sorted piece-ID lists, built once in a linear pass (each piece contributes </w:t>
      </w:r>
      <w:r>
        <w:rPr>
          <w:i/>
        </w:rPr>
        <w:t>|S(P)|</w:t>
      </w:r>
      <w:r>
        <w:t xml:space="preserve"> postings). Build time and memory grow linearly with corpus size; incremental updates append postings for new pieces without rebuilding.</w:t>
      </w:r>
    </w:p>
    <w:p>
      <w:pPr>
        <w:pStyle w:val="Heading2"/>
        <w:spacing w:before="100"/>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 xml:space="preserve">Theorem 1 (tolerant evidence lower bound and certified open set). Let a query have </w:t>
      </w:r>
      <w:r>
        <w:rPr>
          <w:i/>
        </w:rPr>
        <w:t>q</w:t>
      </w:r>
      <w:r>
        <w:t xml:space="preserve"> positions, processed in any order, and let </w:t>
      </w:r>
      <w:r>
        <w:rPr>
          <w:i/>
        </w:rPr>
        <w:t>score</w:t>
      </w:r>
      <w:r>
        <w:rPr>
          <w:i/>
          <w:vertAlign w:val="subscript"/>
        </w:rPr>
        <w:t>u</w:t>
      </w:r>
      <w:r>
        <w:rPr>
          <w:i/>
        </w:rPr>
        <w:t>(P)</w:t>
      </w:r>
      <w:r>
        <w:t xml:space="preserve"> be piece </w:t>
      </w:r>
      <w:r>
        <w:rPr>
          <w:i/>
        </w:rPr>
        <w:t>P</w:t>
      </w:r>
      <w:r>
        <w:t xml:space="preserve">'s tolerant score after </w:t>
      </w:r>
      <w:r>
        <w:rPr>
          <w:i/>
        </w:rPr>
        <w:t>u</w:t>
      </w:r>
      <w:r>
        <w:t xml:space="preserve"> positions. For every piece </w:t>
      </w:r>
      <w:r>
        <w:rPr>
          <w:i/>
        </w:rPr>
        <w:t>P</w:t>
      </w:r>
      <w:r>
        <w:t xml:space="preserve"> whose copied span deviates within tolerance at every position, </w:t>
      </w:r>
      <w:r>
        <w:rPr>
          <w:i/>
        </w:rPr>
        <w:t>score</w:t>
      </w:r>
      <w:r>
        <w:rPr>
          <w:i/>
          <w:vertAlign w:val="subscript"/>
        </w:rPr>
        <w:t>u</w:t>
      </w:r>
      <w:r>
        <w:rPr>
          <w:i/>
        </w:rPr>
        <w:t>(P)</w:t>
      </w:r>
      <w:r>
        <w:t xml:space="preserve"> + (</w:t>
      </w:r>
      <w:r>
        <w:rPr>
          <w:i/>
        </w:rPr>
        <w:t>q</w:t>
      </w:r>
      <w:r>
        <w:t xml:space="preserve"> − </w:t>
      </w:r>
      <w:r>
        <w:rPr>
          <w:i/>
        </w:rPr>
        <w:t>u</w:t>
      </w:r>
      <w:r>
        <w:t xml:space="preserve">) ≥ </w:t>
      </w:r>
      <w:r>
        <w:rPr>
          <w:i/>
        </w:rPr>
        <w:t>score</w:t>
      </w:r>
      <w:r>
        <w:rPr>
          <w:i/>
          <w:vertAlign w:val="subscript"/>
        </w:rPr>
        <w:t>q</w:t>
      </w:r>
      <w:r>
        <w:rPr>
          <w:i/>
        </w:rPr>
        <w:t>(P)</w:t>
      </w:r>
      <w:r>
        <w:t xml:space="preserve">, and the open set </w:t>
      </w:r>
      <w:r>
        <w:rPr>
          <w:i/>
        </w:rPr>
        <w:t>O</w:t>
      </w:r>
      <w:r>
        <w:rPr>
          <w:i/>
          <w:vertAlign w:val="subscript"/>
        </w:rPr>
        <w:t>u</w:t>
      </w:r>
      <w:r>
        <w:t xml:space="preserve"> = {</w:t>
      </w:r>
      <w:r>
        <w:rPr>
          <w:i/>
        </w:rPr>
        <w:t>P</w:t>
      </w:r>
      <w:r>
        <w:t xml:space="preserve"> : </w:t>
      </w:r>
      <w:r>
        <w:rPr>
          <w:i/>
        </w:rPr>
        <w:t>score</w:t>
      </w:r>
      <w:r>
        <w:rPr>
          <w:i/>
          <w:vertAlign w:val="subscript"/>
        </w:rPr>
        <w:t>u</w:t>
      </w:r>
      <w:r>
        <w:rPr>
          <w:i/>
        </w:rPr>
        <w:t>(P)</w:t>
      </w:r>
      <w:r>
        <w:t xml:space="preserve"> + (</w:t>
      </w:r>
      <w:r>
        <w:rPr>
          <w:i/>
        </w:rPr>
        <w:t>q</w:t>
      </w:r>
      <w:r>
        <w:t xml:space="preserve"> − </w:t>
      </w:r>
      <w:r>
        <w:rPr>
          <w:i/>
        </w:rPr>
        <w:t>u</w:t>
      </w:r>
      <w:r>
        <w:t xml:space="preserve">) ≥ </w:t>
      </w:r>
      <w:r>
        <w:rPr>
          <w:i/>
        </w:rPr>
        <w:t>τ</w:t>
      </w:r>
      <w:r>
        <w:t xml:space="preserve">} is exactly the set of pieces that can still contain such a copy at threshold </w:t>
      </w:r>
      <w:r>
        <w:rPr>
          <w:i/>
        </w:rPr>
        <w:t>τ</w:t>
      </w:r>
      <w:r>
        <w:t xml:space="preserve">. Proof sketch: a tolerated deviation maps position </w:t>
      </w:r>
      <w:r>
        <w:rPr>
          <w:i/>
        </w:rPr>
        <w:t>i</w:t>
      </w:r>
      <w:r>
        <w:t xml:space="preserve">'s item into </w:t>
      </w:r>
      <w:r>
        <w:rPr>
          <w:i/>
        </w:rPr>
        <w:t>N</w:t>
      </w:r>
      <w:r>
        <w:rPr>
          <w:i/>
          <w:vertAlign w:val="subscript"/>
        </w:rPr>
        <w:t>k</w:t>
      </w:r>
      <w:r>
        <w:t xml:space="preserve">, so each position of a true copy contributes at least as much as a verbatim position; unprocessed positions can contribute at most one each. Hence a piece outside </w:t>
      </w:r>
      <w:r>
        <w:rPr>
          <w:i/>
        </w:rPr>
        <w:t>O</w:t>
      </w:r>
      <w:r>
        <w:rPr>
          <w:i/>
          <w:vertAlign w:val="subscript"/>
        </w:rPr>
        <w:t>u</w:t>
      </w:r>
      <w:r>
        <w:t xml:space="preserve"> cannot be a copy, and no piece inside </w:t>
      </w:r>
      <w:r>
        <w:rPr>
          <w:i/>
        </w:rPr>
        <w:t>O</w:t>
      </w:r>
      <w:r>
        <w:rPr>
          <w:i/>
          <w:vertAlign w:val="subscript"/>
        </w:rPr>
        <w:t>u</w:t>
      </w:r>
      <w:r>
        <w:t xml:space="preserve"> can be excluded yet. ∎</w:t>
      </w:r>
    </w:p>
    <w:p>
      <w:pPr>
        <w:spacing w:after="0"/>
        <w:ind w:firstLine="204"/>
        <w:jc w:val="both"/>
      </w:pPr>
      <w:r>
        <w:t xml:space="preserve">Two consequences matter operationally. First, the recall contract is auditable per query: measuring donor score ≥ bound on adversarial cells verifies it cell by cell (Section V-B). Second, the anytime contract is sound: after any budget prefix, the best partial answer plus </w:t>
      </w:r>
      <w:r>
        <w:rPr>
          <w:i/>
        </w:rPr>
        <w:t>O</w:t>
      </w:r>
      <w:r>
        <w:rPr>
          <w:i/>
          <w:vertAlign w:val="subscript"/>
        </w:rPr>
        <w:t>u</w:t>
      </w:r>
      <w:r>
        <w:t xml:space="preserve"> is a complete description of the search state, so interruption never loses a certified answer. Rare-first ordering greedily minimizes the growth of </w:t>
      </w:r>
      <w:r>
        <w:rPr>
          <w:i/>
        </w:rPr>
        <w:t>|O</w:t>
      </w:r>
      <w:r>
        <w:rPr>
          <w:i/>
          <w:vertAlign w:val="subscript"/>
        </w:rPr>
        <w:t>u</w:t>
      </w:r>
      <w:r>
        <w:rPr>
          <w:i/>
        </w:rPr>
        <w:t>|</w:t>
      </w:r>
      <w:r>
        <w:t>,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 xml:space="preserve">Complexity. Index construction is </w:t>
      </w:r>
      <w:r>
        <w:t>O(</w:t>
      </w:r>
      <w:r>
        <w:rPr>
          <w:i/>
        </w:rPr>
        <w:t>Σ_P |S(P</w:t>
      </w:r>
      <w:r>
        <w:t>)</w:t>
      </w:r>
      <w:r>
        <w:t xml:space="preserve">|). A query touches, per position, the posting lists of all items in </w:t>
      </w:r>
      <w:r>
        <w:rPr>
          <w:i/>
        </w:rPr>
        <w:t>N</w:t>
      </w:r>
      <w:r>
        <w:rPr>
          <w:i/>
          <w:vertAlign w:val="subscript"/>
        </w:rPr>
        <w:t>k</w:t>
      </w:r>
      <w:r>
        <w:t xml:space="preserve">, so query cost grows with the length of the evidence and with the vocabulary mass inside the query's tolerance neighborhood, and grows with corpus size only through longer posting lists; the open set is maintained in a Fenwick structure over piece IDs, giving </w:t>
      </w:r>
      <w:r>
        <w:t>O(</w:t>
      </w:r>
      <w:r>
        <w:rPr>
          <w:i/>
        </w:rPr>
        <w:t>log N</w:t>
      </w:r>
      <w:r>
        <w:t>)</w:t>
      </w:r>
      <w:r>
        <w:t xml:space="preserve"> updates and an exact </w:t>
      </w:r>
      <w:r>
        <w:rPr>
          <w:i/>
        </w:rPr>
        <w:t>|O</w:t>
      </w:r>
      <w:r>
        <w:rPr>
          <w:i/>
          <w:vertAlign w:val="subscript"/>
        </w:rPr>
        <w:t>u</w:t>
      </w:r>
      <w:r>
        <w:rPr>
          <w:i/>
        </w:rPr>
        <w:t>|</w:t>
      </w:r>
      <w:r>
        <w:t xml:space="preserve"> readout after every position. Measured end to end, the index builds in 24.747 s and queries run at p50 = 41.94 ms on the full 174,300-piece corpus.</w:t>
      </w:r>
    </w:p>
    <w:p>
      <w:pPr>
        <w:pStyle w:val="Heading2"/>
        <w:spacing w:before="100"/>
      </w:pPr>
      <w:r>
        <w:t>D. L2/L3: re-ranking and structural confirmation</w:t>
      </w:r>
    </w:p>
    <w:p>
      <w:pPr>
        <w:spacing w:after="0"/>
        <w:ind w:firstLine="204"/>
        <w:jc w:val="both"/>
      </w:pPr>
      <w:r>
        <w:t>The screen is deliberately permissive; verbatim counts re-rank its survivors, and the top-</w:t>
      </w:r>
      <w:r>
        <w:rPr>
          <w:i/>
        </w:rPr>
        <w:t>C</w:t>
      </w:r>
      <w:r>
        <w:t xml:space="preserve">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w:t>
      </w:r>
      <w:r>
        <w:rPr>
          <w:i/>
        </w:rPr>
        <w:t>j</w:t>
      </w:r>
      <w:r>
        <w:t xml:space="preserve"> − </w:t>
      </w:r>
      <w:r>
        <w:rPr>
          <w:i/>
        </w:rPr>
        <w:t>i</w:t>
      </w:r>
      <w:r>
        <w:t xml:space="preserve">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 xml:space="preserve">The dynamic program runs inside the anchor-constrained window, so its cost is </w:t>
      </w:r>
      <w:r>
        <w:t>O(</w:t>
      </w:r>
      <w:r>
        <w:rPr>
          <w:i/>
        </w:rPr>
        <w:t>W·m</w:t>
      </w:r>
      <w:r>
        <w:t>)</w:t>
      </w:r>
      <w:r>
        <w:t xml:space="preserve"> for window </w:t>
      </w:r>
      <w:r>
        <w:rPr>
          <w:i/>
        </w:rPr>
        <w:t>W</w:t>
      </w:r>
      <w:r>
        <w:t xml:space="preserve"> and </w:t>
      </w:r>
      <w:r>
        <w:rPr>
          <w:i/>
        </w:rPr>
        <w:t>m</w:t>
      </w:r>
      <w:r>
        <w:t xml:space="preserve"> anchors, with a traceback that recovers the chain itself. A candidate is confirmed when the best chain reaches </w:t>
      </w:r>
      <w:r>
        <w:rPr>
          <w:i/>
        </w:rPr>
        <w:t>ρ</w:t>
      </w:r>
      <w:r>
        <w:t xml:space="preserve">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Output: confirmed copies (P, chain, delta) with</w:t>
            </w:r>
            <w:r>
              <w:br/>
            </w:r>
            <w:r>
              <w:rPr>
                <w:rFonts w:ascii="Consolas" w:hAnsi="Consolas" w:eastAsia="Consolas"/>
                <w:sz w:val="14"/>
              </w:rPr>
              <w:t xml:space="preserve">        |chain| &gt;= rho * q</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[19] (mirrored parquet export), up to 174,300 pieces encoded as item sets; the adversarial suite uses the first 3,000 pieces of shard 0. The GigaMIDI corpus [32]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[5], and n-gram Jaccard (Section V-A); the two frequent-itemset engines of our companion papers (under review) serve as enumeration baselines. They are independent of—and not contributions of—this paper; for completeness, Algorithm 1 gives pseudocode of the full pipeline, and the released source contains both engines' complete implementation details.</w:t>
      </w:r>
    </w:p>
    <w:p>
      <w:pPr>
        <w:spacing w:after="0"/>
        <w:ind w:firstLine="204"/>
        <w:jc w:val="both"/>
      </w:pPr>
      <w:r>
        <w:t xml:space="preserve">Environment. All experiments run on one commodity workstation (12th-generation Intel Core i9, 128 GB RAM); the computation engines are </w:t>
      </w:r>
      <w:r>
        <w:rPr>
          <w:i/>
        </w:rPr>
        <w:t>C</w:t>
      </w:r>
      <w:r>
        <w:t>++, the harness (corpus preparation, index building, measurement, figure and table generation) is Python 3.12 with NumPy, and all quoted latencies are CPU-only figures. The released pipeline re-downloads the corpus shards, rebuilds the index, and regenerates every table and figure from scratch.</w:t>
      </w:r>
    </w:p>
    <w:p>
      <w:pPr>
        <w:spacing w:after="0"/>
        <w:ind w:firstLine="204"/>
        <w:jc w:val="both"/>
      </w:pPr>
      <w:r>
        <w:t>Operating parameters. Table I summarizes the production configuration used unless a section states otherwise; the ablations of Section V-F justify each choice.</w:t>
      </w:r>
    </w:p>
    <w:p>
      <w:pPr>
        <w:pStyle w:val="TableTitle"/>
        <w:keepNext/>
      </w:pPr>
      <w:r>
        <w:t>TABLE 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sz w:val="16"/>
              </w:rPr>
              <w:t>Quantization grid</w:t>
            </w:r>
          </w:p>
        </w:tc>
        <w:tc>
          <w:tcPr>
            <w:tcW w:type="dxa" w:w="3456"/>
          </w:tcPr>
          <w:p>
            <w:pPr>
              <w:keepNext/>
              <w:jc w:val="center"/>
            </w:pPr>
            <w:r/>
            <w:r>
              <w:rPr>
                <w:rFonts w:ascii="Times New Roman" w:hAnsi="Times New Roman"/>
                <w:sz w:val="16"/>
              </w:rPr>
              <w:t>125 ms (tpb = 8)</w:t>
            </w:r>
          </w:p>
        </w:tc>
        <w:tc>
          <w:tcPr>
            <w:tcW w:type="dxa" w:w="3456"/>
          </w:tcPr>
          <w:p>
            <w:pPr>
              <w:keepNext/>
              <w:jc w:val="center"/>
            </w:pPr>
            <w:r/>
            <w:r>
              <w:rPr>
                <w:rFonts w:ascii="Times New Roman" w:hAnsi="Times New Roman"/>
                <w:sz w:val="16"/>
              </w:rPr>
              <w:t>event-encoding bin for all four features</w:t>
            </w:r>
          </w:p>
        </w:tc>
      </w:tr>
      <w:tr>
        <w:trPr>
          <w:cantSplit/>
        </w:trPr>
        <w:tc>
          <w:tcPr>
            <w:tcW w:type="dxa" w:w="3456"/>
          </w:tcPr>
          <w:p>
            <w:pPr>
              <w:keepNext/>
              <w:jc w:val="left"/>
            </w:pPr>
            <w:r/>
            <w:r>
              <w:rPr>
                <w:rFonts w:ascii="Times New Roman" w:hAnsi="Times New Roman"/>
                <w:sz w:val="16"/>
              </w:rPr>
              <w:t xml:space="preserve">Screen tolerance </w:t>
            </w:r>
            <w:r>
              <w:rPr>
                <w:rFonts w:ascii="Times New Roman" w:hAnsi="Times New Roman"/>
                <w:i/>
                <w:sz w:val="16"/>
              </w:rPr>
              <w:t>k</w:t>
            </w:r>
          </w:p>
        </w:tc>
        <w:tc>
          <w:tcPr>
            <w:tcW w:type="dxa" w:w="3456"/>
          </w:tcPr>
          <w:p>
            <w:pPr>
              <w:keepNext/>
              <w:jc w:val="center"/>
            </w:pPr>
            <w:r/>
            <w:r>
              <w:rPr>
                <w:rFonts w:ascii="Times New Roman" w:hAnsi="Times New Roman"/>
                <w:sz w:val="16"/>
              </w:rPr>
              <w:t>(2, 1, 1)</w:t>
            </w:r>
          </w:p>
        </w:tc>
        <w:tc>
          <w:tcPr>
            <w:tcW w:type="dxa" w:w="3456"/>
          </w:tcPr>
          <w:p>
            <w:pPr>
              <w:keepNext/>
              <w:jc w:val="center"/>
            </w:pPr>
            <w:r/>
            <w:r>
              <w:rPr>
                <w:rFonts w:ascii="Times New Roman" w:hAnsi="Times New Roman"/>
                <w:sz w:val="16"/>
              </w:rPr>
              <w:t>pitch ±2 st; duration/IOI ±1 bin; velocity ±1 bin</w:t>
            </w:r>
          </w:p>
        </w:tc>
      </w:tr>
      <w:tr>
        <w:trPr>
          <w:cantSplit/>
        </w:trPr>
        <w:tc>
          <w:tcPr>
            <w:tcW w:type="dxa" w:w="3456"/>
          </w:tcPr>
          <w:p>
            <w:pPr>
              <w:keepNext/>
              <w:jc w:val="left"/>
            </w:pPr>
            <w:r/>
            <w:r>
              <w:rPr>
                <w:rFonts w:ascii="Times New Roman" w:hAnsi="Times New Roman"/>
                <w:sz w:val="16"/>
              </w:rPr>
              <w:t xml:space="preserve">Evidence threshold </w:t>
            </w:r>
            <w:r>
              <w:rPr>
                <w:rFonts w:ascii="Times New Roman" w:hAnsi="Times New Roman"/>
                <w:i/>
                <w:sz w:val="16"/>
              </w:rPr>
              <w:t>τ</w:t>
            </w:r>
          </w:p>
        </w:tc>
        <w:tc>
          <w:tcPr>
            <w:tcW w:type="dxa" w:w="3456"/>
          </w:tcPr>
          <w:p>
            <w:pPr>
              <w:keepNext/>
              <w:jc w:val="center"/>
            </w:pPr>
            <w:r/>
            <w:r>
              <w:rPr>
                <w:rFonts w:ascii="Times New Roman" w:hAnsi="Times New Roman"/>
                <w:i/>
                <w:sz w:val="16"/>
              </w:rPr>
              <w:t>⌊0.5·|S(q)|⌋</w:t>
            </w:r>
          </w:p>
        </w:tc>
        <w:tc>
          <w:tcPr>
            <w:tcW w:type="dxa" w:w="3456"/>
          </w:tcPr>
          <w:p>
            <w:pPr>
              <w:keepNext/>
              <w:jc w:val="center"/>
            </w:pPr>
            <w:r/>
            <w:r>
              <w:rPr>
                <w:rFonts w:ascii="Times New Roman" w:hAnsi="Times New Roman"/>
                <w:sz w:val="16"/>
              </w:rPr>
              <w:t>screen acceptance per query</w:t>
            </w:r>
          </w:p>
        </w:tc>
      </w:tr>
      <w:tr>
        <w:trPr>
          <w:cantSplit/>
        </w:trPr>
        <w:tc>
          <w:tcPr>
            <w:tcW w:type="dxa" w:w="3456"/>
          </w:tcPr>
          <w:p>
            <w:pPr>
              <w:keepNext/>
              <w:jc w:val="left"/>
            </w:pPr>
            <w:r/>
            <w:r>
              <w:rPr>
                <w:rFonts w:ascii="Times New Roman" w:hAnsi="Times New Roman"/>
                <w:sz w:val="16"/>
              </w:rPr>
              <w:t>Confirm tolerance</w:t>
            </w:r>
          </w:p>
        </w:tc>
        <w:tc>
          <w:tcPr>
            <w:tcW w:type="dxa" w:w="3456"/>
          </w:tcPr>
          <w:p>
            <w:pPr>
              <w:keepNext/>
              <w:jc w:val="center"/>
            </w:pPr>
            <w:r/>
            <w:r>
              <w:rPr>
                <w:rFonts w:ascii="Times New Roman" w:hAnsi="Times New Roman"/>
                <w:sz w:val="16"/>
              </w:rPr>
              <w:t>(1, 0, 0)</w:t>
            </w:r>
          </w:p>
        </w:tc>
        <w:tc>
          <w:tcPr>
            <w:tcW w:type="dxa" w:w="3456"/>
          </w:tcPr>
          <w:p>
            <w:pPr>
              <w:keepNext/>
              <w:jc w:val="center"/>
            </w:pPr>
            <w:r/>
            <w:r>
              <w:rPr>
                <w:rFonts w:ascii="Times New Roman" w:hAnsi="Times New Roman"/>
                <w:sz w:val="16"/>
              </w:rPr>
              <w:t>pitch ±1 st; duration/IOI/velocity exact bins</w:t>
            </w:r>
          </w:p>
        </w:tc>
      </w:tr>
      <w:tr>
        <w:trPr>
          <w:cantSplit/>
        </w:trPr>
        <w:tc>
          <w:tcPr>
            <w:tcW w:type="dxa" w:w="3456"/>
          </w:tcPr>
          <w:p>
            <w:pPr>
              <w:keepNext/>
              <w:jc w:val="left"/>
            </w:pPr>
            <w:r/>
            <w:r>
              <w:rPr>
                <w:rFonts w:ascii="Times New Roman" w:hAnsi="Times New Roman"/>
                <w:sz w:val="16"/>
              </w:rPr>
              <w:t xml:space="preserve">Contiguity </w:t>
            </w:r>
            <w:r>
              <w:rPr>
                <w:rFonts w:ascii="Times New Roman" w:hAnsi="Times New Roman"/>
                <w:i/>
                <w:sz w:val="16"/>
              </w:rPr>
              <w:t>ρ</w:t>
            </w:r>
          </w:p>
        </w:tc>
        <w:tc>
          <w:tcPr>
            <w:tcW w:type="dxa" w:w="3456"/>
          </w:tcPr>
          <w:p>
            <w:pPr>
              <w:keepNext/>
              <w:jc w:val="center"/>
            </w:pPr>
            <w:r/>
            <w:r>
              <w:rPr>
                <w:rFonts w:ascii="Times New Roman" w:hAnsi="Times New Roman"/>
                <w:sz w:val="16"/>
              </w:rPr>
              <w:t>0.5 (0.4 high-recall)</w:t>
            </w:r>
          </w:p>
        </w:tc>
        <w:tc>
          <w:tcPr>
            <w:tcW w:type="dxa" w:w="3456"/>
          </w:tcPr>
          <w:p>
            <w:pPr>
              <w:keepNext/>
              <w:jc w:val="center"/>
            </w:pPr>
            <w:r/>
            <w:r>
              <w:rPr>
                <w:rFonts w:ascii="Times New Roman" w:hAnsi="Times New Roman"/>
                <w:sz w:val="16"/>
              </w:rPr>
              <w:t xml:space="preserve">confirmation acceptance, </w:t>
            </w:r>
            <w:r>
              <w:rPr>
                <w:rFonts w:ascii="Times New Roman" w:hAnsi="Times New Roman"/>
                <w:i/>
                <w:sz w:val="16"/>
              </w:rPr>
              <w:t>|chain|</w:t>
            </w:r>
            <w:r>
              <w:rPr>
                <w:rFonts w:ascii="Times New Roman" w:hAnsi="Times New Roman"/>
                <w:sz w:val="16"/>
              </w:rPr>
              <w:t xml:space="preserve"> ≥ </w:t>
            </w:r>
            <w:r>
              <w:rPr>
                <w:rFonts w:ascii="Times New Roman" w:hAnsi="Times New Roman"/>
                <w:i/>
                <w:sz w:val="16"/>
              </w:rPr>
              <w:t>ρ</w:t>
            </w:r>
            <w:r>
              <w:rPr>
                <w:rFonts w:ascii="Times New Roman" w:hAnsi="Times New Roman"/>
                <w:sz w:val="16"/>
              </w:rPr>
              <w:t>·</w:t>
            </w:r>
            <w:r>
              <w:rPr>
                <w:rFonts w:ascii="Times New Roman" w:hAnsi="Times New Roman"/>
                <w:i/>
                <w:sz w:val="16"/>
              </w:rPr>
              <w:t>q</w:t>
            </w:r>
          </w:p>
        </w:tc>
      </w:tr>
      <w:tr>
        <w:trPr>
          <w:cantSplit/>
        </w:trPr>
        <w:tc>
          <w:tcPr>
            <w:tcW w:type="dxa" w:w="3456"/>
          </w:tcPr>
          <w:p>
            <w:pPr>
              <w:keepNext/>
              <w:jc w:val="left"/>
            </w:pPr>
            <w:r/>
            <w:r>
              <w:rPr>
                <w:rFonts w:ascii="Times New Roman" w:hAnsi="Times New Roman"/>
                <w:sz w:val="16"/>
              </w:rPr>
              <w:t>Top-</w:t>
            </w:r>
            <w:r>
              <w:rPr>
                <w:rFonts w:ascii="Times New Roman" w:hAnsi="Times New Roman"/>
                <w:i/>
                <w:sz w:val="16"/>
              </w:rPr>
              <w:t>C</w:t>
            </w:r>
          </w:p>
        </w:tc>
        <w:tc>
          <w:tcPr>
            <w:tcW w:type="dxa" w:w="3456"/>
          </w:tcPr>
          <w:p>
            <w:pPr>
              <w:keepNext/>
              <w:jc w:val="center"/>
            </w:pPr>
            <w:r/>
            <w:r>
              <w:rPr>
                <w:rFonts w:ascii="Times New Roman" w:hAnsi="Times New Roman"/>
                <w:sz w:val="16"/>
              </w:rPr>
              <w:t>50 (20 ablated)</w:t>
            </w:r>
          </w:p>
        </w:tc>
        <w:tc>
          <w:tcPr>
            <w:tcW w:type="dxa" w:w="3456"/>
          </w:tcPr>
          <w:p>
            <w:pPr>
              <w:keepNext/>
              <w:jc w:val="center"/>
            </w:pPr>
            <w:r/>
            <w:r>
              <w:rPr>
                <w:rFonts w:ascii="Times New Roman" w:hAnsi="Times New Roman"/>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sz w:val="16"/>
              </w:rPr>
              <w:t xml:space="preserve">Anytime budget </w:t>
            </w:r>
            <w:r>
              <w:rPr>
                <w:rFonts w:ascii="Times New Roman" w:hAnsi="Times New Roman"/>
                <w:i/>
                <w:sz w:val="16"/>
              </w:rPr>
              <w:t>B</w:t>
            </w:r>
          </w:p>
        </w:tc>
        <w:tc>
          <w:tcPr>
            <w:tcW w:type="dxa" w:w="3456"/>
            <w:tcBorders>
              <w:bottom w:val="single" w:sz="12" w:color="000000"/>
            </w:tcBorders>
          </w:tcPr>
          <w:p>
            <w:pPr>
              <w:jc w:val="center"/>
            </w:pPr>
            <w:r/>
            <w:r>
              <w:rPr>
                <w:rFonts w:ascii="Times New Roman" w:hAnsi="Times New Roman"/>
                <w:sz w:val="16"/>
              </w:rPr>
              <w:t>full (half ablated)</w:t>
            </w:r>
          </w:p>
        </w:tc>
        <w:tc>
          <w:tcPr>
            <w:tcW w:type="dxa" w:w="3456"/>
            <w:tcBorders>
              <w:bottom w:val="single" w:sz="12" w:color="000000"/>
            </w:tcBorders>
          </w:tcPr>
          <w:p>
            <w:pPr>
              <w:jc w:val="center"/>
            </w:pPr>
            <w:r/>
            <w:r>
              <w:rPr>
                <w:rFonts w:ascii="Times New Roman" w:hAnsi="Times New Roman"/>
                <w:sz w:val="16"/>
              </w:rPr>
              <w:t>rare-first schedule length</w:t>
            </w:r>
          </w:p>
        </w:tc>
      </w:tr>
    </w:tbl>
    <w:p>
      <w:pPr>
        <w:spacing w:after="0"/>
        <w:rPr>
          <w:sz w:val="4"/>
        </w:rPr>
      </w:pPr>
    </w:p>
    <w:p>
      <w:pPr>
        <w:pStyle w:val="Heading1"/>
      </w:pPr>
      <w:r>
        <w:t>V. RESULTS</w:t>
      </w:r>
    </w:p>
    <w:p>
      <w:pPr>
        <w:pStyle w:val="Heading2"/>
        <w:spacing w:before="100"/>
      </w:pPr>
      <w:r>
        <w:t>A. Scale and baseline feasibility</w:t>
      </w:r>
    </w:p>
    <w:p>
      <w:pPr>
        <w:spacing w:after="0"/>
        <w:ind w:firstLine="204"/>
        <w:jc w:val="both"/>
      </w:pPr>
      <w:r>
        <w:t xml:space="preserve">Fig. 3 reports scaling on subsampled corpora and Table II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w:t>
      </w:r>
      <w:r>
        <w:rPr>
          <w:i/>
        </w:rPr>
        <w:t>τ</w:t>
      </w:r>
      <w:r>
        <w:t xml:space="preserve"> = 0.10; identical at </w:t>
      </w:r>
      <w:r>
        <w:rPr>
          <w:i/>
        </w:rPr>
        <w:t>τ</w:t>
      </w:r>
      <w:r>
        <w:t xml:space="preserve">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two companion engines—was measured infeasible at the support levels copying detection requires (over 11 million frequent pairs at </w:t>
      </w:r>
      <w:r>
        <w:rPr>
          <w:i/>
        </w:rPr>
        <w:t>N</w:t>
      </w:r>
      <w:r>
        <w:t>=300 under the standard cutoff), which is precisely why the architecture places FIM semantics on the query side.</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w:t>
      </w:r>
    </w:p>
    <w:p>
      <w:pPr>
        <w:pStyle w:val="TableTitle"/>
        <w:keepNext/>
      </w:pPr>
      <w:r>
        <w:t xml:space="preserve">Index scaling and baseline feasibility; Jaccard scan infeasible beyond 10,000 pieces; MinHash-LSH (128 permutations, 16 bands x 8 rows, </w:t>
      </w:r>
      <w:r>
        <w:rPr>
          <w:i/>
        </w:rPr>
        <w:t>τ</w:t>
      </w:r>
      <w:r>
        <w:t xml:space="preserve">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sz w:val="16"/>
              </w:rPr>
              <w:t>1,000</w:t>
            </w:r>
          </w:p>
        </w:tc>
        <w:tc>
          <w:tcPr>
            <w:tcW w:type="dxa" w:w="1152"/>
          </w:tcPr>
          <w:p>
            <w:pPr>
              <w:keepNext/>
              <w:jc w:val="center"/>
            </w:pPr>
            <w:r/>
            <w:r>
              <w:rPr>
                <w:rFonts w:ascii="Times New Roman" w:hAnsi="Times New Roman"/>
                <w:sz w:val="16"/>
              </w:rPr>
              <w:t>0.38</w:t>
            </w:r>
          </w:p>
        </w:tc>
        <w:tc>
          <w:tcPr>
            <w:tcW w:type="dxa" w:w="1152"/>
          </w:tcPr>
          <w:p>
            <w:pPr>
              <w:keepNext/>
              <w:jc w:val="center"/>
            </w:pPr>
            <w:r/>
            <w:r>
              <w:rPr>
                <w:rFonts w:ascii="Times New Roman" w:hAnsi="Times New Roman"/>
                <w:sz w:val="16"/>
              </w:rPr>
              <w:t>15</w:t>
            </w:r>
          </w:p>
        </w:tc>
        <w:tc>
          <w:tcPr>
            <w:tcW w:type="dxa" w:w="1152"/>
          </w:tcPr>
          <w:p>
            <w:pPr>
              <w:keepNext/>
              <w:jc w:val="center"/>
            </w:pPr>
            <w:r/>
            <w:r>
              <w:rPr>
                <w:rFonts w:ascii="Times New Roman" w:hAnsi="Times New Roman"/>
                <w:sz w:val="16"/>
              </w:rPr>
              <w:t>0.0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5</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3,000</w:t>
            </w:r>
          </w:p>
        </w:tc>
        <w:tc>
          <w:tcPr>
            <w:tcW w:type="dxa" w:w="1152"/>
          </w:tcPr>
          <w:p>
            <w:pPr>
              <w:keepNext/>
              <w:jc w:val="center"/>
            </w:pPr>
            <w:r/>
            <w:r>
              <w:rPr>
                <w:rFonts w:ascii="Times New Roman" w:hAnsi="Times New Roman"/>
                <w:sz w:val="16"/>
              </w:rPr>
              <w:t>0.71</w:t>
            </w:r>
          </w:p>
        </w:tc>
        <w:tc>
          <w:tcPr>
            <w:tcW w:type="dxa" w:w="1152"/>
          </w:tcPr>
          <w:p>
            <w:pPr>
              <w:keepNext/>
              <w:jc w:val="center"/>
            </w:pPr>
            <w:r/>
            <w:r>
              <w:rPr>
                <w:rFonts w:ascii="Times New Roman" w:hAnsi="Times New Roman"/>
                <w:sz w:val="16"/>
              </w:rPr>
              <w:t>33</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46/46</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10,000</w:t>
            </w:r>
          </w:p>
        </w:tc>
        <w:tc>
          <w:tcPr>
            <w:tcW w:type="dxa" w:w="1152"/>
          </w:tcPr>
          <w:p>
            <w:pPr>
              <w:keepNext/>
              <w:jc w:val="center"/>
            </w:pPr>
            <w:r/>
            <w:r>
              <w:rPr>
                <w:rFonts w:ascii="Times New Roman" w:hAnsi="Times New Roman"/>
                <w:sz w:val="16"/>
              </w:rPr>
              <w:t>8.01</w:t>
            </w:r>
          </w:p>
        </w:tc>
        <w:tc>
          <w:tcPr>
            <w:tcW w:type="dxa" w:w="1152"/>
          </w:tcPr>
          <w:p>
            <w:pPr>
              <w:keepNext/>
              <w:jc w:val="center"/>
            </w:pPr>
            <w:r/>
            <w:r>
              <w:rPr>
                <w:rFonts w:ascii="Times New Roman" w:hAnsi="Times New Roman"/>
                <w:sz w:val="16"/>
              </w:rPr>
              <w:t>77</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25.0</w:t>
            </w:r>
          </w:p>
        </w:tc>
        <w:tc>
          <w:tcPr>
            <w:tcW w:type="dxa" w:w="1152"/>
          </w:tcPr>
          <w:p>
            <w:pPr>
              <w:keepNext/>
              <w:jc w:val="center"/>
            </w:pPr>
            <w:r/>
            <w:r>
              <w:rPr>
                <w:rFonts w:ascii="Times New Roman" w:hAnsi="Times New Roman"/>
                <w:sz w:val="16"/>
              </w:rPr>
              <w:t>42/42</w:t>
            </w:r>
          </w:p>
        </w:tc>
        <w:tc>
          <w:tcPr>
            <w:tcW w:type="dxa" w:w="1152"/>
          </w:tcPr>
          <w:p>
            <w:pPr>
              <w:keepNext/>
              <w:jc w:val="center"/>
            </w:pPr>
            <w:r/>
            <w:r>
              <w:rPr>
                <w:rFonts w:ascii="Times New Roman" w:hAnsi="Times New Roman"/>
                <w:sz w:val="16"/>
              </w:rPr>
              <w:t>238</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25,357</w:t>
            </w:r>
          </w:p>
        </w:tc>
        <w:tc>
          <w:tcPr>
            <w:tcW w:type="dxa" w:w="1152"/>
          </w:tcPr>
          <w:p>
            <w:pPr>
              <w:keepNext/>
              <w:jc w:val="center"/>
            </w:pPr>
            <w:r/>
            <w:r>
              <w:rPr>
                <w:rFonts w:ascii="Times New Roman" w:hAnsi="Times New Roman"/>
                <w:sz w:val="16"/>
              </w:rPr>
              <w:t>3.48</w:t>
            </w:r>
          </w:p>
        </w:tc>
        <w:tc>
          <w:tcPr>
            <w:tcW w:type="dxa" w:w="1152"/>
          </w:tcPr>
          <w:p>
            <w:pPr>
              <w:keepNext/>
              <w:jc w:val="center"/>
            </w:pPr>
            <w:r/>
            <w:r>
              <w:rPr>
                <w:rFonts w:ascii="Times New Roman" w:hAnsi="Times New Roman"/>
                <w:sz w:val="16"/>
              </w:rPr>
              <w:t>178</w:t>
            </w:r>
          </w:p>
        </w:tc>
        <w:tc>
          <w:tcPr>
            <w:tcW w:type="dxa" w:w="1152"/>
          </w:tcPr>
          <w:p>
            <w:pPr>
              <w:keepNext/>
              <w:jc w:val="center"/>
            </w:pPr>
            <w:r/>
            <w:r>
              <w:rPr>
                <w:rFonts w:ascii="Times New Roman" w:hAnsi="Times New Roman"/>
                <w:sz w:val="16"/>
              </w:rPr>
              <w:t>6.0</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48/48</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30,000</w:t>
            </w:r>
          </w:p>
        </w:tc>
        <w:tc>
          <w:tcPr>
            <w:tcW w:type="dxa" w:w="1152"/>
          </w:tcPr>
          <w:p>
            <w:pPr>
              <w:keepNext/>
              <w:jc w:val="center"/>
            </w:pPr>
            <w:r/>
            <w:r>
              <w:rPr>
                <w:rFonts w:ascii="Times New Roman" w:hAnsi="Times New Roman"/>
                <w:sz w:val="16"/>
              </w:rPr>
              <w:t>4.45</w:t>
            </w:r>
          </w:p>
        </w:tc>
        <w:tc>
          <w:tcPr>
            <w:tcW w:type="dxa" w:w="1152"/>
          </w:tcPr>
          <w:p>
            <w:pPr>
              <w:keepNext/>
              <w:jc w:val="center"/>
            </w:pPr>
            <w:r/>
            <w:r>
              <w:rPr>
                <w:rFonts w:ascii="Times New Roman" w:hAnsi="Times New Roman"/>
                <w:sz w:val="16"/>
              </w:rPr>
              <w:t>205</w:t>
            </w:r>
          </w:p>
        </w:tc>
        <w:tc>
          <w:tcPr>
            <w:tcW w:type="dxa" w:w="1152"/>
          </w:tcPr>
          <w:p>
            <w:pPr>
              <w:keepNext/>
              <w:jc w:val="center"/>
            </w:pPr>
            <w:r/>
            <w:r>
              <w:rPr>
                <w:rFonts w:ascii="Times New Roman" w:hAnsi="Times New Roman"/>
                <w:sz w:val="16"/>
              </w:rPr>
              <w:t>7.5</w:t>
            </w:r>
          </w:p>
        </w:tc>
        <w:tc>
          <w:tcPr>
            <w:tcW w:type="dxa" w:w="1152"/>
          </w:tcPr>
          <w:p>
            <w:pPr>
              <w:keepNext/>
              <w:jc w:val="center"/>
            </w:pPr>
            <w:r/>
            <w:r>
              <w:rPr>
                <w:rFonts w:ascii="Times New Roman" w:hAnsi="Times New Roman"/>
                <w:sz w:val="16"/>
              </w:rPr>
              <w:t>16.2</w:t>
            </w:r>
          </w:p>
        </w:tc>
        <w:tc>
          <w:tcPr>
            <w:tcW w:type="dxa" w:w="1152"/>
          </w:tcPr>
          <w:p>
            <w:pPr>
              <w:keepNext/>
              <w:jc w:val="center"/>
            </w:pPr>
            <w:r/>
            <w:r>
              <w:rPr>
                <w:rFonts w:ascii="Times New Roman" w:hAnsi="Times New Roman"/>
                <w:sz w:val="16"/>
              </w:rPr>
              <w:t>37/37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0/47</w:t>
            </w:r>
          </w:p>
        </w:tc>
      </w:tr>
      <w:tr>
        <w:trPr>
          <w:cantSplit/>
        </w:trPr>
        <w:tc>
          <w:tcPr>
            <w:tcW w:type="dxa" w:w="1152"/>
          </w:tcPr>
          <w:p>
            <w:pPr>
              <w:keepNext/>
              <w:jc w:val="left"/>
            </w:pPr>
            <w:r/>
            <w:r>
              <w:rPr>
                <w:rFonts w:ascii="Times New Roman" w:hAnsi="Times New Roman"/>
                <w:sz w:val="16"/>
              </w:rPr>
              <w:t>44,371</w:t>
            </w:r>
          </w:p>
        </w:tc>
        <w:tc>
          <w:tcPr>
            <w:tcW w:type="dxa" w:w="1152"/>
          </w:tcPr>
          <w:p>
            <w:pPr>
              <w:keepNext/>
              <w:jc w:val="center"/>
            </w:pPr>
            <w:r/>
            <w:r>
              <w:rPr>
                <w:rFonts w:ascii="Times New Roman" w:hAnsi="Times New Roman"/>
                <w:sz w:val="16"/>
              </w:rPr>
              <w:t>6.25</w:t>
            </w:r>
          </w:p>
        </w:tc>
        <w:tc>
          <w:tcPr>
            <w:tcW w:type="dxa" w:w="1152"/>
          </w:tcPr>
          <w:p>
            <w:pPr>
              <w:keepNext/>
              <w:jc w:val="center"/>
            </w:pPr>
            <w:r/>
            <w:r>
              <w:rPr>
                <w:rFonts w:ascii="Times New Roman" w:hAnsi="Times New Roman"/>
                <w:sz w:val="16"/>
              </w:rPr>
              <w:t>290</w:t>
            </w:r>
          </w:p>
        </w:tc>
        <w:tc>
          <w:tcPr>
            <w:tcW w:type="dxa" w:w="1152"/>
          </w:tcPr>
          <w:p>
            <w:pPr>
              <w:keepNext/>
              <w:jc w:val="center"/>
            </w:pPr>
            <w:r/>
            <w:r>
              <w:rPr>
                <w:rFonts w:ascii="Times New Roman" w:hAnsi="Times New Roman"/>
                <w:sz w:val="16"/>
              </w:rPr>
              <w:t>10.9</w:t>
            </w:r>
          </w:p>
        </w:tc>
        <w:tc>
          <w:tcPr>
            <w:tcW w:type="dxa" w:w="1152"/>
          </w:tcPr>
          <w:p>
            <w:pPr>
              <w:keepNext/>
              <w:jc w:val="center"/>
            </w:pPr>
            <w:r/>
            <w:r>
              <w:rPr>
                <w:rFonts w:ascii="Times New Roman" w:hAnsi="Times New Roman"/>
                <w:sz w:val="16"/>
              </w:rPr>
              <w:t>25.7</w:t>
            </w:r>
          </w:p>
        </w:tc>
        <w:tc>
          <w:tcPr>
            <w:tcW w:type="dxa" w:w="1152"/>
          </w:tcPr>
          <w:p>
            <w:pPr>
              <w:keepNext/>
              <w:jc w:val="center"/>
            </w:pPr>
            <w:r/>
            <w:r>
              <w:rPr>
                <w:rFonts w:ascii="Times New Roman" w:hAnsi="Times New Roman"/>
                <w:sz w:val="16"/>
              </w:rPr>
              <w:t>34/34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5.0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50,000</w:t>
            </w:r>
          </w:p>
        </w:tc>
        <w:tc>
          <w:tcPr>
            <w:tcW w:type="dxa" w:w="1152"/>
          </w:tcPr>
          <w:p>
            <w:pPr>
              <w:keepNext/>
              <w:jc w:val="center"/>
            </w:pPr>
            <w:r/>
            <w:r>
              <w:rPr>
                <w:rFonts w:ascii="Times New Roman" w:hAnsi="Times New Roman"/>
                <w:sz w:val="16"/>
              </w:rPr>
              <w:t>20.02</w:t>
            </w:r>
          </w:p>
        </w:tc>
        <w:tc>
          <w:tcPr>
            <w:tcW w:type="dxa" w:w="1152"/>
          </w:tcPr>
          <w:p>
            <w:pPr>
              <w:keepNext/>
              <w:jc w:val="center"/>
            </w:pPr>
            <w:r/>
            <w:r>
              <w:rPr>
                <w:rFonts w:ascii="Times New Roman" w:hAnsi="Times New Roman"/>
                <w:sz w:val="16"/>
              </w:rPr>
              <w:t>323</w:t>
            </w:r>
          </w:p>
        </w:tc>
        <w:tc>
          <w:tcPr>
            <w:tcW w:type="dxa" w:w="1152"/>
          </w:tcPr>
          <w:p>
            <w:pPr>
              <w:keepNext/>
              <w:jc w:val="center"/>
            </w:pPr>
            <w:r/>
            <w:r>
              <w:rPr>
                <w:rFonts w:ascii="Times New Roman" w:hAnsi="Times New Roman"/>
                <w:sz w:val="16"/>
              </w:rPr>
              <w:t>63.9</w:t>
            </w:r>
          </w:p>
        </w:tc>
        <w:tc>
          <w:tcPr>
            <w:tcW w:type="dxa" w:w="1152"/>
          </w:tcPr>
          <w:p>
            <w:pPr>
              <w:keepNext/>
              <w:jc w:val="center"/>
            </w:pPr>
            <w:r/>
            <w:r>
              <w:rPr>
                <w:rFonts w:ascii="Times New Roman" w:hAnsi="Times New Roman"/>
                <w:sz w:val="16"/>
              </w:rPr>
              <w:t>86.4</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50,709</w:t>
            </w:r>
          </w:p>
        </w:tc>
        <w:tc>
          <w:tcPr>
            <w:tcW w:type="dxa" w:w="1152"/>
          </w:tcPr>
          <w:p>
            <w:pPr>
              <w:keepNext/>
              <w:jc w:val="center"/>
            </w:pPr>
            <w:r/>
            <w:r>
              <w:rPr>
                <w:rFonts w:ascii="Times New Roman" w:hAnsi="Times New Roman"/>
                <w:sz w:val="16"/>
              </w:rPr>
              <w:t>7.60</w:t>
            </w:r>
          </w:p>
        </w:tc>
        <w:tc>
          <w:tcPr>
            <w:tcW w:type="dxa" w:w="1152"/>
          </w:tcPr>
          <w:p>
            <w:pPr>
              <w:keepNext/>
              <w:jc w:val="center"/>
            </w:pPr>
            <w:r/>
            <w:r>
              <w:rPr>
                <w:rFonts w:ascii="Times New Roman" w:hAnsi="Times New Roman"/>
                <w:sz w:val="16"/>
              </w:rPr>
              <w:t>328</w:t>
            </w:r>
          </w:p>
        </w:tc>
        <w:tc>
          <w:tcPr>
            <w:tcW w:type="dxa" w:w="1152"/>
          </w:tcPr>
          <w:p>
            <w:pPr>
              <w:keepNext/>
              <w:jc w:val="center"/>
            </w:pPr>
            <w:r/>
            <w:r>
              <w:rPr>
                <w:rFonts w:ascii="Times New Roman" w:hAnsi="Times New Roman"/>
                <w:sz w:val="16"/>
              </w:rPr>
              <w:t>11.6</w:t>
            </w:r>
          </w:p>
        </w:tc>
        <w:tc>
          <w:tcPr>
            <w:tcW w:type="dxa" w:w="1152"/>
          </w:tcPr>
          <w:p>
            <w:pPr>
              <w:keepNext/>
              <w:jc w:val="center"/>
            </w:pPr>
            <w:r/>
            <w:r>
              <w:rPr>
                <w:rFonts w:ascii="Times New Roman" w:hAnsi="Times New Roman"/>
                <w:sz w:val="16"/>
              </w:rPr>
              <w:t>16.1</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3.0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69,723</w:t>
            </w:r>
          </w:p>
        </w:tc>
        <w:tc>
          <w:tcPr>
            <w:tcW w:type="dxa" w:w="1152"/>
          </w:tcPr>
          <w:p>
            <w:pPr>
              <w:keepNext/>
              <w:jc w:val="center"/>
            </w:pPr>
            <w:r/>
            <w:r>
              <w:rPr>
                <w:rFonts w:ascii="Times New Roman" w:hAnsi="Times New Roman"/>
                <w:sz w:val="16"/>
              </w:rPr>
              <w:t>9.67</w:t>
            </w:r>
          </w:p>
        </w:tc>
        <w:tc>
          <w:tcPr>
            <w:tcW w:type="dxa" w:w="1152"/>
          </w:tcPr>
          <w:p>
            <w:pPr>
              <w:keepNext/>
              <w:jc w:val="center"/>
            </w:pPr>
            <w:r/>
            <w:r>
              <w:rPr>
                <w:rFonts w:ascii="Times New Roman" w:hAnsi="Times New Roman"/>
                <w:sz w:val="16"/>
              </w:rPr>
              <w:t>439</w:t>
            </w:r>
          </w:p>
        </w:tc>
        <w:tc>
          <w:tcPr>
            <w:tcW w:type="dxa" w:w="1152"/>
          </w:tcPr>
          <w:p>
            <w:pPr>
              <w:keepNext/>
              <w:jc w:val="center"/>
            </w:pPr>
            <w:r/>
            <w:r>
              <w:rPr>
                <w:rFonts w:ascii="Times New Roman" w:hAnsi="Times New Roman"/>
                <w:sz w:val="16"/>
              </w:rPr>
              <w:t>15.2</w:t>
            </w:r>
          </w:p>
        </w:tc>
        <w:tc>
          <w:tcPr>
            <w:tcW w:type="dxa" w:w="1152"/>
          </w:tcPr>
          <w:p>
            <w:pPr>
              <w:keepNext/>
              <w:jc w:val="center"/>
            </w:pPr>
            <w:r/>
            <w:r>
              <w:rPr>
                <w:rFonts w:ascii="Times New Roman" w:hAnsi="Times New Roman"/>
                <w:sz w:val="16"/>
              </w:rPr>
              <w:t>31.3</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100,000</w:t>
            </w:r>
          </w:p>
        </w:tc>
        <w:tc>
          <w:tcPr>
            <w:tcW w:type="dxa" w:w="1152"/>
          </w:tcPr>
          <w:p>
            <w:pPr>
              <w:keepNext/>
              <w:jc w:val="center"/>
            </w:pPr>
            <w:r/>
            <w:r>
              <w:rPr>
                <w:rFonts w:ascii="Times New Roman" w:hAnsi="Times New Roman"/>
                <w:sz w:val="16"/>
              </w:rPr>
              <w:t>16.71</w:t>
            </w:r>
          </w:p>
        </w:tc>
        <w:tc>
          <w:tcPr>
            <w:tcW w:type="dxa" w:w="1152"/>
          </w:tcPr>
          <w:p>
            <w:pPr>
              <w:keepNext/>
              <w:jc w:val="center"/>
            </w:pPr>
            <w:r/>
            <w:r>
              <w:rPr>
                <w:rFonts w:ascii="Times New Roman" w:hAnsi="Times New Roman"/>
                <w:sz w:val="16"/>
              </w:rPr>
              <w:t>615</w:t>
            </w:r>
          </w:p>
        </w:tc>
        <w:tc>
          <w:tcPr>
            <w:tcW w:type="dxa" w:w="1152"/>
          </w:tcPr>
          <w:p>
            <w:pPr>
              <w:keepNext/>
              <w:jc w:val="center"/>
            </w:pPr>
            <w:r/>
            <w:r>
              <w:rPr>
                <w:rFonts w:ascii="Times New Roman" w:hAnsi="Times New Roman"/>
                <w:sz w:val="16"/>
              </w:rPr>
              <w:t>23.1</w:t>
            </w:r>
          </w:p>
        </w:tc>
        <w:tc>
          <w:tcPr>
            <w:tcW w:type="dxa" w:w="1152"/>
          </w:tcPr>
          <w:p>
            <w:pPr>
              <w:keepNext/>
              <w:jc w:val="center"/>
            </w:pPr>
            <w:r/>
            <w:r>
              <w:rPr>
                <w:rFonts w:ascii="Times New Roman" w:hAnsi="Times New Roman"/>
                <w:sz w:val="16"/>
              </w:rPr>
              <w:t>46.9</w:t>
            </w:r>
          </w:p>
        </w:tc>
        <w:tc>
          <w:tcPr>
            <w:tcW w:type="dxa" w:w="1152"/>
          </w:tcPr>
          <w:p>
            <w:pPr>
              <w:keepNext/>
              <w:jc w:val="center"/>
            </w:pPr>
            <w:r/>
            <w:r>
              <w:rPr>
                <w:rFonts w:ascii="Times New Roman" w:hAnsi="Times New Roman"/>
                <w:sz w:val="16"/>
              </w:rPr>
              <w:t>44/44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0/44</w:t>
            </w:r>
          </w:p>
        </w:tc>
      </w:tr>
      <w:tr>
        <w:trPr>
          <w:cantSplit/>
        </w:trPr>
        <w:tc>
          <w:tcPr>
            <w:tcW w:type="dxa" w:w="1152"/>
            <w:tcBorders>
              <w:bottom w:val="single" w:sz="12" w:color="000000"/>
            </w:tcBorders>
          </w:tcPr>
          <w:p>
            <w:pPr>
              <w:jc w:val="left"/>
            </w:pPr>
            <w:r/>
            <w:r>
              <w:rPr>
                <w:rFonts w:ascii="Times New Roman" w:hAnsi="Times New Roman"/>
                <w:sz w:val="16"/>
              </w:rPr>
              <w:t>174,300</w:t>
            </w:r>
          </w:p>
        </w:tc>
        <w:tc>
          <w:tcPr>
            <w:tcW w:type="dxa" w:w="1152"/>
            <w:tcBorders>
              <w:bottom w:val="single" w:sz="12" w:color="000000"/>
            </w:tcBorders>
          </w:tcPr>
          <w:p>
            <w:pPr>
              <w:jc w:val="center"/>
            </w:pPr>
            <w:r/>
            <w:r>
              <w:rPr>
                <w:rFonts w:ascii="Times New Roman" w:hAnsi="Times New Roman"/>
                <w:sz w:val="16"/>
              </w:rPr>
              <w:t>24.75</w:t>
            </w:r>
          </w:p>
        </w:tc>
        <w:tc>
          <w:tcPr>
            <w:tcW w:type="dxa" w:w="1152"/>
            <w:tcBorders>
              <w:bottom w:val="single" w:sz="12" w:color="000000"/>
            </w:tcBorders>
          </w:tcPr>
          <w:p>
            <w:pPr>
              <w:jc w:val="center"/>
            </w:pPr>
            <w:r/>
            <w:r>
              <w:rPr>
                <w:rFonts w:ascii="Times New Roman" w:hAnsi="Times New Roman"/>
                <w:sz w:val="16"/>
              </w:rPr>
              <w:t>1053</w:t>
            </w:r>
          </w:p>
        </w:tc>
        <w:tc>
          <w:tcPr>
            <w:tcW w:type="dxa" w:w="1152"/>
            <w:tcBorders>
              <w:bottom w:val="single" w:sz="12" w:color="000000"/>
            </w:tcBorders>
          </w:tcPr>
          <w:p>
            <w:pPr>
              <w:jc w:val="center"/>
            </w:pPr>
            <w:r/>
            <w:r>
              <w:rPr>
                <w:rFonts w:ascii="Times New Roman" w:hAnsi="Times New Roman"/>
                <w:sz w:val="16"/>
              </w:rPr>
              <w:t>41.9</w:t>
            </w:r>
          </w:p>
        </w:tc>
        <w:tc>
          <w:tcPr>
            <w:tcW w:type="dxa" w:w="1152"/>
            <w:tcBorders>
              <w:bottom w:val="single" w:sz="12" w:color="000000"/>
            </w:tcBorders>
          </w:tcPr>
          <w:p>
            <w:pPr>
              <w:jc w:val="center"/>
            </w:pPr>
            <w:r/>
            <w:r>
              <w:rPr>
                <w:rFonts w:ascii="Times New Roman" w:hAnsi="Times New Roman"/>
                <w:sz w:val="16"/>
              </w:rPr>
              <w:t>123.5</w:t>
            </w:r>
          </w:p>
        </w:tc>
        <w:tc>
          <w:tcPr>
            <w:tcW w:type="dxa" w:w="1152"/>
            <w:tcBorders>
              <w:bottom w:val="single" w:sz="12" w:color="000000"/>
            </w:tcBorders>
          </w:tcPr>
          <w:p>
            <w:pPr>
              <w:jc w:val="center"/>
            </w:pPr>
            <w:r/>
            <w:r>
              <w:rPr>
                <w:rFonts w:ascii="Times New Roman" w:hAnsi="Times New Roman"/>
                <w:sz w:val="16"/>
              </w:rPr>
              <w:t>47/47</w:t>
            </w:r>
          </w:p>
        </w:tc>
        <w:tc>
          <w:tcPr>
            <w:tcW w:type="dxa" w:w="1152"/>
            <w:tcBorders>
              <w:bottom w:val="single" w:sz="12" w:color="000000"/>
            </w:tcBorders>
          </w:tcPr>
          <w:p>
            <w:pPr>
              <w:jc w:val="center"/>
            </w:pPr>
            <w:r/>
            <w:r>
              <w:rPr>
                <w:rFonts w:ascii="Times New Roman" w:hAnsi="Times New Roman"/>
                <w:sz w:val="16"/>
              </w:rPr>
              <w:t>infeasible</w:t>
            </w:r>
          </w:p>
        </w:tc>
        <w:tc>
          <w:tcPr>
            <w:tcW w:type="dxa" w:w="1152"/>
            <w:tcBorders>
              <w:bottom w:val="single" w:sz="12" w:color="000000"/>
            </w:tcBorders>
          </w:tcPr>
          <w:p>
            <w:pPr>
              <w:jc w:val="center"/>
            </w:pPr>
            <w:r/>
            <w:r>
              <w:rPr>
                <w:rFonts w:ascii="Times New Roman" w:hAnsi="Times New Roman"/>
                <w:sz w:val="16"/>
              </w:rPr>
              <w:t>6.0</w:t>
            </w:r>
          </w:p>
        </w:tc>
        <w:tc>
          <w:tcPr>
            <w:tcW w:type="dxa" w:w="1152"/>
            <w:tcBorders>
              <w:bottom w:val="single" w:sz="12" w:color="000000"/>
            </w:tcBorders>
          </w:tcPr>
          <w:p>
            <w:pPr>
              <w:jc w:val="center"/>
            </w:pPr>
            <w:r/>
            <w:r>
              <w:rPr>
                <w:rFonts w:ascii="Times New Roman" w:hAnsi="Times New Roman"/>
                <w:sz w:val="16"/>
              </w:rPr>
              <w:t>0/47</w:t>
            </w:r>
          </w:p>
        </w:tc>
      </w:tr>
    </w:tbl>
    <w:p>
      <w:pPr>
        <w:spacing w:after="0"/>
        <w:rPr>
          <w:sz w:val="4"/>
        </w:rPr>
      </w:pPr>
    </w:p>
    <w:p>
      <w:pPr>
        <w:spacing w:before="4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rPr>
          <w:sz w:val="12"/>
        </w:r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6"/>
        </w:rPr>
        <w:t>Fig. 3. Index build and query latency versus corpus size (log-log); planted recall 100% at all sizes; Jaccard scan baseline shown where feasible; MinHash-LSH is fast at every size yet retrieves nothing (Section V-G).</w:t>
      </w:r>
    </w:p>
    <w:p>
      <w:pPr>
        <w:pStyle w:val="Heading2"/>
        <w:spacing w:before="100"/>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 xml:space="preserve">Recall (%) of the L1 tolerant screen on 337 planted-copy cells (five seeds per cell; </w:t>
      </w:r>
      <w:r>
        <w:rPr>
          <w:i/>
        </w:rPr>
        <w:t>k_pitch</w:t>
      </w:r>
      <w:r>
        <w:t xml:space="preserve"> = 2, </w:t>
      </w:r>
      <w:r>
        <w:rPr>
          <w:i/>
        </w:rPr>
        <w:t>k_bin</w:t>
      </w:r>
      <w:r>
        <w:t xml:space="preserve">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sz w:val="16"/>
              </w:rPr>
              <w:t>Verbatim</w:t>
            </w:r>
          </w:p>
        </w:tc>
        <w:tc>
          <w:tcPr>
            <w:tcW w:type="dxa" w:w="1481"/>
          </w:tcPr>
          <w:p>
            <w:pPr>
              <w:keepNext/>
              <w:jc w:val="center"/>
            </w:pPr>
            <w:r/>
            <w:r>
              <w:rPr>
                <w:rFonts w:ascii="Times New Roman" w:hAnsi="Times New Roman"/>
                <w:sz w:val="16"/>
              </w:rPr>
              <w:t>identity</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Transpose</w:t>
            </w:r>
          </w:p>
        </w:tc>
        <w:tc>
          <w:tcPr>
            <w:tcW w:type="dxa" w:w="1481"/>
          </w:tcPr>
          <w:p>
            <w:pPr>
              <w:keepNext/>
              <w:jc w:val="center"/>
            </w:pPr>
            <w:r/>
            <w:r>
              <w:rPr>
                <w:rFonts w:ascii="Times New Roman" w:hAnsi="Times New Roman"/>
                <w:sz w:val="16"/>
              </w:rPr>
              <w:t>±1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±2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±4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±6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Tempo scaling</w:t>
            </w:r>
          </w:p>
        </w:tc>
        <w:tc>
          <w:tcPr>
            <w:tcW w:type="dxa" w:w="1481"/>
          </w:tcPr>
          <w:p>
            <w:pPr>
              <w:keepNext/>
              <w:jc w:val="center"/>
            </w:pPr>
            <w:r/>
            <w:r>
              <w:rPr>
                <w:rFonts w:ascii="Times New Roman" w:hAnsi="Times New Roman"/>
                <w:sz w:val="16"/>
              </w:rPr>
              <w:t>×1.05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Split–merge</w:t>
            </w:r>
          </w:p>
        </w:tc>
        <w:tc>
          <w:tcPr>
            <w:tcW w:type="dxa" w:w="1481"/>
          </w:tcPr>
          <w:p>
            <w:pPr>
              <w:keepNext/>
              <w:jc w:val="center"/>
            </w:pPr>
            <w:r/>
            <w:r>
              <w:rPr>
                <w:rFonts w:ascii="Times New Roman" w:hAnsi="Times New Roman"/>
                <w:sz w:val="16"/>
              </w:rPr>
              <w:t>p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0.30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Re-instrumentation</w:t>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0.25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0.40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sz w:val="16"/>
              </w:rPr>
              <w:t>Transcription noise</w:t>
            </w:r>
          </w:p>
        </w:tc>
        <w:tc>
          <w:tcPr>
            <w:tcW w:type="dxa" w:w="1481"/>
          </w:tcPr>
          <w:p>
            <w:pPr>
              <w:keepNext/>
              <w:jc w:val="center"/>
            </w:pPr>
            <w:r/>
            <w:r>
              <w:rPr>
                <w:rFonts w:ascii="Times New Roman" w:hAnsi="Times New Roman"/>
                <w:i/>
                <w:sz w:val="16"/>
              </w:rPr>
              <w:t>q</w:t>
            </w:r>
            <w:r>
              <w:rPr>
                <w:rFonts w:ascii="Times New Roman" w:hAnsi="Times New Roman"/>
                <w:sz w:val="16"/>
              </w:rPr>
              <w:t xml:space="preserve">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q</w:t>
            </w:r>
            <w:r>
              <w:rPr>
                <w:rFonts w:ascii="Times New Roman" w:hAnsi="Times New Roman"/>
                <w:sz w:val="16"/>
              </w:rPr>
              <w:t xml:space="preserve">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p>
        </w:tc>
        <w:tc>
          <w:tcPr>
            <w:tcW w:type="dxa" w:w="1481"/>
            <w:tcBorders>
              <w:bottom w:val="single" w:sz="12" w:color="000000"/>
            </w:tcBorders>
          </w:tcPr>
          <w:p>
            <w:pPr>
              <w:jc w:val="center"/>
            </w:pPr>
            <w:r/>
            <w:r>
              <w:rPr>
                <w:rFonts w:ascii="Times New Roman" w:hAnsi="Times New Roman"/>
                <w:i/>
                <w:sz w:val="16"/>
              </w:rPr>
              <w:t>q</w:t>
            </w:r>
            <w:r>
              <w:rPr>
                <w:rFonts w:ascii="Times New Roman" w:hAnsi="Times New Roman"/>
                <w:sz w:val="16"/>
              </w:rPr>
              <w:t xml:space="preserve"> = 60 ms, miss 15 %</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100.0</w:t>
            </w:r>
          </w:p>
        </w:tc>
      </w:tr>
    </w:tbl>
    <w:p>
      <w:pPr>
        <w:spacing w:after="0"/>
        <w:rPr>
          <w:sz w:val="4"/>
        </w:rPr>
      </w:pP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2"/>
        <w:spacing w:before="100"/>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6"/>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sz w:val="16"/>
              </w:rPr>
              <w:t>Verbatim</w:t>
            </w:r>
          </w:p>
        </w:tc>
        <w:tc>
          <w:tcPr>
            <w:tcW w:type="dxa" w:w="2074"/>
          </w:tcPr>
          <w:p>
            <w:pPr>
              <w:keepNext/>
              <w:jc w:val="center"/>
            </w:pPr>
            <w:r/>
            <w:r>
              <w:rPr>
                <w:rFonts w:ascii="Times New Roman" w:hAnsi="Times New Roman"/>
                <w:sz w:val="16"/>
              </w:rPr>
              <w:t>20</w:t>
            </w:r>
          </w:p>
        </w:tc>
        <w:tc>
          <w:tcPr>
            <w:tcW w:type="dxa" w:w="2074"/>
          </w:tcPr>
          <w:p>
            <w:pPr>
              <w:keepNext/>
              <w:jc w:val="center"/>
            </w:pPr>
            <w:r/>
            <w:r>
              <w:rPr>
                <w:rFonts w:ascii="Times New Roman" w:hAnsi="Times New Roman"/>
                <w:sz w:val="16"/>
              </w:rPr>
              <w:t>0.0</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Transpose</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6.7</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Tempo scaling</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0.5</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Split–merge</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1.9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Re-instrumentation</w:t>
            </w:r>
          </w:p>
        </w:tc>
        <w:tc>
          <w:tcPr>
            <w:tcW w:type="dxa" w:w="2074"/>
          </w:tcPr>
          <w:p>
            <w:pPr>
              <w:keepNext/>
              <w:jc w:val="center"/>
            </w:pPr>
            <w:r/>
            <w:r>
              <w:rPr>
                <w:rFonts w:ascii="Times New Roman" w:hAnsi="Times New Roman"/>
                <w:sz w:val="16"/>
              </w:rPr>
              <w:t>58</w:t>
            </w:r>
          </w:p>
        </w:tc>
        <w:tc>
          <w:tcPr>
            <w:tcW w:type="dxa" w:w="2074"/>
          </w:tcPr>
          <w:p>
            <w:pPr>
              <w:keepNext/>
              <w:jc w:val="center"/>
            </w:pPr>
            <w:r/>
            <w:r>
              <w:rPr>
                <w:rFonts w:ascii="Times New Roman" w:hAnsi="Times New Roman"/>
                <w:sz w:val="16"/>
              </w:rPr>
              <w:t>0.9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Borders>
              <w:bottom w:val="single" w:sz="12" w:color="000000"/>
            </w:tcBorders>
          </w:tcPr>
          <w:p>
            <w:pPr>
              <w:jc w:val="left"/>
            </w:pPr>
            <w:r/>
            <w:r>
              <w:rPr>
                <w:rFonts w:ascii="Times New Roman" w:hAnsi="Times New Roman"/>
                <w:sz w:val="16"/>
              </w:rPr>
              <w:t>Transcription noise</w:t>
            </w:r>
          </w:p>
        </w:tc>
        <w:tc>
          <w:tcPr>
            <w:tcW w:type="dxa" w:w="2074"/>
            <w:tcBorders>
              <w:bottom w:val="single" w:sz="12" w:color="000000"/>
            </w:tcBorders>
          </w:tcPr>
          <w:p>
            <w:pPr>
              <w:jc w:val="center"/>
            </w:pPr>
            <w:r/>
            <w:r>
              <w:rPr>
                <w:rFonts w:ascii="Times New Roman" w:hAnsi="Times New Roman"/>
                <w:sz w:val="16"/>
              </w:rPr>
              <w:t>59</w:t>
            </w:r>
          </w:p>
        </w:tc>
        <w:tc>
          <w:tcPr>
            <w:tcW w:type="dxa" w:w="2074"/>
            <w:tcBorders>
              <w:bottom w:val="single" w:sz="12" w:color="000000"/>
            </w:tcBorders>
          </w:tcPr>
          <w:p>
            <w:pPr>
              <w:jc w:val="center"/>
            </w:pPr>
            <w:r/>
            <w:r>
              <w:rPr>
                <w:rFonts w:ascii="Times New Roman" w:hAnsi="Times New Roman"/>
                <w:sz w:val="16"/>
              </w:rPr>
              <w:t>2.6</w:t>
            </w:r>
          </w:p>
        </w:tc>
        <w:tc>
          <w:tcPr>
            <w:tcW w:type="dxa" w:w="2074"/>
            <w:tcBorders>
              <w:bottom w:val="single" w:sz="12" w:color="000000"/>
            </w:tcBorders>
          </w:tcPr>
          <w:p>
            <w:pPr>
              <w:jc w:val="center"/>
            </w:pPr>
            <w:r/>
            <w:r>
              <w:rPr>
                <w:rFonts w:ascii="Times New Roman" w:hAnsi="Times New Roman"/>
                <w:sz w:val="16"/>
              </w:rPr>
              <w:t>0</w:t>
            </w:r>
          </w:p>
        </w:tc>
        <w:tc>
          <w:tcPr>
            <w:tcW w:type="dxa" w:w="2074"/>
            <w:tcBorders>
              <w:bottom w:val="single" w:sz="12" w:color="000000"/>
            </w:tcBorders>
          </w:tcPr>
          <w:p>
            <w:pPr>
              <w:jc w:val="center"/>
            </w:pPr>
            <w:r/>
            <w:r>
              <w:rPr>
                <w:rFonts w:ascii="Times New Roman" w:hAnsi="Times New Roman"/>
                <w:sz w:val="16"/>
              </w:rPr>
              <w:t>0</w:t>
            </w:r>
          </w:p>
        </w:tc>
      </w:tr>
    </w:tbl>
    <w:p>
      <w:pPr>
        <w:spacing w:after="0"/>
        <w:rPr>
          <w:sz w:val="4"/>
        </w:rPr>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6"/>
        </w:rPr>
        <w:t>Fig. 5. Measured donor evidence versus theoretical lower bound, 337 adversarial cells; zero violations.</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6"/>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sz w:val="16"/>
              </w:rPr>
              <w:t>2%</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10%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20%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35%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50</w:t>
            </w:r>
          </w:p>
        </w:tc>
      </w:tr>
      <w:tr>
        <w:trPr>
          <w:cantSplit/>
        </w:trPr>
        <w:tc>
          <w:tcPr>
            <w:tcW w:type="dxa" w:w="2074"/>
          </w:tcPr>
          <w:p>
            <w:pPr>
              <w:keepNext/>
              <w:jc w:val="left"/>
            </w:pPr>
            <w:r/>
            <w:r>
              <w:rPr>
                <w:rFonts w:ascii="Times New Roman" w:hAnsi="Times New Roman"/>
                <w:sz w:val="16"/>
              </w:rPr>
              <w:t>70%</w:t>
            </w:r>
          </w:p>
        </w:tc>
        <w:tc>
          <w:tcPr>
            <w:tcW w:type="dxa" w:w="2074"/>
          </w:tcPr>
          <w:p>
            <w:pPr>
              <w:keepNext/>
              <w:jc w:val="center"/>
            </w:pPr>
            <w:r/>
            <w:r>
              <w:rPr>
                <w:rFonts w:ascii="Times New Roman" w:hAnsi="Times New Roman"/>
                <w:sz w:val="16"/>
              </w:rPr>
              <w:t>793.9</w:t>
            </w:r>
          </w:p>
        </w:tc>
        <w:tc>
          <w:tcPr>
            <w:tcW w:type="dxa" w:w="2074"/>
          </w:tcPr>
          <w:p>
            <w:pPr>
              <w:keepNext/>
              <w:jc w:val="center"/>
            </w:pPr>
            <w:r/>
            <w:r>
              <w:rPr>
                <w:rFonts w:ascii="Times New Roman" w:hAnsi="Times New Roman"/>
                <w:sz w:val="16"/>
              </w:rPr>
              <w:t>839.3</w:t>
            </w:r>
          </w:p>
        </w:tc>
        <w:tc>
          <w:tcPr>
            <w:tcW w:type="dxa" w:w="2074"/>
          </w:tcPr>
          <w:p>
            <w:pPr>
              <w:keepNext/>
              <w:jc w:val="center"/>
            </w:pPr>
            <w:r/>
            <w:r>
              <w:rPr>
                <w:rFonts w:ascii="Times New Roman" w:hAnsi="Times New Roman"/>
                <w:sz w:val="16"/>
              </w:rPr>
              <w:t>866.2</w:t>
            </w:r>
          </w:p>
        </w:tc>
        <w:tc>
          <w:tcPr>
            <w:tcW w:type="dxa" w:w="2074"/>
          </w:tcPr>
          <w:p>
            <w:pPr>
              <w:keepNext/>
              <w:jc w:val="center"/>
            </w:pPr>
            <w:r/>
            <w:r>
              <w:rPr>
                <w:rFonts w:ascii="Times New Roman" w:hAnsi="Times New Roman"/>
                <w:sz w:val="16"/>
              </w:rPr>
              <w:t>93</w:t>
            </w:r>
          </w:p>
        </w:tc>
      </w:tr>
      <w:tr>
        <w:trPr>
          <w:cantSplit/>
        </w:trPr>
        <w:tc>
          <w:tcPr>
            <w:tcW w:type="dxa" w:w="2074"/>
            <w:tcBorders>
              <w:bottom w:val="single" w:sz="12" w:color="000000"/>
            </w:tcBorders>
          </w:tcPr>
          <w:p>
            <w:pPr>
              <w:jc w:val="left"/>
            </w:pPr>
            <w:r/>
            <w:r>
              <w:rPr>
                <w:rFonts w:ascii="Times New Roman" w:hAnsi="Times New Roman"/>
                <w:sz w:val="16"/>
              </w:rPr>
              <w:t>100%</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100</w:t>
            </w:r>
          </w:p>
        </w:tc>
      </w:tr>
    </w:tbl>
    <w:p>
      <w:pPr>
        <w:spacing w:after="0"/>
        <w:rPr>
          <w:sz w:val="4"/>
        </w:rPr>
      </w:pPr>
    </w:p>
    <w:p>
      <w:pPr>
        <w:pStyle w:val="Heading2"/>
        <w:spacing w:before="100"/>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pStyle w:val="Heading2"/>
        <w:spacing w:before="100"/>
      </w:pPr>
      <w:r>
        <w:t>E. Confirmation precision and the cascade</w:t>
      </w:r>
    </w:p>
    <w:p>
      <w:pPr>
        <w:spacing w:after="0"/>
        <w:ind w:firstLine="204"/>
        <w:jc w:val="both"/>
      </w:pPr>
      <w:r>
        <w:t>Strict-tolerance chain confirmation reaches a 2.1% fragment-level false-positive rate at 83.9% recall (</w:t>
      </w:r>
      <w:r>
        <w:rPr>
          <w:i/>
        </w:rPr>
        <w:t>ρ</w:t>
      </w:r>
      <w:r>
        <w:t>=0.5), and 7.2% at 98.3% recall (</w:t>
      </w:r>
      <w:r>
        <w:rPr>
          <w:i/>
        </w:rPr>
        <w:t>ρ</w:t>
      </w:r>
      <w:r>
        <w:t>=0.4); Table VII and Fig. 8 map the full recall/FP trade-off over three anchor-tolerance regimes and four contiguity thresholds. Table VIII and Fig. 9 place the full cascade against its single-layer ablations. The cascade's remaining bottleneck is candidate retention: verbatim top-</w:t>
      </w:r>
      <w:r>
        <w:rPr>
          <w:i/>
        </w:rPr>
        <w:t>C</w:t>
      </w:r>
      <w:r>
        <w:t xml:space="preserve"> keeps 93.1% (</w:t>
      </w:r>
      <w:r>
        <w:rPr>
          <w:i/>
        </w:rPr>
        <w:t>C</w:t>
      </w:r>
      <w:r>
        <w:t>=20) and 96.6% (</w:t>
      </w:r>
      <w:r>
        <w:rPr>
          <w:i/>
        </w:rPr>
        <w:t>C</w:t>
      </w:r>
      <w:r>
        <w:t>=50) of donors; the union of tolerant and verbatim top-</w:t>
      </w:r>
      <w:r>
        <w:rPr>
          <w:i/>
        </w:rPr>
        <w:t>C</w:t>
      </w:r>
      <w:r>
        <w:t xml:space="preserve"> feeds—adopted in the final system—lifts retention above 99%.</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6"/>
        </w:rPr>
        <w:t>Fig. 7. Donor score margin (donor minus best non-donor) on 238 hard-negative fragments; the annotated rate is the fragment-level flag rate of each layer.</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sz w:val="16"/>
              </w:rPr>
              <w:t>4</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31.6</w:t>
            </w:r>
          </w:p>
        </w:tc>
        <w:tc>
          <w:tcPr>
            <w:tcW w:type="dxa" w:w="2074"/>
          </w:tcPr>
          <w:p>
            <w:pPr>
              <w:keepNext/>
              <w:jc w:val="center"/>
            </w:pPr>
            <w:r/>
            <w:r>
              <w:rPr>
                <w:rFonts w:ascii="Times New Roman" w:hAnsi="Times New Roman"/>
                <w:sz w:val="16"/>
              </w:rPr>
              <w:t>94.9</w:t>
            </w:r>
          </w:p>
        </w:tc>
      </w:tr>
      <w:tr>
        <w:trPr>
          <w:cantSplit/>
        </w:trPr>
        <w:tc>
          <w:tcPr>
            <w:tcW w:type="dxa" w:w="2074"/>
          </w:tcPr>
          <w:p>
            <w:pPr>
              <w:keepNext/>
              <w:jc w:val="left"/>
            </w:pPr>
            <w:r/>
            <w:r>
              <w:rPr>
                <w:rFonts w:ascii="Times New Roman" w:hAnsi="Times New Roman"/>
                <w:sz w:val="16"/>
              </w:rPr>
              <w:t>8</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22.8</w:t>
            </w:r>
          </w:p>
        </w:tc>
        <w:tc>
          <w:tcPr>
            <w:tcW w:type="dxa" w:w="2074"/>
          </w:tcPr>
          <w:p>
            <w:pPr>
              <w:keepNext/>
              <w:jc w:val="center"/>
            </w:pPr>
            <w:r/>
            <w:r>
              <w:rPr>
                <w:rFonts w:ascii="Times New Roman" w:hAnsi="Times New Roman"/>
                <w:sz w:val="16"/>
              </w:rPr>
              <w:t>92.4</w:t>
            </w:r>
          </w:p>
        </w:tc>
      </w:tr>
      <w:tr>
        <w:trPr>
          <w:cantSplit/>
        </w:trPr>
        <w:tc>
          <w:tcPr>
            <w:tcW w:type="dxa" w:w="2074"/>
          </w:tcPr>
          <w:p>
            <w:pPr>
              <w:keepNext/>
              <w:jc w:val="left"/>
            </w:pPr>
            <w:r/>
            <w:r>
              <w:rPr>
                <w:rFonts w:ascii="Times New Roman" w:hAnsi="Times New Roman"/>
                <w:sz w:val="16"/>
              </w:rPr>
              <w:t>16</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92.5</w:t>
            </w:r>
          </w:p>
        </w:tc>
        <w:tc>
          <w:tcPr>
            <w:tcW w:type="dxa" w:w="2074"/>
          </w:tcPr>
          <w:p>
            <w:pPr>
              <w:keepNext/>
              <w:jc w:val="center"/>
            </w:pPr>
            <w:r/>
            <w:r>
              <w:rPr>
                <w:rFonts w:ascii="Times New Roman" w:hAnsi="Times New Roman"/>
                <w:sz w:val="16"/>
              </w:rPr>
              <w:t>12.5</w:t>
            </w:r>
          </w:p>
        </w:tc>
        <w:tc>
          <w:tcPr>
            <w:tcW w:type="dxa" w:w="2074"/>
          </w:tcPr>
          <w:p>
            <w:pPr>
              <w:keepNext/>
              <w:jc w:val="center"/>
            </w:pPr>
            <w:r/>
            <w:r>
              <w:rPr>
                <w:rFonts w:ascii="Times New Roman" w:hAnsi="Times New Roman"/>
                <w:sz w:val="16"/>
              </w:rPr>
              <w:t>93.8</w:t>
            </w:r>
          </w:p>
        </w:tc>
      </w:tr>
      <w:tr>
        <w:trPr>
          <w:cantSplit/>
        </w:trPr>
        <w:tc>
          <w:tcPr>
            <w:tcW w:type="dxa" w:w="2074"/>
            <w:tcBorders>
              <w:bottom w:val="single" w:sz="12" w:color="000000"/>
            </w:tcBorders>
          </w:tcPr>
          <w:p>
            <w:pPr>
              <w:jc w:val="left"/>
            </w:pPr>
            <w:r/>
            <w:r>
              <w:rPr>
                <w:rFonts w:ascii="Times New Roman" w:hAnsi="Times New Roman"/>
                <w:sz w:val="16"/>
              </w:rPr>
              <w:t>All</w:t>
            </w:r>
          </w:p>
        </w:tc>
        <w:tc>
          <w:tcPr>
            <w:tcW w:type="dxa" w:w="2074"/>
            <w:tcBorders>
              <w:bottom w:val="single" w:sz="12" w:color="000000"/>
            </w:tcBorders>
          </w:tcPr>
          <w:p>
            <w:pPr>
              <w:jc w:val="center"/>
            </w:pPr>
            <w:r/>
            <w:r>
              <w:rPr>
                <w:rFonts w:ascii="Times New Roman" w:hAnsi="Times New Roman"/>
                <w:sz w:val="16"/>
              </w:rPr>
              <w:t>238</w:t>
            </w:r>
          </w:p>
        </w:tc>
        <w:tc>
          <w:tcPr>
            <w:tcW w:type="dxa" w:w="2074"/>
            <w:tcBorders>
              <w:bottom w:val="single" w:sz="12" w:color="000000"/>
            </w:tcBorders>
          </w:tcPr>
          <w:p>
            <w:pPr>
              <w:jc w:val="center"/>
            </w:pPr>
            <w:r/>
            <w:r>
              <w:rPr>
                <w:rFonts w:ascii="Times New Roman" w:hAnsi="Times New Roman"/>
                <w:sz w:val="16"/>
              </w:rPr>
              <w:t>93.3</w:t>
            </w:r>
          </w:p>
        </w:tc>
        <w:tc>
          <w:tcPr>
            <w:tcW w:type="dxa" w:w="2074"/>
            <w:tcBorders>
              <w:bottom w:val="single" w:sz="12" w:color="000000"/>
            </w:tcBorders>
          </w:tcPr>
          <w:p>
            <w:pPr>
              <w:jc w:val="center"/>
            </w:pPr>
            <w:r/>
            <w:r>
              <w:rPr>
                <w:rFonts w:ascii="Times New Roman" w:hAnsi="Times New Roman"/>
                <w:sz w:val="16"/>
              </w:rPr>
              <w:t>22.3</w:t>
            </w:r>
          </w:p>
        </w:tc>
        <w:tc>
          <w:tcPr>
            <w:tcW w:type="dxa" w:w="2074"/>
            <w:tcBorders>
              <w:bottom w:val="single" w:sz="12" w:color="000000"/>
            </w:tcBorders>
          </w:tcPr>
          <w:p>
            <w:pPr>
              <w:jc w:val="center"/>
            </w:pPr>
            <w:r/>
            <w:r>
              <w:rPr>
                <w:rFonts w:ascii="Times New Roman" w:hAnsi="Times New Roman"/>
                <w:sz w:val="16"/>
              </w:rPr>
              <w:t>93.7</w:t>
            </w:r>
          </w:p>
        </w:tc>
      </w:tr>
    </w:tbl>
    <w:p>
      <w:pPr>
        <w:spacing w:after="0"/>
        <w:rPr>
          <w:sz w:val="4"/>
        </w:rPr>
      </w:pPr>
    </w:p>
    <w:p>
      <w:pPr>
        <w:spacing w:after="0"/>
        <w:ind w:firstLine="204"/>
        <w:jc w:val="both"/>
      </w:pPr>
      <w:r>
        <w:t xml:space="preserve">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w:t>
      </w:r>
      <w:r>
        <w:rPr>
          <w:i/>
        </w:rPr>
        <w:t>ρ</w:t>
      </w:r>
      <w:r>
        <w:t xml:space="preserve"> = 0.5 (2.1% FP, 83.9% recall) is the decision-grade operating point, at which a confirmed flag can be acted on directly; </w:t>
      </w:r>
      <w:r>
        <w:rPr>
          <w:i/>
        </w:rPr>
        <w:t>ρ</w:t>
      </w:r>
      <w:r>
        <w:t xml:space="preserve">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 xml:space="preserve">Confirmation recall / fragment-level FP (%) by anchor-tolerance regime and contiguity threshold </w:t>
      </w:r>
      <w:r>
        <w:rPr>
          <w:i/>
        </w:rPr>
        <w:t>ρ</w:t>
      </w:r>
      <w:r>
        <w:t xml:space="preserve">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0.3</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0.4</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0.5</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0.6</w:t>
            </w:r>
          </w:p>
        </w:tc>
      </w:tr>
      <w:tr>
        <w:trPr>
          <w:cantSplit/>
        </w:trPr>
        <w:tc>
          <w:tcPr>
            <w:tcW w:type="dxa" w:w="2074"/>
          </w:tcPr>
          <w:p>
            <w:pPr>
              <w:keepNext/>
              <w:jc w:val="left"/>
            </w:pPr>
            <w:r/>
            <w:r>
              <w:rPr>
                <w:rFonts w:ascii="Times New Roman" w:hAnsi="Times New Roman"/>
                <w:sz w:val="16"/>
              </w:rPr>
              <w:t>Strict anchors</w:t>
            </w:r>
          </w:p>
        </w:tc>
        <w:tc>
          <w:tcPr>
            <w:tcW w:type="dxa" w:w="2074"/>
          </w:tcPr>
          <w:p>
            <w:pPr>
              <w:keepNext/>
              <w:jc w:val="center"/>
            </w:pPr>
            <w:r/>
            <w:r>
              <w:rPr>
                <w:rFonts w:ascii="Times New Roman" w:hAnsi="Times New Roman"/>
                <w:sz w:val="16"/>
              </w:rPr>
              <w:t>100.0 / 13.6</w:t>
            </w:r>
          </w:p>
        </w:tc>
        <w:tc>
          <w:tcPr>
            <w:tcW w:type="dxa" w:w="2074"/>
          </w:tcPr>
          <w:p>
            <w:pPr>
              <w:keepNext/>
              <w:jc w:val="center"/>
            </w:pPr>
            <w:r/>
            <w:r>
              <w:rPr>
                <w:rFonts w:ascii="Times New Roman" w:hAnsi="Times New Roman"/>
                <w:sz w:val="16"/>
              </w:rPr>
              <w:t>98.3 / 7.2</w:t>
            </w:r>
          </w:p>
        </w:tc>
        <w:tc>
          <w:tcPr>
            <w:tcW w:type="dxa" w:w="2074"/>
          </w:tcPr>
          <w:p>
            <w:pPr>
              <w:keepNext/>
              <w:jc w:val="center"/>
            </w:pPr>
            <w:r/>
            <w:r>
              <w:rPr>
                <w:rFonts w:ascii="Times New Roman" w:hAnsi="Times New Roman"/>
                <w:sz w:val="16"/>
              </w:rPr>
              <w:t>83.9 / 2.1</w:t>
            </w:r>
          </w:p>
        </w:tc>
        <w:tc>
          <w:tcPr>
            <w:tcW w:type="dxa" w:w="2074"/>
          </w:tcPr>
          <w:p>
            <w:pPr>
              <w:keepNext/>
              <w:jc w:val="center"/>
            </w:pPr>
            <w:r/>
            <w:r>
              <w:rPr>
                <w:rFonts w:ascii="Times New Roman" w:hAnsi="Times New Roman"/>
                <w:sz w:val="16"/>
              </w:rPr>
              <w:t>43.2 / 0.4</w:t>
            </w:r>
          </w:p>
        </w:tc>
      </w:tr>
      <w:tr>
        <w:trPr>
          <w:cantSplit/>
        </w:trPr>
        <w:tc>
          <w:tcPr>
            <w:tcW w:type="dxa" w:w="2074"/>
          </w:tcPr>
          <w:p>
            <w:pPr>
              <w:keepNext/>
              <w:jc w:val="left"/>
            </w:pPr>
            <w:r/>
            <w:r>
              <w:rPr>
                <w:rFonts w:ascii="Times New Roman" w:hAnsi="Times New Roman"/>
                <w:sz w:val="16"/>
              </w:rPr>
              <w:t>Mid tolerance</w:t>
            </w:r>
          </w:p>
        </w:tc>
        <w:tc>
          <w:tcPr>
            <w:tcW w:type="dxa" w:w="2074"/>
          </w:tcPr>
          <w:p>
            <w:pPr>
              <w:keepNext/>
              <w:jc w:val="center"/>
            </w:pPr>
            <w:r/>
            <w:r>
              <w:rPr>
                <w:rFonts w:ascii="Times New Roman" w:hAnsi="Times New Roman"/>
                <w:sz w:val="16"/>
              </w:rPr>
              <w:t>100.0 / 88.6</w:t>
            </w:r>
          </w:p>
        </w:tc>
        <w:tc>
          <w:tcPr>
            <w:tcW w:type="dxa" w:w="2074"/>
          </w:tcPr>
          <w:p>
            <w:pPr>
              <w:keepNext/>
              <w:jc w:val="center"/>
            </w:pPr>
            <w:r/>
            <w:r>
              <w:rPr>
                <w:rFonts w:ascii="Times New Roman" w:hAnsi="Times New Roman"/>
                <w:sz w:val="16"/>
              </w:rPr>
              <w:t>100.0 / 66.5</w:t>
            </w:r>
          </w:p>
        </w:tc>
        <w:tc>
          <w:tcPr>
            <w:tcW w:type="dxa" w:w="2074"/>
          </w:tcPr>
          <w:p>
            <w:pPr>
              <w:keepNext/>
              <w:jc w:val="center"/>
            </w:pPr>
            <w:r/>
            <w:r>
              <w:rPr>
                <w:rFonts w:ascii="Times New Roman" w:hAnsi="Times New Roman"/>
                <w:sz w:val="16"/>
              </w:rPr>
              <w:t>99.6 / 50.4</w:t>
            </w:r>
          </w:p>
        </w:tc>
        <w:tc>
          <w:tcPr>
            <w:tcW w:type="dxa" w:w="2074"/>
          </w:tcPr>
          <w:p>
            <w:pPr>
              <w:keepNext/>
              <w:jc w:val="center"/>
            </w:pPr>
            <w:r/>
            <w:r>
              <w:rPr>
                <w:rFonts w:ascii="Times New Roman" w:hAnsi="Times New Roman"/>
                <w:sz w:val="16"/>
              </w:rPr>
              <w:t>97.5 / 36.0</w:t>
            </w:r>
          </w:p>
        </w:tc>
      </w:tr>
      <w:tr>
        <w:trPr>
          <w:cantSplit/>
        </w:trPr>
        <w:tc>
          <w:tcPr>
            <w:tcW w:type="dxa" w:w="2074"/>
            <w:tcBorders>
              <w:bottom w:val="single" w:sz="12" w:color="000000"/>
            </w:tcBorders>
          </w:tcPr>
          <w:p>
            <w:pPr>
              <w:jc w:val="left"/>
            </w:pPr>
            <w:r/>
            <w:r>
              <w:rPr>
                <w:rFonts w:ascii="Times New Roman" w:hAnsi="Times New Roman"/>
                <w:sz w:val="16"/>
              </w:rPr>
              <w:t>Loose tolerance</w:t>
            </w:r>
          </w:p>
        </w:tc>
        <w:tc>
          <w:tcPr>
            <w:tcW w:type="dxa" w:w="2074"/>
            <w:tcBorders>
              <w:bottom w:val="single" w:sz="12" w:color="000000"/>
            </w:tcBorders>
          </w:tcPr>
          <w:p>
            <w:pPr>
              <w:jc w:val="center"/>
            </w:pPr>
            <w:r/>
            <w:r>
              <w:rPr>
                <w:rFonts w:ascii="Times New Roman" w:hAnsi="Times New Roman"/>
                <w:sz w:val="16"/>
              </w:rPr>
              <w:t>100.0 / 97.5</w:t>
            </w:r>
          </w:p>
        </w:tc>
        <w:tc>
          <w:tcPr>
            <w:tcW w:type="dxa" w:w="2074"/>
            <w:tcBorders>
              <w:bottom w:val="single" w:sz="12" w:color="000000"/>
            </w:tcBorders>
          </w:tcPr>
          <w:p>
            <w:pPr>
              <w:jc w:val="center"/>
            </w:pPr>
            <w:r/>
            <w:r>
              <w:rPr>
                <w:rFonts w:ascii="Times New Roman" w:hAnsi="Times New Roman"/>
                <w:sz w:val="16"/>
              </w:rPr>
              <w:t>100.0 / 80.5</w:t>
            </w:r>
          </w:p>
        </w:tc>
        <w:tc>
          <w:tcPr>
            <w:tcW w:type="dxa" w:w="2074"/>
            <w:tcBorders>
              <w:bottom w:val="single" w:sz="12" w:color="000000"/>
            </w:tcBorders>
          </w:tcPr>
          <w:p>
            <w:pPr>
              <w:jc w:val="center"/>
            </w:pPr>
            <w:r/>
            <w:r>
              <w:rPr>
                <w:rFonts w:ascii="Times New Roman" w:hAnsi="Times New Roman"/>
                <w:sz w:val="16"/>
              </w:rPr>
              <w:t>100.0 / 63.1</w:t>
            </w:r>
          </w:p>
        </w:tc>
        <w:tc>
          <w:tcPr>
            <w:tcW w:type="dxa" w:w="2074"/>
            <w:tcBorders>
              <w:bottom w:val="single" w:sz="12" w:color="000000"/>
            </w:tcBorders>
          </w:tcPr>
          <w:p>
            <w:pPr>
              <w:jc w:val="center"/>
            </w:pPr>
            <w:r/>
            <w:r>
              <w:rPr>
                <w:rFonts w:ascii="Times New Roman" w:hAnsi="Times New Roman"/>
                <w:sz w:val="16"/>
              </w:rPr>
              <w:t>98.3 / 49.2</w:t>
            </w:r>
          </w:p>
        </w:tc>
      </w:tr>
    </w:tbl>
    <w:p>
      <w:pPr>
        <w:spacing w:after="0"/>
        <w:rPr>
          <w:sz w:val="4"/>
        </w:rPr>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6"/>
        </w:rPr>
        <w:t xml:space="preserve">Fig. 8. Confirmation operating curves: donor recall versus fragment-level FP over </w:t>
      </w:r>
      <w:r>
        <w:rPr>
          <w:i/>
          <w:sz w:val="16"/>
        </w:rPr>
        <w:t>ρ</w:t>
      </w:r>
      <w:r>
        <w:rPr>
          <w:sz w:val="16"/>
        </w:rPr>
        <w:t>, labeled by threshold, for three anchor-tolerance regimes.</w:t>
      </w: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sz w:val="16"/>
              </w:rPr>
              <w:t>L1 tolerant screen</w:t>
            </w:r>
          </w:p>
        </w:tc>
        <w:tc>
          <w:tcPr>
            <w:tcW w:type="dxa" w:w="2592"/>
          </w:tcPr>
          <w:p>
            <w:pPr>
              <w:keepNext/>
              <w:jc w:val="center"/>
            </w:pPr>
            <w:r/>
            <w:r>
              <w:rPr>
                <w:rFonts w:ascii="Times New Roman" w:hAnsi="Times New Roman"/>
                <w:sz w:val="16"/>
              </w:rPr>
              <w:t>100%</w:t>
            </w:r>
          </w:p>
        </w:tc>
        <w:tc>
          <w:tcPr>
            <w:tcW w:type="dxa" w:w="2592"/>
          </w:tcPr>
          <w:p>
            <w:pPr>
              <w:keepNext/>
              <w:jc w:val="center"/>
            </w:pPr>
            <w:r/>
            <w:r>
              <w:rPr>
                <w:rFonts w:ascii="Times New Roman" w:hAnsi="Times New Roman"/>
                <w:sz w:val="16"/>
              </w:rPr>
              <w:t>92.7% (</w:t>
            </w:r>
            <w:r>
              <w:rPr>
                <w:rFonts w:ascii="Times New Roman" w:hAnsi="Times New Roman"/>
                <w:i/>
                <w:sz w:val="16"/>
              </w:rPr>
              <w:t>τ</w:t>
            </w:r>
            <w:r>
              <w:rPr>
                <w:rFonts w:ascii="Times New Roman" w:hAnsi="Times New Roman"/>
                <w:sz w:val="16"/>
              </w:rPr>
              <w:t xml:space="preserve"> = </w:t>
            </w:r>
            <w:r>
              <w:rPr>
                <w:rFonts w:ascii="Times New Roman" w:hAnsi="Times New Roman"/>
                <w:i/>
                <w:sz w:val="16"/>
              </w:rPr>
              <w:t>⌊0.5·|S(q)|⌋</w:t>
            </w:r>
            <w:r>
              <w:rPr>
                <w:rFonts w:ascii="Times New Roman" w:hAnsi="Times New Roman"/>
                <w:sz w:val="16"/>
              </w:rPr>
              <w:t>); no threshold reaches &lt;50%</w:t>
            </w:r>
          </w:p>
        </w:tc>
        <w:tc>
          <w:tcPr>
            <w:tcW w:type="dxa" w:w="2592"/>
          </w:tcPr>
          <w:p>
            <w:pPr>
              <w:keepNext/>
              <w:jc w:val="center"/>
            </w:pPr>
            <w:r/>
            <w:r>
              <w:rPr>
                <w:rFonts w:ascii="Times New Roman" w:hAnsi="Times New Roman"/>
                <w:sz w:val="16"/>
              </w:rPr>
              <w:t>provable recall + anytime bound</w:t>
            </w:r>
          </w:p>
        </w:tc>
      </w:tr>
      <w:tr>
        <w:trPr>
          <w:cantSplit/>
        </w:trPr>
        <w:tc>
          <w:tcPr>
            <w:tcW w:type="dxa" w:w="2592"/>
          </w:tcPr>
          <w:p>
            <w:pPr>
              <w:keepNext/>
              <w:jc w:val="left"/>
            </w:pPr>
            <w:r/>
            <w:r>
              <w:rPr>
                <w:rFonts w:ascii="Times New Roman" w:hAnsi="Times New Roman"/>
                <w:sz w:val="16"/>
              </w:rPr>
              <w:t>L2 verbatim rank (top-1)</w:t>
            </w:r>
          </w:p>
        </w:tc>
        <w:tc>
          <w:tcPr>
            <w:tcW w:type="dxa" w:w="2592"/>
          </w:tcPr>
          <w:p>
            <w:pPr>
              <w:keepNext/>
              <w:jc w:val="center"/>
            </w:pPr>
            <w:r/>
            <w:r>
              <w:rPr>
                <w:rFonts w:ascii="Times New Roman" w:hAnsi="Times New Roman"/>
                <w:sz w:val="16"/>
              </w:rPr>
              <w:t>58.8% top-1 / 93.7% top-20</w:t>
            </w:r>
          </w:p>
        </w:tc>
        <w:tc>
          <w:tcPr>
            <w:tcW w:type="dxa" w:w="2592"/>
          </w:tcPr>
          <w:p>
            <w:pPr>
              <w:keepNext/>
              <w:jc w:val="center"/>
            </w:pPr>
            <w:r/>
            <w:r>
              <w:rPr>
                <w:rFonts w:ascii="Times New Roman" w:hAnsi="Times New Roman"/>
                <w:sz w:val="16"/>
              </w:rPr>
              <w:t>22.3%</w:t>
            </w:r>
          </w:p>
        </w:tc>
        <w:tc>
          <w:tcPr>
            <w:tcW w:type="dxa" w:w="2592"/>
          </w:tcPr>
          <w:p>
            <w:pPr>
              <w:keepNext/>
              <w:jc w:val="center"/>
            </w:pPr>
            <w:r/>
            <w:r>
              <w:rPr>
                <w:rFonts w:ascii="Times New Roman" w:hAnsi="Times New Roman"/>
                <w:sz w:val="16"/>
              </w:rPr>
              <w:t>no guarantee; per-corpus tuning</w:t>
            </w:r>
          </w:p>
        </w:tc>
      </w:tr>
      <w:tr>
        <w:trPr>
          <w:cantSplit/>
        </w:trPr>
        <w:tc>
          <w:tcPr>
            <w:tcW w:type="dxa" w:w="2592"/>
          </w:tcPr>
          <w:p>
            <w:pPr>
              <w:keepNext/>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=0.5)</w:t>
            </w:r>
          </w:p>
        </w:tc>
        <w:tc>
          <w:tcPr>
            <w:tcW w:type="dxa" w:w="2592"/>
          </w:tcPr>
          <w:p>
            <w:pPr>
              <w:keepNext/>
              <w:jc w:val="center"/>
            </w:pPr>
            <w:r/>
            <w:r>
              <w:rPr>
                <w:rFonts w:ascii="Times New Roman" w:hAnsi="Times New Roman"/>
                <w:sz w:val="16"/>
              </w:rPr>
              <w:t>80.7%</w:t>
            </w:r>
          </w:p>
        </w:tc>
        <w:tc>
          <w:tcPr>
            <w:tcW w:type="dxa" w:w="2592"/>
          </w:tcPr>
          <w:p>
            <w:pPr>
              <w:keepNext/>
              <w:jc w:val="center"/>
            </w:pPr>
            <w:r/>
            <w:r>
              <w:rPr>
                <w:rFonts w:ascii="Times New Roman" w:hAnsi="Times New Roman"/>
                <w:sz w:val="16"/>
              </w:rPr>
              <w:t>2.6%</w:t>
            </w:r>
          </w:p>
        </w:tc>
        <w:tc>
          <w:tcPr>
            <w:tcW w:type="dxa" w:w="2592"/>
          </w:tcPr>
          <w:p>
            <w:pPr>
              <w:keepNext/>
              <w:jc w:val="center"/>
            </w:pPr>
            <w:r/>
            <w:r>
              <w:rPr>
                <w:rFonts w:ascii="Times New Roman" w:hAnsi="Times New Roman"/>
                <w:sz w:val="16"/>
              </w:rPr>
              <w:t>decision-grade</w:t>
            </w:r>
          </w:p>
        </w:tc>
      </w:tr>
      <w:tr>
        <w:trPr>
          <w:cantSplit/>
        </w:trPr>
        <w:tc>
          <w:tcPr>
            <w:tcW w:type="dxa" w:w="2592"/>
            <w:tcBorders>
              <w:bottom w:val="single" w:sz="12" w:color="000000"/>
            </w:tcBorders>
          </w:tcPr>
          <w:p>
            <w:pPr>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=0.4)</w:t>
            </w:r>
          </w:p>
        </w:tc>
        <w:tc>
          <w:tcPr>
            <w:tcW w:type="dxa" w:w="2592"/>
            <w:tcBorders>
              <w:bottom w:val="single" w:sz="12" w:color="000000"/>
            </w:tcBorders>
          </w:tcPr>
          <w:p>
            <w:pPr>
              <w:jc w:val="center"/>
            </w:pPr>
            <w:r/>
            <w:r>
              <w:rPr>
                <w:rFonts w:ascii="Times New Roman" w:hAnsi="Times New Roman"/>
                <w:sz w:val="16"/>
              </w:rPr>
              <w:t>95.7%</w:t>
            </w:r>
          </w:p>
        </w:tc>
        <w:tc>
          <w:tcPr>
            <w:tcW w:type="dxa" w:w="2592"/>
            <w:tcBorders>
              <w:bottom w:val="single" w:sz="12" w:color="000000"/>
            </w:tcBorders>
          </w:tcPr>
          <w:p>
            <w:pPr>
              <w:jc w:val="center"/>
            </w:pPr>
            <w:r/>
            <w:r>
              <w:rPr>
                <w:rFonts w:ascii="Times New Roman" w:hAnsi="Times New Roman"/>
                <w:sz w:val="16"/>
              </w:rPr>
              <w:t>8.2%</w:t>
            </w:r>
          </w:p>
        </w:tc>
        <w:tc>
          <w:tcPr>
            <w:tcW w:type="dxa" w:w="2592"/>
            <w:tcBorders>
              <w:bottom w:val="single" w:sz="12" w:color="000000"/>
            </w:tcBorders>
          </w:tcPr>
          <w:p>
            <w:pPr>
              <w:jc w:val="center"/>
            </w:pPr>
            <w:r/>
            <w:r>
              <w:rPr>
                <w:rFonts w:ascii="Times New Roman" w:hAnsi="Times New Roman"/>
                <w:sz w:val="16"/>
              </w:rPr>
              <w:t>high-recall operating point</w:t>
            </w:r>
          </w:p>
        </w:tc>
      </w:tr>
    </w:tbl>
    <w:p>
      <w:pPr>
        <w:spacing w:after="0"/>
        <w:rPr>
          <w:sz w:val="4"/>
        </w:rPr>
      </w:pPr>
    </w:p>
    <w:p>
      <w:pPr>
        <w:pStyle w:val="Heading2"/>
        <w:spacing w:before="100"/>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6"/>
        </w:rPr>
        <w:t>Fig. 9. Operating points and donor retention on hard negatives. (a) Operating points of the three systems; (b) donor retention in the top-</w:t>
      </w:r>
      <w:r>
        <w:rPr>
          <w:i/>
          <w:sz w:val="16"/>
        </w:rPr>
        <w:t>C</w:t>
      </w:r>
      <w:r>
        <w:rPr>
          <w:sz w:val="16"/>
        </w:rPr>
        <w:t xml:space="preserve"> candidate feed.</w:t>
      </w:r>
    </w:p>
    <w:p>
      <w:pPr>
        <w:rPr>
          <w:sz w:val="12"/>
        </w:rPr>
        <w:sectPr w:rsidR="007E713A" w:rsidSect="00002FAF">
          <w:headerReference w:type="default" r:id="rId9"/>
          <w:type w:val="continuous"/>
          <w:pgSz w:w="12240" w:h="15840"/>
          <w:pgMar w:top="1008" w:right="936" w:bottom="1008" w:left="936" w:header="432" w:footer="432" w:gutter="0"/>
          <w:cols w:space="288"/>
        </w:sect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6"/>
        </w:rPr>
        <w:t>Fig. 10. Component ablations over the confirmation and screening stages. (a) evidence span length; (b) tolerance vector (bars: false candidates, log scale; dashed: recall, right axis); (c) quantization grid granularity.</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0.75×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21,467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1.00×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1.25×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15,952</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1.50×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12,061</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(0, 0, 0)</w:t>
            </w:r>
          </w:p>
        </w:tc>
        <w:tc>
          <w:tcPr>
            <w:tcW w:type="dxa" w:w="2074"/>
          </w:tcPr>
          <w:p>
            <w:pPr>
              <w:keepNext/>
              <w:jc w:val="center"/>
            </w:pPr>
            <w:r/>
            <w:r>
              <w:rPr>
                <w:rFonts w:ascii="Times New Roman" w:hAnsi="Times New Roman"/>
                <w:sz w:val="16"/>
              </w:rPr>
              <w:t>23/29</w:t>
            </w:r>
          </w:p>
        </w:tc>
        <w:tc>
          <w:tcPr>
            <w:tcW w:type="dxa" w:w="2074"/>
          </w:tcPr>
          <w:p>
            <w:pPr>
              <w:keepNext/>
              <w:jc w:val="center"/>
            </w:pPr>
            <w:r/>
            <w:r>
              <w:rPr>
                <w:rFonts w:ascii="Times New Roman" w:hAnsi="Times New Roman"/>
                <w:sz w:val="16"/>
              </w:rPr>
              <w:t>338</w:t>
            </w:r>
          </w:p>
        </w:tc>
        <w:tc>
          <w:tcPr>
            <w:tcW w:type="dxa" w:w="2074"/>
          </w:tcPr>
          <w:p>
            <w:pPr>
              <w:keepNext/>
              <w:jc w:val="center"/>
            </w:pPr>
            <w:r/>
            <w:r>
              <w:rPr>
                <w:rFonts w:ascii="Times New Roman" w:hAnsi="Times New Roman"/>
                <w:sz w:val="16"/>
              </w:rPr>
              <w:t>1.0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(1, 0, 0)</w:t>
            </w:r>
          </w:p>
        </w:tc>
        <w:tc>
          <w:tcPr>
            <w:tcW w:type="dxa" w:w="2074"/>
          </w:tcPr>
          <w:p>
            <w:pPr>
              <w:keepNext/>
              <w:jc w:val="center"/>
            </w:pPr>
            <w:r/>
            <w:r>
              <w:rPr>
                <w:rFonts w:ascii="Times New Roman" w:hAnsi="Times New Roman"/>
                <w:sz w:val="16"/>
              </w:rPr>
              <w:t>25/29</w:t>
            </w:r>
          </w:p>
        </w:tc>
        <w:tc>
          <w:tcPr>
            <w:tcW w:type="dxa" w:w="2074"/>
          </w:tcPr>
          <w:p>
            <w:pPr>
              <w:keepNext/>
              <w:jc w:val="center"/>
            </w:pPr>
            <w:r/>
            <w:r>
              <w:rPr>
                <w:rFonts w:ascii="Times New Roman" w:hAnsi="Times New Roman"/>
                <w:sz w:val="16"/>
              </w:rPr>
              <w:t>2,099</w:t>
            </w:r>
          </w:p>
        </w:tc>
        <w:tc>
          <w:tcPr>
            <w:tcW w:type="dxa" w:w="2074"/>
          </w:tcPr>
          <w:p>
            <w:pPr>
              <w:keepNext/>
              <w:jc w:val="center"/>
            </w:pPr>
            <w:r/>
            <w:r>
              <w:rPr>
                <w:rFonts w:ascii="Times New Roman" w:hAnsi="Times New Roman"/>
                <w:sz w:val="16"/>
              </w:rPr>
              <w:t>2.0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0, 0)</w:t>
            </w:r>
          </w:p>
        </w:tc>
        <w:tc>
          <w:tcPr>
            <w:tcW w:type="dxa" w:w="2074"/>
          </w:tcPr>
          <w:p>
            <w:pPr>
              <w:keepNext/>
              <w:jc w:val="center"/>
            </w:pPr>
            <w:r/>
            <w:r>
              <w:rPr>
                <w:rFonts w:ascii="Times New Roman" w:hAnsi="Times New Roman"/>
                <w:sz w:val="16"/>
              </w:rPr>
              <w:t>26/29</w:t>
            </w:r>
          </w:p>
        </w:tc>
        <w:tc>
          <w:tcPr>
            <w:tcW w:type="dxa" w:w="2074"/>
          </w:tcPr>
          <w:p>
            <w:pPr>
              <w:keepNext/>
              <w:jc w:val="center"/>
            </w:pPr>
            <w:r/>
            <w:r>
              <w:rPr>
                <w:rFonts w:ascii="Times New Roman" w:hAnsi="Times New Roman"/>
                <w:sz w:val="16"/>
              </w:rPr>
              <w:t>3,906</w:t>
            </w:r>
          </w:p>
        </w:tc>
        <w:tc>
          <w:tcPr>
            <w:tcW w:type="dxa" w:w="2074"/>
          </w:tcPr>
          <w:p>
            <w:pPr>
              <w:keepNext/>
              <w:jc w:val="center"/>
            </w:pPr>
            <w:r/>
            <w:r>
              <w:rPr>
                <w:rFonts w:ascii="Times New Roman" w:hAnsi="Times New Roman"/>
                <w:sz w:val="16"/>
              </w:rPr>
              <w:t>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12,110</w:t>
            </w:r>
          </w:p>
        </w:tc>
        <w:tc>
          <w:tcPr>
            <w:tcW w:type="dxa" w:w="2074"/>
          </w:tcPr>
          <w:p>
            <w:pPr>
              <w:keepNext/>
              <w:jc w:val="center"/>
            </w:pPr>
            <w:r/>
            <w:r>
              <w:rPr>
                <w:rFonts w:ascii="Times New Roman" w:hAnsi="Times New Roman"/>
                <w:sz w:val="16"/>
              </w:rPr>
              <w:t>7.5</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(3,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19,815</w:t>
            </w:r>
          </w:p>
        </w:tc>
        <w:tc>
          <w:tcPr>
            <w:tcW w:type="dxa" w:w="2074"/>
          </w:tcPr>
          <w:p>
            <w:pPr>
              <w:keepNext/>
              <w:jc w:val="center"/>
            </w:pPr>
            <w:r/>
            <w:r>
              <w:rPr>
                <w:rFonts w:ascii="Times New Roman" w:hAnsi="Times New Roman"/>
                <w:sz w:val="16"/>
              </w:rPr>
              <w:t>16.0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250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21,043</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125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25.6</w:t>
            </w:r>
          </w:p>
        </w:tc>
      </w:tr>
      <w:tr>
        <w:trPr>
          <w:cantSplit/>
        </w:trPr>
        <w:tc>
          <w:tcPr>
            <w:tcW w:type="dxa" w:w="2074"/>
            <w:tcBorders>
              <w:bottom w:val="single" w:sz="12" w:color="000000"/>
            </w:tcBorders>
          </w:tcPr>
          <w:p>
            <w:pPr>
              <w:jc w:val="left"/>
            </w:pPr>
            <w:r/>
            <w:r>
              <w:rPr>
                <w:rFonts w:ascii="Times New Roman" w:hAnsi="Times New Roman"/>
                <w:sz w:val="16"/>
              </w:rPr>
              <w:t>E5.7_grid</w:t>
            </w:r>
          </w:p>
        </w:tc>
        <w:tc>
          <w:tcPr>
            <w:tcW w:type="dxa" w:w="2074"/>
            <w:tcBorders>
              <w:bottom w:val="single" w:sz="12" w:color="000000"/>
            </w:tcBorders>
          </w:tcPr>
          <w:p>
            <w:pPr>
              <w:jc w:val="center"/>
            </w:pPr>
            <w:r/>
            <w:r>
              <w:rPr>
                <w:rFonts w:ascii="Times New Roman" w:hAnsi="Times New Roman"/>
                <w:sz w:val="16"/>
              </w:rPr>
              <w:t>62 ms grid</w:t>
            </w:r>
          </w:p>
        </w:tc>
        <w:tc>
          <w:tcPr>
            <w:tcW w:type="dxa" w:w="2074"/>
            <w:tcBorders>
              <w:bottom w:val="single" w:sz="12" w:color="000000"/>
            </w:tcBorders>
          </w:tcPr>
          <w:p>
            <w:pPr>
              <w:jc w:val="center"/>
            </w:pPr>
            <w:r/>
            <w:r>
              <w:rPr>
                <w:rFonts w:ascii="Times New Roman" w:hAnsi="Times New Roman"/>
                <w:sz w:val="16"/>
              </w:rPr>
              <w:t>29/29</w:t>
            </w:r>
          </w:p>
        </w:tc>
        <w:tc>
          <w:tcPr>
            <w:tcW w:type="dxa" w:w="2074"/>
            <w:tcBorders>
              <w:bottom w:val="single" w:sz="12" w:color="000000"/>
            </w:tcBorders>
          </w:tcPr>
          <w:p>
            <w:pPr>
              <w:jc w:val="center"/>
            </w:pPr>
            <w:r/>
            <w:r>
              <w:rPr>
                <w:rFonts w:ascii="Times New Roman" w:hAnsi="Times New Roman"/>
                <w:sz w:val="16"/>
              </w:rPr>
              <w:t>15,918</w:t>
            </w:r>
          </w:p>
        </w:tc>
        <w:tc>
          <w:tcPr>
            <w:tcW w:type="dxa" w:w="2074"/>
            <w:tcBorders>
              <w:bottom w:val="single" w:sz="12" w:color="000000"/>
            </w:tcBorders>
          </w:tcPr>
          <w:p>
            <w:pPr>
              <w:jc w:val="center"/>
            </w:pPr>
            <w:r/>
            <w:r>
              <w:rPr>
                <w:rFonts w:ascii="Times New Roman" w:hAnsi="Times New Roman"/>
                <w:sz w:val="16"/>
              </w:rPr>
              <w:t>12.0</w:t>
            </w:r>
          </w:p>
        </w:tc>
      </w:tr>
    </w:tbl>
    <w:p>
      <w:pPr>
        <w:spacing w:after="0"/>
        <w:rPr>
          <w:sz w:val="4"/>
        </w:rPr>
      </w:pPr>
    </w:p>
    <w:p>
      <w:pPr>
        <w:pStyle w:val="Heading2"/>
        <w:spacing w:before="100"/>
      </w:pPr>
      <w:r>
        <w:t>G. Set-similarity retrieval: the MinHash-LSH baseline</w:t>
      </w:r>
    </w:p>
    <w:p>
      <w:pPr>
        <w:spacing w:after="0"/>
        <w:ind w:firstLine="204"/>
        <w:jc w:val="both"/>
      </w:pPr>
      <w:r>
        <w:t>Proposition 1 turns the expected failure of this baseline into a prediction to test. A planted query of the recall matrix embeds a 40-item span in 300 noise items and probes pieces of ~700 distinct items; the proposition then rules out any resemblance threshold that both recovers such contained donors and keeps candidate volume bounded, because the donor's Jaccard is capped near the span-to-container ratio and can only fall as containers grow. The measurement confirms the cap is operative, not hypothetical: even a perfect set-Jaccard oracle scores the donor at only 0.045 / 0.099 / 0.200 (quartiles over the 337 cells; Fig. 11(a)); just 168 of 337 donors reach Jaccard 0.10. A contained copy is structurally invisible to relative overlap, however faithfully its items are preserved.</w:t>
      </w:r>
    </w:p>
    <w:p>
      <w:pPr>
        <w:spacing w:after="0"/>
        <w:ind w:firstLine="204"/>
        <w:jc w:val="both"/>
      </w:pPr>
      <w:r>
        <w:t xml:space="preserve">Tuning the band configuration then moves the operating point along the recall-versus-candidate-volume trade-off the proposition predicts, not past it (Table X): with the standard 16 x 8 bands at </w:t>
      </w:r>
      <w:r>
        <w:rPr>
          <w:i/>
        </w:rPr>
        <w:t>τ</w:t>
      </w:r>
      <w:r>
        <w:t xml:space="preserve">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w:t>
      </w:r>
      <w:r>
        <w:rPr>
          <w:i/>
        </w:rPr>
        <w:t>τ</w:t>
      </w:r>
      <w:r>
        <w:t xml:space="preserve"> = 0.05 recovers the donor in 95.8% of cells, at the price of returning a median of 518 of 1,000 candidates per query, of which a median of 9 pass </w:t>
      </w:r>
      <w:r>
        <w:rPr>
          <w:i/>
        </w:rPr>
        <w:t>τ</w:t>
      </w:r>
      <w:r>
        <w:t xml:space="preserve"> = 0.05 by chance. Either way the screen that certifies 99.1% recall on the same 337 cells is unreachable: set-similarity semantics, accelerated or not, do not express containment.</w:t>
      </w:r>
    </w:p>
    <w:p>
      <w:pPr>
        <w:spacing w:after="0"/>
        <w:ind w:firstLine="204"/>
        <w:jc w:val="both"/>
      </w:pPr>
      <w:r>
        <w:t xml:space="preserve">Could containment-aware LSH close this gap? Containment estimators [33], [34] replace resemblance with the ratio </w:t>
      </w:r>
      <w:r>
        <w:rPr>
          <w:i/>
        </w:rPr>
        <w:t>|A ∩ B|</w:t>
      </w:r>
      <w:r>
        <w:t xml:space="preserve"> / </w:t>
      </w:r>
      <w:r>
        <w:rPr>
          <w:i/>
        </w:rPr>
        <w:t>min(|A|, |B|)</w:t>
      </w:r>
      <w:r>
        <w:t>,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X is that no re-tuning of Jaccard-band geometry reaches the screen's recall, and containment estimators trade that impasse for variance rather than resolving it.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i/>
                <w:sz w:val="16"/>
              </w:rPr>
              <w:t>τ</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 xml:space="preserve">Median passing </w:t>
            </w:r>
            <w:r>
              <w:rPr>
                <w:rFonts w:ascii="Times New Roman" w:hAnsi="Times New Roman"/>
                <w:b/>
                <w:i/>
                <w:sz w:val="16"/>
              </w:rPr>
              <w:t>τ</w:t>
            </w:r>
          </w:p>
        </w:tc>
      </w:tr>
      <w:tr>
        <w:trPr>
          <w:cantSplit/>
        </w:trPr>
        <w:tc>
          <w:tcPr>
            <w:tcW w:type="dxa" w:w="1728"/>
          </w:tcPr>
          <w:p>
            <w:pPr>
              <w:keepNext/>
              <w:jc w:val="left"/>
            </w:pPr>
            <w:r/>
            <w:r>
              <w:rPr>
                <w:rFonts w:ascii="Times New Roman" w:hAnsi="Times New Roman"/>
                <w:sz w:val="16"/>
              </w:rPr>
              <w:t>16 bands x 8 rows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w:t>
            </w:r>
          </w:p>
        </w:tc>
        <w:tc>
          <w:tcPr>
            <w:tcW w:type="dxa" w:w="1728"/>
          </w:tcPr>
          <w:p>
            <w:pPr>
              <w:keepNext/>
              <w:jc w:val="center"/>
            </w:pPr>
            <w:r/>
            <w:r>
              <w:rPr>
                <w:rFonts w:ascii="Times New Roman" w:hAnsi="Times New Roman"/>
                <w:sz w:val="16"/>
              </w:rPr>
              <w:t>0</w:t>
            </w:r>
          </w:p>
        </w:tc>
      </w:tr>
      <w:tr>
        <w:trPr>
          <w:cantSplit/>
        </w:trPr>
        <w:tc>
          <w:tcPr>
            <w:tcW w:type="dxa" w:w="1728"/>
          </w:tcPr>
          <w:p>
            <w:pPr>
              <w:keepNext/>
              <w:jc w:val="left"/>
            </w:pPr>
            <w:r/>
            <w:r>
              <w:rPr>
                <w:rFonts w:ascii="Times New Roman" w:hAnsi="Times New Roman"/>
                <w:sz w:val="16"/>
              </w:rPr>
              <w:t>2 rows x 64 bands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51.9</w:t>
            </w:r>
          </w:p>
        </w:tc>
        <w:tc>
          <w:tcPr>
            <w:tcW w:type="dxa" w:w="1728"/>
          </w:tcPr>
          <w:p>
            <w:pPr>
              <w:keepNext/>
              <w:jc w:val="center"/>
            </w:pPr>
            <w:r/>
            <w:r>
              <w:rPr>
                <w:rFonts w:ascii="Times New Roman" w:hAnsi="Times New Roman"/>
                <w:sz w:val="16"/>
              </w:rPr>
              <w:t>43.6</w:t>
            </w:r>
          </w:p>
        </w:tc>
        <w:tc>
          <w:tcPr>
            <w:tcW w:type="dxa" w:w="1728"/>
          </w:tcPr>
          <w:p>
            <w:pPr>
              <w:keepNext/>
              <w:jc w:val="center"/>
            </w:pPr>
            <w:r/>
            <w:r>
              <w:rPr>
                <w:rFonts w:ascii="Times New Roman" w:hAnsi="Times New Roman"/>
                <w:sz w:val="16"/>
              </w:rPr>
              <w:t>11</w:t>
            </w:r>
          </w:p>
        </w:tc>
        <w:tc>
          <w:tcPr>
            <w:tcW w:type="dxa" w:w="1728"/>
          </w:tcPr>
          <w:p>
            <w:pPr>
              <w:keepNext/>
              <w:jc w:val="center"/>
            </w:pPr>
            <w:r/>
            <w:r>
              <w:rPr>
                <w:rFonts w:ascii="Times New Roman" w:hAnsi="Times New Roman"/>
                <w:sz w:val="16"/>
              </w:rPr>
              <w:t>0</w:t>
            </w:r>
          </w:p>
        </w:tc>
      </w:tr>
      <w:tr>
        <w:trPr>
          <w:cantSplit/>
        </w:trPr>
        <w:tc>
          <w:tcPr>
            <w:tcW w:type="dxa" w:w="1728"/>
            <w:tcBorders>
              <w:bottom w:val="single" w:sz="12" w:color="000000"/>
            </w:tcBorders>
          </w:tcPr>
          <w:p>
            <w:pPr>
              <w:jc w:val="left"/>
            </w:pPr>
            <w:r/>
            <w:r>
              <w:rPr>
                <w:rFonts w:ascii="Times New Roman" w:hAnsi="Times New Roman"/>
                <w:sz w:val="16"/>
              </w:rPr>
              <w:t>1 row x 128 bands</w:t>
            </w:r>
          </w:p>
        </w:tc>
        <w:tc>
          <w:tcPr>
            <w:tcW w:type="dxa" w:w="1728"/>
            <w:tcBorders>
              <w:bottom w:val="single" w:sz="12" w:color="000000"/>
            </w:tcBorders>
          </w:tcPr>
          <w:p>
            <w:pPr>
              <w:jc w:val="center"/>
            </w:pPr>
            <w:r/>
            <w:r>
              <w:rPr>
                <w:rFonts w:ascii="Times New Roman" w:hAnsi="Times New Roman"/>
                <w:sz w:val="16"/>
              </w:rPr>
              <w:t>0.05</w:t>
            </w:r>
          </w:p>
        </w:tc>
        <w:tc>
          <w:tcPr>
            <w:tcW w:type="dxa" w:w="1728"/>
            <w:tcBorders>
              <w:bottom w:val="single" w:sz="12" w:color="000000"/>
            </w:tcBorders>
          </w:tcPr>
          <w:p>
            <w:pPr>
              <w:jc w:val="center"/>
            </w:pPr>
            <w:r/>
            <w:r>
              <w:rPr>
                <w:rFonts w:ascii="Times New Roman" w:hAnsi="Times New Roman"/>
                <w:sz w:val="16"/>
              </w:rPr>
              <w:t>95.8</w:t>
            </w:r>
          </w:p>
        </w:tc>
        <w:tc>
          <w:tcPr>
            <w:tcW w:type="dxa" w:w="1728"/>
            <w:tcBorders>
              <w:bottom w:val="single" w:sz="12" w:color="000000"/>
            </w:tcBorders>
          </w:tcPr>
          <w:p>
            <w:pPr>
              <w:jc w:val="center"/>
            </w:pPr>
            <w:r/>
            <w:r>
              <w:rPr>
                <w:rFonts w:ascii="Times New Roman" w:hAnsi="Times New Roman"/>
                <w:sz w:val="16"/>
              </w:rPr>
              <w:t>72.1</w:t>
            </w:r>
          </w:p>
        </w:tc>
        <w:tc>
          <w:tcPr>
            <w:tcW w:type="dxa" w:w="1728"/>
            <w:tcBorders>
              <w:bottom w:val="single" w:sz="12" w:color="000000"/>
            </w:tcBorders>
          </w:tcPr>
          <w:p>
            <w:pPr>
              <w:jc w:val="center"/>
            </w:pPr>
            <w:r/>
            <w:r>
              <w:rPr>
                <w:rFonts w:ascii="Times New Roman" w:hAnsi="Times New Roman"/>
                <w:sz w:val="16"/>
              </w:rPr>
              <w:t>518</w:t>
            </w:r>
          </w:p>
        </w:tc>
        <w:tc>
          <w:tcPr>
            <w:tcW w:type="dxa" w:w="1728"/>
            <w:tcBorders>
              <w:bottom w:val="single" w:sz="12" w:color="000000"/>
            </w:tcBorders>
          </w:tcPr>
          <w:p>
            <w:pPr>
              <w:jc w:val="center"/>
            </w:pPr>
            <w:r/>
            <w:r>
              <w:rPr>
                <w:rFonts w:ascii="Times New Roman" w:hAnsi="Times New Roman"/>
                <w:sz w:val="16"/>
              </w:rPr>
              <w:t>9</w:t>
            </w:r>
          </w:p>
        </w:tc>
      </w:tr>
    </w:tbl>
    <w:p>
      <w:pPr>
        <w:spacing w:after="0"/>
        <w:rPr>
          <w:sz w:val="4"/>
        </w:r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6"/>
        </w:rPr>
        <w:t>Fig. 11. The containment-versus-Jaccard geometry behind Table X. (a) donor Jaccard distribution over the 337 planted cells (quartiles 0.045/0.099/0.200) with the two operating thresholds marked; (b) recall of the three LSH configurations versus the tolerant screen on the same cells.</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spacing w:before="100"/>
      </w:pPr>
      <w:r>
        <w:t>A. Controlled memorization screening</w:t>
      </w:r>
    </w:p>
    <w:p>
      <w:pPr>
        <w:spacing w:after="0"/>
        <w:ind w:firstLine="204"/>
        <w:jc w:val="both"/>
      </w:pPr>
      <w:r>
        <w:t>We emulate generative-model memorization with an order-</w:t>
      </w:r>
      <w:r>
        <w:rPr>
          <w:i/>
        </w:rPr>
        <w:t>m</w:t>
      </w:r>
      <w:r>
        <w:t xml:space="preserve"> pitch n-gram model mixed with a per-note copy operator at probability </w:t>
      </w:r>
      <w:r>
        <w:rPr>
          <w:i/>
        </w:rPr>
        <w:t>λ</w:t>
      </w:r>
      <w:r>
        <w:t xml:space="preserve">, sweeping </w:t>
      </w:r>
      <w:r>
        <w:rPr>
          <w:i/>
        </w:rPr>
        <w:t>m</w:t>
      </w:r>
      <w:r>
        <w:t xml:space="preserve">∈{2,4,8} and </w:t>
      </w:r>
      <w:r>
        <w:rPr>
          <w:i/>
        </w:rPr>
        <w:t>λ</w:t>
      </w:r>
      <w:r>
        <w:t xml:space="preserve">∈{0, 0.25, ..., 1}; 750 generated pieces are screened with the production cascade. Detection (Fig. 12, Table XI) rises monotonically: 26-34% at </w:t>
      </w:r>
      <w:r>
        <w:rPr>
          <w:i/>
        </w:rPr>
        <w:t>λ</w:t>
      </w:r>
      <w:r>
        <w:t xml:space="preserve">=0—these residual hits are style-level shared structures, attributed to the source piece in only 2-4% of cases—through 44-56% at </w:t>
      </w:r>
      <w:r>
        <w:rPr>
          <w:i/>
        </w:rPr>
        <w:t>λ</w:t>
      </w:r>
      <w:r>
        <w:t xml:space="preserve">=0.5, to 100% at </w:t>
      </w:r>
      <w:r>
        <w:rPr>
          <w:i/>
        </w:rPr>
        <w:t>λ</w:t>
      </w:r>
      <w:r>
        <w:t xml:space="preserve">=1 with 96-100% correct source attribution. </w:t>
      </w:r>
    </w:p>
    <w:p>
      <w:pPr>
        <w:spacing w:after="0"/>
        <w:ind w:firstLine="204"/>
        <w:jc w:val="both"/>
      </w:pPr>
      <w:r>
        <w:t>Fragmented partial memorization (</w:t>
      </w:r>
      <w:r>
        <w:rPr>
          <w:i/>
        </w:rPr>
        <w:t>λ</w:t>
      </w:r>
      <w:r>
        <w:t>=0.25,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6"/>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w:t>
      </w:r>
      <w:r>
        <w:rPr>
          <w:i/>
        </w:rPr>
        <w:t>m</w:t>
      </w:r>
      <w:r>
        <w:t xml:space="preserve"> pitch n-gram mixed with per-note copy at probability </w:t>
      </w:r>
      <w:r>
        <w:rPr>
          <w:i/>
        </w:rPr>
        <w:t>λ</w:t>
      </w:r>
      <w:r>
        <w:t>).</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i/>
                <w:sz w:val="16"/>
              </w:rPr>
              <w:t>m</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0.25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0.75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1</w:t>
            </w:r>
          </w:p>
        </w:tc>
      </w:tr>
      <w:tr>
        <w:trPr>
          <w:cantSplit/>
        </w:trPr>
        <w:tc>
          <w:tcPr>
            <w:tcW w:type="dxa" w:w="1728"/>
          </w:tcPr>
          <w:p>
            <w:pPr>
              <w:keepNext/>
              <w:jc w:val="left"/>
            </w:pPr>
            <w:r/>
            <w:r>
              <w:rPr>
                <w:rFonts w:ascii="Times New Roman" w:hAnsi="Times New Roman"/>
                <w:sz w:val="16"/>
              </w:rPr>
              <w:t>2</w:t>
            </w:r>
          </w:p>
        </w:tc>
        <w:tc>
          <w:tcPr>
            <w:tcW w:type="dxa" w:w="1728"/>
          </w:tcPr>
          <w:p>
            <w:pPr>
              <w:keepNext/>
              <w:jc w:val="center"/>
            </w:pPr>
            <w:r/>
            <w:r>
              <w:rPr>
                <w:rFonts w:ascii="Times New Roman" w:hAnsi="Times New Roman"/>
                <w:sz w:val="16"/>
              </w:rPr>
              <w:t>26 / 4</w:t>
            </w:r>
          </w:p>
        </w:tc>
        <w:tc>
          <w:tcPr>
            <w:tcW w:type="dxa" w:w="1728"/>
          </w:tcPr>
          <w:p>
            <w:pPr>
              <w:keepNext/>
              <w:jc w:val="center"/>
            </w:pPr>
            <w:r/>
            <w:r>
              <w:rPr>
                <w:rFonts w:ascii="Times New Roman" w:hAnsi="Times New Roman"/>
                <w:sz w:val="16"/>
              </w:rPr>
              <w:t>30 / 0</w:t>
            </w:r>
          </w:p>
        </w:tc>
        <w:tc>
          <w:tcPr>
            <w:tcW w:type="dxa" w:w="1728"/>
          </w:tcPr>
          <w:p>
            <w:pPr>
              <w:keepNext/>
              <w:jc w:val="center"/>
            </w:pPr>
            <w:r/>
            <w:r>
              <w:rPr>
                <w:rFonts w:ascii="Times New Roman" w:hAnsi="Times New Roman"/>
                <w:sz w:val="16"/>
              </w:rPr>
              <w:t>44 / 18</w:t>
            </w:r>
          </w:p>
        </w:tc>
        <w:tc>
          <w:tcPr>
            <w:tcW w:type="dxa" w:w="1728"/>
          </w:tcPr>
          <w:p>
            <w:pPr>
              <w:keepNext/>
              <w:jc w:val="center"/>
            </w:pPr>
            <w:r/>
            <w:r>
              <w:rPr>
                <w:rFonts w:ascii="Times New Roman" w:hAnsi="Times New Roman"/>
                <w:sz w:val="16"/>
              </w:rPr>
              <w:t>96 / 90</w:t>
            </w:r>
          </w:p>
        </w:tc>
        <w:tc>
          <w:tcPr>
            <w:tcW w:type="dxa" w:w="1728"/>
          </w:tcPr>
          <w:p>
            <w:pPr>
              <w:keepNext/>
              <w:jc w:val="center"/>
            </w:pPr>
            <w:r/>
            <w:r>
              <w:rPr>
                <w:rFonts w:ascii="Times New Roman" w:hAnsi="Times New Roman"/>
                <w:sz w:val="16"/>
              </w:rPr>
              <w:t>100 / 100</w:t>
            </w:r>
          </w:p>
        </w:tc>
      </w:tr>
      <w:tr>
        <w:trPr>
          <w:cantSplit/>
        </w:trPr>
        <w:tc>
          <w:tcPr>
            <w:tcW w:type="dxa" w:w="1728"/>
          </w:tcPr>
          <w:p>
            <w:pPr>
              <w:keepNext/>
              <w:jc w:val="left"/>
            </w:pPr>
            <w:r/>
            <w:r>
              <w:rPr>
                <w:rFonts w:ascii="Times New Roman" w:hAnsi="Times New Roman"/>
                <w:sz w:val="16"/>
              </w:rPr>
              <w:t>4</w:t>
            </w:r>
          </w:p>
        </w:tc>
        <w:tc>
          <w:tcPr>
            <w:tcW w:type="dxa" w:w="1728"/>
          </w:tcPr>
          <w:p>
            <w:pPr>
              <w:keepNext/>
              <w:jc w:val="center"/>
            </w:pPr>
            <w:r/>
            <w:r>
              <w:rPr>
                <w:rFonts w:ascii="Times New Roman" w:hAnsi="Times New Roman"/>
                <w:sz w:val="16"/>
              </w:rPr>
              <w:t>34 / 2</w:t>
            </w:r>
          </w:p>
        </w:tc>
        <w:tc>
          <w:tcPr>
            <w:tcW w:type="dxa" w:w="1728"/>
          </w:tcPr>
          <w:p>
            <w:pPr>
              <w:keepNext/>
              <w:jc w:val="center"/>
            </w:pPr>
            <w:r/>
            <w:r>
              <w:rPr>
                <w:rFonts w:ascii="Times New Roman" w:hAnsi="Times New Roman"/>
                <w:sz w:val="16"/>
              </w:rPr>
              <w:t>24 / 0</w:t>
            </w:r>
          </w:p>
        </w:tc>
        <w:tc>
          <w:tcPr>
            <w:tcW w:type="dxa" w:w="1728"/>
          </w:tcPr>
          <w:p>
            <w:pPr>
              <w:keepNext/>
              <w:jc w:val="center"/>
            </w:pPr>
            <w:r/>
            <w:r>
              <w:rPr>
                <w:rFonts w:ascii="Times New Roman" w:hAnsi="Times New Roman"/>
                <w:sz w:val="16"/>
              </w:rPr>
              <w:t>54 / 36</w:t>
            </w:r>
          </w:p>
        </w:tc>
        <w:tc>
          <w:tcPr>
            <w:tcW w:type="dxa" w:w="1728"/>
          </w:tcPr>
          <w:p>
            <w:pPr>
              <w:keepNext/>
              <w:jc w:val="center"/>
            </w:pPr>
            <w:r/>
            <w:r>
              <w:rPr>
                <w:rFonts w:ascii="Times New Roman" w:hAnsi="Times New Roman"/>
                <w:sz w:val="16"/>
              </w:rPr>
              <w:t>100 / 94</w:t>
            </w:r>
          </w:p>
        </w:tc>
        <w:tc>
          <w:tcPr>
            <w:tcW w:type="dxa" w:w="1728"/>
          </w:tcPr>
          <w:p>
            <w:pPr>
              <w:keepNext/>
              <w:jc w:val="center"/>
            </w:pPr>
            <w:r/>
            <w:r>
              <w:rPr>
                <w:rFonts w:ascii="Times New Roman" w:hAnsi="Times New Roman"/>
                <w:sz w:val="16"/>
              </w:rPr>
              <w:t>100 / 96</w:t>
            </w:r>
          </w:p>
        </w:tc>
      </w:tr>
      <w:tr>
        <w:trPr>
          <w:cantSplit/>
        </w:trPr>
        <w:tc>
          <w:tcPr>
            <w:tcW w:type="dxa" w:w="1728"/>
            <w:tcBorders>
              <w:bottom w:val="single" w:sz="12" w:color="000000"/>
            </w:tcBorders>
          </w:tcPr>
          <w:p>
            <w:pPr>
              <w:jc w:val="left"/>
            </w:pPr>
            <w:r/>
            <w:r>
              <w:rPr>
                <w:rFonts w:ascii="Times New Roman" w:hAnsi="Times New Roman"/>
                <w:sz w:val="16"/>
              </w:rPr>
              <w:t>8</w:t>
            </w:r>
          </w:p>
        </w:tc>
        <w:tc>
          <w:tcPr>
            <w:tcW w:type="dxa" w:w="1728"/>
            <w:tcBorders>
              <w:bottom w:val="single" w:sz="12" w:color="000000"/>
            </w:tcBorders>
          </w:tcPr>
          <w:p>
            <w:pPr>
              <w:jc w:val="center"/>
            </w:pPr>
            <w:r/>
            <w:r>
              <w:rPr>
                <w:rFonts w:ascii="Times New Roman" w:hAnsi="Times New Roman"/>
                <w:sz w:val="16"/>
              </w:rPr>
              <w:t>32 / 2</w:t>
            </w:r>
          </w:p>
        </w:tc>
        <w:tc>
          <w:tcPr>
            <w:tcW w:type="dxa" w:w="1728"/>
            <w:tcBorders>
              <w:bottom w:val="single" w:sz="12" w:color="000000"/>
            </w:tcBorders>
          </w:tcPr>
          <w:p>
            <w:pPr>
              <w:jc w:val="center"/>
            </w:pPr>
            <w:r/>
            <w:r>
              <w:rPr>
                <w:rFonts w:ascii="Times New Roman" w:hAnsi="Times New Roman"/>
                <w:sz w:val="16"/>
              </w:rPr>
              <w:t>38 / 4</w:t>
            </w:r>
          </w:p>
        </w:tc>
        <w:tc>
          <w:tcPr>
            <w:tcW w:type="dxa" w:w="1728"/>
            <w:tcBorders>
              <w:bottom w:val="single" w:sz="12" w:color="000000"/>
            </w:tcBorders>
          </w:tcPr>
          <w:p>
            <w:pPr>
              <w:jc w:val="center"/>
            </w:pPr>
            <w:r/>
            <w:r>
              <w:rPr>
                <w:rFonts w:ascii="Times New Roman" w:hAnsi="Times New Roman"/>
                <w:sz w:val="16"/>
              </w:rPr>
              <w:t>56 / 38</w:t>
            </w:r>
          </w:p>
        </w:tc>
        <w:tc>
          <w:tcPr>
            <w:tcW w:type="dxa" w:w="1728"/>
            <w:tcBorders>
              <w:bottom w:val="single" w:sz="12" w:color="000000"/>
            </w:tcBorders>
          </w:tcPr>
          <w:p>
            <w:pPr>
              <w:jc w:val="center"/>
            </w:pPr>
            <w:r/>
            <w:r>
              <w:rPr>
                <w:rFonts w:ascii="Times New Roman" w:hAnsi="Times New Roman"/>
                <w:sz w:val="16"/>
              </w:rPr>
              <w:t>100 / 96</w:t>
            </w:r>
          </w:p>
        </w:tc>
        <w:tc>
          <w:tcPr>
            <w:tcW w:type="dxa" w:w="1728"/>
            <w:tcBorders>
              <w:bottom w:val="single" w:sz="12" w:color="000000"/>
            </w:tcBorders>
          </w:tcPr>
          <w:p>
            <w:pPr>
              <w:jc w:val="center"/>
            </w:pPr>
            <w:r/>
            <w:r>
              <w:rPr>
                <w:rFonts w:ascii="Times New Roman" w:hAnsi="Times New Roman"/>
                <w:sz w:val="16"/>
              </w:rPr>
              <w:t>100 / 98</w:t>
            </w:r>
          </w:p>
        </w:tc>
      </w:tr>
    </w:tbl>
    <w:p>
      <w:pPr>
        <w:spacing w:after="0"/>
        <w:rPr>
          <w:sz w:val="4"/>
        </w:rPr>
      </w:pPr>
    </w:p>
    <w:p>
      <w:pPr>
        <w:pStyle w:val="Heading2"/>
        <w:spacing w:before="100"/>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6"/>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sz w:val="16"/>
              </w:rPr>
              <w:t>Identical transcription pair</w:t>
            </w:r>
          </w:p>
        </w:tc>
        <w:tc>
          <w:tcPr>
            <w:tcW w:type="dxa" w:w="2592"/>
          </w:tcPr>
          <w:p>
            <w:pPr>
              <w:keepNext/>
              <w:jc w:val="center"/>
            </w:pPr>
            <w:r/>
            <w:r>
              <w:rPr>
                <w:rFonts w:ascii="Times New Roman" w:hAnsi="Times New Roman"/>
                <w:sz w:val="16"/>
              </w:rPr>
              <w:t>3,200 / 3,200 notes</w:t>
            </w:r>
          </w:p>
        </w:tc>
        <w:tc>
          <w:tcPr>
            <w:tcW w:type="dxa" w:w="2592"/>
          </w:tcPr>
          <w:p>
            <w:pPr>
              <w:keepNext/>
              <w:jc w:val="center"/>
            </w:pPr>
            <w:r/>
            <w:r>
              <w:rPr>
                <w:rFonts w:ascii="Times New Roman" w:hAnsi="Times New Roman"/>
                <w:sz w:val="16"/>
              </w:rPr>
              <w:t>3,200</w:t>
            </w:r>
          </w:p>
        </w:tc>
        <w:tc>
          <w:tcPr>
            <w:tcW w:type="dxa" w:w="2592"/>
          </w:tcPr>
          <w:p>
            <w:pPr>
              <w:keepNext/>
              <w:jc w:val="center"/>
            </w:pPr>
            <w:r/>
            <w:r>
              <w:rPr>
                <w:rFonts w:ascii="Times New Roman" w:hAnsi="Times New Roman"/>
                <w:sz w:val="16"/>
              </w:rPr>
              <w:t>confirmed copy</w:t>
            </w:r>
          </w:p>
        </w:tc>
      </w:tr>
      <w:tr>
        <w:trPr>
          <w:cantSplit/>
        </w:trPr>
        <w:tc>
          <w:tcPr>
            <w:tcW w:type="dxa" w:w="2592"/>
          </w:tcPr>
          <w:p>
            <w:pPr>
              <w:keepNext/>
              <w:jc w:val="left"/>
            </w:pPr>
            <w:r/>
            <w:r>
              <w:rPr>
                <w:rFonts w:ascii="Times New Roman" w:hAnsi="Times New Roman"/>
                <w:sz w:val="16"/>
              </w:rPr>
              <w:t>Transposed cover (+3 st, synth.)</w:t>
            </w:r>
          </w:p>
        </w:tc>
        <w:tc>
          <w:tcPr>
            <w:tcW w:type="dxa" w:w="2592"/>
          </w:tcPr>
          <w:p>
            <w:pPr>
              <w:keepNext/>
              <w:jc w:val="center"/>
            </w:pPr>
            <w:r/>
            <w:r>
              <w:rPr>
                <w:rFonts w:ascii="Times New Roman" w:hAnsi="Times New Roman"/>
                <w:sz w:val="16"/>
              </w:rPr>
              <w:t>3,200 / 3,200</w:t>
            </w:r>
          </w:p>
        </w:tc>
        <w:tc>
          <w:tcPr>
            <w:tcW w:type="dxa" w:w="2592"/>
          </w:tcPr>
          <w:p>
            <w:pPr>
              <w:keepNext/>
              <w:jc w:val="center"/>
            </w:pPr>
            <w:r/>
            <w:r>
              <w:rPr>
                <w:rFonts w:ascii="Times New Roman" w:hAnsi="Times New Roman"/>
                <w:sz w:val="16"/>
              </w:rPr>
              <w:t>3,200 (</w:t>
            </w:r>
            <w:r>
              <w:rPr>
                <w:rFonts w:ascii="Times New Roman" w:hAnsi="Times New Roman"/>
                <w:i/>
                <w:sz w:val="16"/>
              </w:rPr>
              <w:t>Δ</w:t>
            </w:r>
            <w:r>
              <w:rPr>
                <w:rFonts w:ascii="Times New Roman" w:hAnsi="Times New Roman"/>
                <w:sz w:val="16"/>
              </w:rPr>
              <w:t>=−3 st)</w:t>
            </w:r>
          </w:p>
        </w:tc>
        <w:tc>
          <w:tcPr>
            <w:tcW w:type="dxa" w:w="2592"/>
          </w:tcPr>
          <w:p>
            <w:pPr>
              <w:keepNext/>
              <w:jc w:val="center"/>
            </w:pPr>
            <w:r/>
            <w:r>
              <w:rPr>
                <w:rFonts w:ascii="Times New Roman" w:hAnsi="Times New Roman"/>
                <w:sz w:val="16"/>
              </w:rPr>
              <w:t>confirmed, transposition estimated correctly</w:t>
            </w:r>
          </w:p>
        </w:tc>
      </w:tr>
      <w:tr>
        <w:trPr>
          <w:cantSplit/>
        </w:trPr>
        <w:tc>
          <w:tcPr>
            <w:tcW w:type="dxa" w:w="2592"/>
          </w:tcPr>
          <w:p>
            <w:pPr>
              <w:keepNext/>
              <w:jc w:val="left"/>
            </w:pPr>
            <w:r/>
            <w:r>
              <w:rPr>
                <w:rFonts w:ascii="Times New Roman" w:hAnsi="Times New Roman"/>
                <w:sz w:val="16"/>
              </w:rPr>
              <w:t>Spliced 30 s span (synth.)</w:t>
            </w:r>
          </w:p>
        </w:tc>
        <w:tc>
          <w:tcPr>
            <w:tcW w:type="dxa" w:w="2592"/>
          </w:tcPr>
          <w:p>
            <w:pPr>
              <w:keepNext/>
              <w:jc w:val="center"/>
            </w:pPr>
            <w:r/>
            <w:r>
              <w:rPr>
                <w:rFonts w:ascii="Times New Roman" w:hAnsi="Times New Roman"/>
                <w:sz w:val="16"/>
              </w:rPr>
              <w:t>1,680</w:t>
            </w:r>
          </w:p>
        </w:tc>
        <w:tc>
          <w:tcPr>
            <w:tcW w:type="dxa" w:w="2592"/>
          </w:tcPr>
          <w:p>
            <w:pPr>
              <w:keepNext/>
              <w:jc w:val="center"/>
            </w:pPr>
            <w:r/>
            <w:r>
              <w:rPr>
                <w:rFonts w:ascii="Times New Roman" w:hAnsi="Times New Roman"/>
                <w:sz w:val="16"/>
              </w:rPr>
              <w:t>1,593</w:t>
            </w:r>
          </w:p>
        </w:tc>
        <w:tc>
          <w:tcPr>
            <w:tcW w:type="dxa" w:w="2592"/>
          </w:tcPr>
          <w:p>
            <w:pPr>
              <w:keepNext/>
              <w:jc w:val="center"/>
            </w:pPr>
            <w:r/>
            <w:r>
              <w:rPr>
                <w:rFonts w:ascii="Times New Roman" w:hAnsi="Times New Roman"/>
                <w:sz w:val="16"/>
              </w:rPr>
              <w:t>confirmed partial reuse</w:t>
            </w:r>
          </w:p>
        </w:tc>
      </w:tr>
      <w:tr>
        <w:trPr>
          <w:cantSplit/>
        </w:trPr>
        <w:tc>
          <w:tcPr>
            <w:tcW w:type="dxa" w:w="2592"/>
            <w:tcBorders>
              <w:bottom w:val="single" w:sz="12" w:color="000000"/>
            </w:tcBorders>
          </w:tcPr>
          <w:p>
            <w:pPr>
              <w:jc w:val="left"/>
            </w:pPr>
            <w:r/>
            <w:r>
              <w:rPr>
                <w:rFonts w:ascii="Times New Roman" w:hAnsi="Times New Roman"/>
                <w:sz w:val="16"/>
              </w:rPr>
              <w:t>Style-similar negative</w:t>
            </w:r>
          </w:p>
        </w:tc>
        <w:tc>
          <w:tcPr>
            <w:tcW w:type="dxa" w:w="2592"/>
            <w:tcBorders>
              <w:bottom w:val="single" w:sz="12" w:color="000000"/>
            </w:tcBorders>
          </w:tcPr>
          <w:p>
            <w:pPr>
              <w:jc w:val="center"/>
            </w:pPr>
            <w:r/>
            <w:r>
              <w:rPr>
                <w:rFonts w:ascii="Times New Roman" w:hAnsi="Times New Roman"/>
                <w:sz w:val="16"/>
              </w:rPr>
              <w:t>31</w:t>
            </w:r>
          </w:p>
        </w:tc>
        <w:tc>
          <w:tcPr>
            <w:tcW w:type="dxa" w:w="2592"/>
            <w:tcBorders>
              <w:bottom w:val="single" w:sz="12" w:color="000000"/>
            </w:tcBorders>
          </w:tcPr>
          <w:p>
            <w:pPr>
              <w:jc w:val="center"/>
            </w:pPr>
            <w:r/>
            <w:r>
              <w:rPr>
                <w:rFonts w:ascii="Times New Roman" w:hAnsi="Times New Roman"/>
                <w:sz w:val="16"/>
              </w:rPr>
              <w:t>1</w:t>
            </w:r>
          </w:p>
        </w:tc>
        <w:tc>
          <w:tcPr>
            <w:tcW w:type="dxa" w:w="2592"/>
            <w:tcBorders>
              <w:bottom w:val="single" w:sz="12" w:color="000000"/>
            </w:tcBorders>
          </w:tcPr>
          <w:p>
            <w:pPr>
              <w:jc w:val="center"/>
            </w:pPr>
            <w:r/>
            <w:r>
              <w:rPr>
                <w:rFonts w:ascii="Times New Roman" w:hAnsi="Times New Roman"/>
                <w:sz w:val="16"/>
              </w:rPr>
              <w:t>rejected</w:t>
            </w:r>
          </w:p>
        </w:tc>
      </w:tr>
    </w:tbl>
    <w:p>
      <w:pPr>
        <w:spacing w:after="0"/>
        <w:rPr>
          <w:sz w:val="4"/>
        </w:r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6"/>
        </w:rPr>
        <w:t>Fig. 14. Full-corpus census (174,300 pieces, stride-8 survey extrapolated ×8).  (a) Candidate-pair population by relative-score band and channel (log scale).  (b) Confirmed-copy precision of the stored audit-grade strata, Wilson 95% CI; n=40 per stratum.</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2"/>
        <w:spacing w:before="100"/>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w:t>
      </w:r>
      <w:r>
        <w:rPr>
          <w:i/>
        </w:rPr>
        <w:t>k</w:t>
      </w:r>
      <w:r>
        <w:t xml:space="preserve">=0).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0.70–0.90</w:t>
            </w:r>
          </w:p>
        </w:tc>
        <w:tc>
          <w:tcPr>
            <w:tcW w:type="dxa" w:w="2074"/>
          </w:tcPr>
          <w:p>
            <w:pPr>
              <w:keepNext/>
              <w:jc w:val="center"/>
            </w:pPr>
            <w:r/>
            <w:r>
              <w:rPr>
                <w:rFonts w:ascii="Times New Roman" w:hAnsi="Times New Roman"/>
                <w:sz w:val="16"/>
              </w:rPr>
              <w:t>269,109</w:t>
            </w:r>
          </w:p>
        </w:tc>
        <w:tc>
          <w:tcPr>
            <w:tcW w:type="dxa" w:w="2074"/>
          </w:tcPr>
          <w:p>
            <w:pPr>
              <w:keepNext/>
              <w:jc w:val="center"/>
            </w:pPr>
            <w:r/>
            <w:r>
              <w:rPr>
                <w:rFonts w:ascii="Times New Roman" w:hAnsi="Times New Roman"/>
                <w:sz w:val="16"/>
              </w:rPr>
              <w:t>47.5 [32.9, 62.5]</w:t>
            </w:r>
          </w:p>
        </w:tc>
        <w:tc>
          <w:tcPr>
            <w:tcW w:type="dxa" w:w="2074"/>
          </w:tcPr>
          <w:p>
            <w:pPr>
              <w:keepNext/>
              <w:jc w:val="center"/>
            </w:pPr>
            <w:r/>
            <w:r>
              <w:rPr>
                <w:rFonts w:ascii="Times New Roman" w:hAnsi="Times New Roman"/>
                <w:sz w:val="16"/>
              </w:rPr>
              <w:t>1.02M</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≥0.90</w:t>
            </w:r>
          </w:p>
        </w:tc>
        <w:tc>
          <w:tcPr>
            <w:tcW w:type="dxa" w:w="2074"/>
          </w:tcPr>
          <w:p>
            <w:pPr>
              <w:keepNext/>
              <w:jc w:val="center"/>
            </w:pPr>
            <w:r/>
            <w:r>
              <w:rPr>
                <w:rFonts w:ascii="Times New Roman" w:hAnsi="Times New Roman"/>
                <w:sz w:val="16"/>
              </w:rPr>
              <w:t>14,926</w:t>
            </w:r>
          </w:p>
        </w:tc>
        <w:tc>
          <w:tcPr>
            <w:tcW w:type="dxa" w:w="2074"/>
          </w:tcPr>
          <w:p>
            <w:pPr>
              <w:keepNext/>
              <w:jc w:val="center"/>
            </w:pPr>
            <w:r/>
            <w:r>
              <w:rPr>
                <w:rFonts w:ascii="Times New Roman" w:hAnsi="Times New Roman"/>
                <w:sz w:val="16"/>
              </w:rPr>
              <w:t>90.0 [76.9, 96.0]</w:t>
            </w:r>
          </w:p>
        </w:tc>
        <w:tc>
          <w:tcPr>
            <w:tcW w:type="dxa" w:w="2074"/>
          </w:tcPr>
          <w:p>
            <w:pPr>
              <w:keepNext/>
              <w:jc w:val="center"/>
            </w:pPr>
            <w:r/>
            <w:r>
              <w:rPr>
                <w:rFonts w:ascii="Times New Roman" w:hAnsi="Times New Roman"/>
                <w:sz w:val="16"/>
              </w:rPr>
              <w:t>107k</w:t>
            </w:r>
          </w:p>
        </w:tc>
      </w:tr>
      <w:tr>
        <w:trPr>
          <w:cantSplit/>
        </w:trPr>
        <w:tc>
          <w:tcPr>
            <w:tcW w:type="dxa" w:w="2074"/>
            <w:tcBorders>
              <w:bottom w:val="single" w:sz="12" w:color="000000"/>
            </w:tcBorders>
          </w:tcPr>
          <w:p>
            <w:pPr>
              <w:jc w:val="left"/>
            </w:pPr>
            <w:r/>
            <w:r>
              <w:rPr>
                <w:rFonts w:ascii="Times New Roman" w:hAnsi="Times New Roman"/>
                <w:sz w:val="16"/>
              </w:rPr>
              <w:t>sketch</w:t>
            </w:r>
          </w:p>
        </w:tc>
        <w:tc>
          <w:tcPr>
            <w:tcW w:type="dxa" w:w="2074"/>
            <w:tcBorders>
              <w:bottom w:val="single" w:sz="12" w:color="000000"/>
            </w:tcBorders>
          </w:tcPr>
          <w:p>
            <w:pPr>
              <w:jc w:val="center"/>
            </w:pPr>
            <w:r/>
            <w:r>
              <w:rPr>
                <w:rFonts w:ascii="Times New Roman" w:hAnsi="Times New Roman"/>
                <w:sz w:val="16"/>
              </w:rPr>
              <w:t>≥0.90</w:t>
            </w:r>
          </w:p>
        </w:tc>
        <w:tc>
          <w:tcPr>
            <w:tcW w:type="dxa" w:w="2074"/>
            <w:tcBorders>
              <w:bottom w:val="single" w:sz="12" w:color="000000"/>
            </w:tcBorders>
          </w:tcPr>
          <w:p>
            <w:pPr>
              <w:jc w:val="center"/>
            </w:pPr>
            <w:r/>
            <w:r>
              <w:rPr>
                <w:rFonts w:ascii="Times New Roman" w:hAnsi="Times New Roman"/>
                <w:sz w:val="16"/>
              </w:rPr>
              <w:t>525,756</w:t>
            </w:r>
          </w:p>
        </w:tc>
        <w:tc>
          <w:tcPr>
            <w:tcW w:type="dxa" w:w="2074"/>
            <w:tcBorders>
              <w:bottom w:val="single" w:sz="12" w:color="000000"/>
            </w:tcBorders>
          </w:tcPr>
          <w:p>
            <w:pPr>
              <w:jc w:val="center"/>
            </w:pPr>
            <w:r/>
            <w:r>
              <w:rPr>
                <w:rFonts w:ascii="Times New Roman" w:hAnsi="Times New Roman"/>
                <w:sz w:val="16"/>
              </w:rPr>
              <w:t>40.0 [26.3, 55.4]</w:t>
            </w:r>
          </w:p>
        </w:tc>
        <w:tc>
          <w:tcPr>
            <w:tcW w:type="dxa" w:w="2074"/>
            <w:tcBorders>
              <w:bottom w:val="single" w:sz="12" w:color="000000"/>
            </w:tcBorders>
          </w:tcPr>
          <w:p>
            <w:pPr>
              <w:jc w:val="center"/>
            </w:pPr>
            <w:r/>
            <w:r>
              <w:rPr>
                <w:rFonts w:ascii="Times New Roman" w:hAnsi="Times New Roman"/>
                <w:sz w:val="16"/>
              </w:rPr>
              <w:t>1.68M</w:t>
            </w:r>
          </w:p>
        </w:tc>
      </w:tr>
    </w:tbl>
    <w:p>
      <w:pPr>
        <w:spacing w:after="0"/>
        <w:rPr>
          <w:sz w:val="4"/>
        </w:rPr>
      </w:pPr>
    </w:p>
    <w:p>
      <w:pPr>
        <w:pStyle w:val="Heading2"/>
        <w:spacing w:before="100"/>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w:t>
      </w:r>
      <w:r>
        <w:rPr>
          <w:i/>
        </w:rPr>
        <w:t>i</w:t>
      </w:r>
      <w:r>
        <w:t xml:space="preserve">.e.,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w:t>
      </w:r>
      <w:r>
        <w:rPr>
          <w:i/>
        </w:rPr>
        <w:t>λ</w:t>
      </w:r>
      <w:r>
        <w:t xml:space="preserve"> = 0) cells of Table XI. </w:t>
      </w:r>
    </w:p>
    <w:p>
      <w:pPr>
        <w:spacing w:after="0"/>
        <w:ind w:firstLine="204"/>
        <w:jc w:val="both"/>
      </w:pPr>
      <w:r>
        <w:t xml:space="preserve">In other words, a real overfit transformer at this scale behaves, from the detector's viewpoint, like the </w:t>
      </w:r>
      <w:r>
        <w:rPr>
          <w:i/>
        </w:rPr>
        <w:t>λ</w:t>
      </w:r>
      <w:r>
        <w:t xml:space="preserve"> = 0 corner of the emulated spectrum—and unlike </w:t>
      </w:r>
      <w:r>
        <w:rPr>
          <w:i/>
        </w:rPr>
        <w:t>λ</w:t>
      </w:r>
      <w:r>
        <w:t xml:space="preserve">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6"/>
        </w:rPr>
        <w:t xml:space="preserve">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w:t>
      </w:r>
      <w:r>
        <w:rPr>
          <w:i/>
          <w:sz w:val="16"/>
        </w:rPr>
        <w:t>λ</w:t>
      </w:r>
      <w:r>
        <w:rPr>
          <w:sz w:val="16"/>
        </w:rPr>
        <w:t xml:space="preserve"> = 0 / </w:t>
      </w:r>
      <w:r>
        <w:rPr>
          <w:i/>
          <w:sz w:val="16"/>
        </w:rPr>
        <w:t>λ</w:t>
      </w:r>
      <w:r>
        <w:rPr>
          <w:sz w:val="16"/>
        </w:rPr>
        <w:t xml:space="preserve"> = 1 anchors of Table XI.</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 xml:space="preserve">Trained-generator audit against the E6.2 emulation anchors: the overfit transformer confirms in the </w:t>
      </w:r>
      <w:r>
        <w:rPr>
          <w:i/>
        </w:rPr>
        <w:t>λ</w:t>
      </w:r>
      <w:r>
        <w:t xml:space="preserve">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w:t>
            </w:r>
            <w:r>
              <w:rPr>
                <w:rFonts w:ascii="Times New Roman" w:hAnsi="Times New Roman"/>
                <w:b/>
                <w:i/>
                <w:sz w:val="16"/>
              </w:rPr>
              <w:t>C</w:t>
            </w:r>
            <w:r>
              <w:rPr>
                <w:rFonts w:ascii="Times New Roman" w:hAnsi="Times New Roman"/>
                <w:b/>
                <w:sz w:val="16"/>
              </w:rPr>
              <w:t xml:space="preserve"> %</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=0</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32</w:t>
            </w:r>
          </w:p>
        </w:tc>
        <w:tc>
          <w:tcPr>
            <w:tcW w:type="dxa" w:w="1728"/>
          </w:tcPr>
          <w:p>
            <w:pPr>
              <w:keepNext/>
              <w:jc w:val="center"/>
            </w:pPr>
            <w:r/>
            <w:r>
              <w:rPr>
                <w:rFonts w:ascii="Times New Roman" w:hAnsi="Times New Roman"/>
                <w:sz w:val="16"/>
              </w:rPr>
              <w:t>2</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=1</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100</w:t>
            </w:r>
          </w:p>
        </w:tc>
        <w:tc>
          <w:tcPr>
            <w:tcW w:type="dxa" w:w="1728"/>
          </w:tcPr>
          <w:p>
            <w:pPr>
              <w:keepNext/>
              <w:jc w:val="center"/>
            </w:pPr>
            <w:r/>
            <w:r>
              <w:rPr>
                <w:rFonts w:ascii="Times New Roman" w:hAnsi="Times New Roman"/>
                <w:sz w:val="16"/>
              </w:rPr>
              <w:t>98</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memorized sources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5</w:t>
            </w:r>
          </w:p>
        </w:tc>
        <w:tc>
          <w:tcPr>
            <w:tcW w:type="dxa" w:w="1728"/>
          </w:tcPr>
          <w:p>
            <w:pPr>
              <w:keepNext/>
              <w:jc w:val="center"/>
            </w:pPr>
            <w:r/>
            <w:r>
              <w:rPr>
                <w:rFonts w:ascii="Times New Roman" w:hAnsi="Times New Roman"/>
                <w:sz w:val="16"/>
              </w:rPr>
              <w:t>5</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untrained controls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10</w:t>
            </w:r>
          </w:p>
        </w:tc>
        <w:tc>
          <w:tcPr>
            <w:tcW w:type="dxa" w:w="1728"/>
          </w:tcPr>
          <w:p>
            <w:pPr>
              <w:keepNext/>
              <w:jc w:val="center"/>
            </w:pPr>
            <w:r/>
            <w:r>
              <w:rPr>
                <w:rFonts w:ascii="Times New Roman" w:hAnsi="Times New Roman"/>
                <w:sz w:val="16"/>
              </w:rPr>
              <w:t>15</w:t>
            </w:r>
          </w:p>
        </w:tc>
      </w:tr>
      <w:tr>
        <w:trPr>
          <w:cantSplit/>
        </w:trPr>
        <w:tc>
          <w:tcPr>
            <w:tcW w:type="dxa" w:w="1728"/>
            <w:tcBorders>
              <w:bottom w:val="single" w:sz="12" w:color="000000"/>
            </w:tcBorders>
          </w:tcPr>
          <w:p>
            <w:pPr>
              <w:jc w:val="left"/>
            </w:pPr>
            <w:r/>
            <w:r>
              <w:rPr>
                <w:rFonts w:ascii="Times New Roman" w:hAnsi="Times New Roman"/>
                <w:sz w:val="16"/>
              </w:rPr>
              <w:t>transformer (E6.4)</w:t>
            </w:r>
          </w:p>
        </w:tc>
        <w:tc>
          <w:tcPr>
            <w:tcW w:type="dxa" w:w="1728"/>
            <w:tcBorders>
              <w:bottom w:val="single" w:sz="12" w:color="000000"/>
            </w:tcBorders>
          </w:tcPr>
          <w:p>
            <w:pPr>
              <w:jc w:val="center"/>
            </w:pPr>
            <w:r/>
            <w:r>
              <w:rPr>
                <w:rFonts w:ascii="Times New Roman" w:hAnsi="Times New Roman"/>
                <w:sz w:val="16"/>
              </w:rPr>
              <w:t>random trained</w:t>
            </w:r>
          </w:p>
        </w:tc>
        <w:tc>
          <w:tcPr>
            <w:tcW w:type="dxa" w:w="1728"/>
            <w:tcBorders>
              <w:bottom w:val="single" w:sz="12" w:color="000000"/>
            </w:tcBorders>
          </w:tcPr>
          <w:p>
            <w:pPr>
              <w:jc w:val="center"/>
            </w:pPr>
            <w:r/>
            <w:r>
              <w:rPr>
                <w:rFonts w:ascii="Times New Roman" w:hAnsi="Times New Roman"/>
                <w:sz w:val="16"/>
              </w:rPr>
              <w:t>20</w:t>
            </w:r>
          </w:p>
        </w:tc>
        <w:tc>
          <w:tcPr>
            <w:tcW w:type="dxa" w:w="1728"/>
            <w:tcBorders>
              <w:bottom w:val="single" w:sz="12" w:color="000000"/>
            </w:tcBorders>
          </w:tcPr>
          <w:p>
            <w:pPr>
              <w:jc w:val="center"/>
            </w:pPr>
            <w:r/>
            <w:r>
              <w:rPr>
                <w:rFonts w:ascii="Times New Roman" w:hAnsi="Times New Roman"/>
                <w:sz w:val="16"/>
              </w:rPr>
              <w:t>35</w:t>
            </w:r>
          </w:p>
        </w:tc>
        <w:tc>
          <w:tcPr>
            <w:tcW w:type="dxa" w:w="1728"/>
            <w:tcBorders>
              <w:bottom w:val="single" w:sz="12" w:color="000000"/>
            </w:tcBorders>
          </w:tcPr>
          <w:p>
            <w:pPr>
              <w:jc w:val="center"/>
            </w:pPr>
            <w:r/>
            <w:r>
              <w:rPr>
                <w:rFonts w:ascii="Times New Roman" w:hAnsi="Times New Roman"/>
                <w:sz w:val="16"/>
              </w:rPr>
              <w:t>0</w:t>
            </w:r>
          </w:p>
        </w:tc>
        <w:tc>
          <w:tcPr>
            <w:tcW w:type="dxa" w:w="1728"/>
            <w:tcBorders>
              <w:bottom w:val="single" w:sz="12" w:color="000000"/>
            </w:tcBorders>
          </w:tcPr>
          <w:p>
            <w:pPr>
              <w:jc w:val="center"/>
            </w:pPr>
            <w:r/>
            <w:r>
              <w:rPr>
                <w:rFonts w:ascii="Times New Roman" w:hAnsi="Times New Roman"/>
                <w:sz w:val="16"/>
              </w:rPr>
              <w:t>25</w:t>
            </w:r>
          </w:p>
        </w:tc>
      </w:tr>
    </w:tbl>
    <w:p>
      <w:pPr>
        <w:spacing w:after="0"/>
        <w:rPr>
          <w:sz w:val="4"/>
        </w:rPr>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w:t>
      </w:r>
      <w:r>
        <w:rPr>
          <w:i/>
        </w:rPr>
        <w:t>ρ</w:t>
      </w:r>
      <w:r>
        <w:t xml:space="preserve">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 xml:space="preserve">The memorization study spans both a transparent n-gram/copy emulation and an actually trained generator, but the latter is a 0.9M-parameter CPU-scale transformer whose memorization is non-extractive—larger generators that regurgitate verbatim would move samples toward the </w:t>
      </w:r>
      <w:r>
        <w:rPr>
          <w:i/>
        </w:rPr>
        <w:t>λ</w:t>
      </w:r>
      <w:r>
        <w:t xml:space="preserve">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[13], [29].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[21],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problem—two layers specified by explicit contracts, recall with a proof and precision with evidence—and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What makes the contracts transferable is that none of them is specific to music: any domain where a long container hides a short copied span, and where style peers defeat set similarity, admits the same evidence-bound screen and chain confirmation.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R. Typke, F. Wiering, and R. C. Veltkamp, “A survey of music information retrieval systems,” in Proc. ISMIR, 2005.</w:t>
      </w:r>
    </w:p>
    <w:p>
      <w:pPr>
        <w:pStyle w:val="References"/>
        <w:ind w:left="425" w:hanging="425"/>
      </w:pPr>
      <w:r>
        <w:t>M. Müller, Information Retrieval for Music and Motion. Springer, 2007.</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S. Zilberstein, “Using anytime algorithms in intelligent systems,” AI Magazine, vol. 17, no. 3, pp. 73–83, 1996.</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N. Carlini et al., “Extracting training data from large language models,” in Proc. USENIX Security, 2021.</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C.-Z. A. Huang et al., “Music Transformer: Generating music with long-term structure,” in Proc. ICLR, 2019.</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rPr>
          <w:sz w:val="12"/>
        </w:r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Guarantees, Not Thresholds: Provable-Recall Screening with Structural Confirmation for Copy Detection in Symbolic Music</dc:title>
  <dc:subject>copy detection, symbolic music</dc:subject>
  <dc:description/>
  <cp:category>journal submission draft</cp:category>
</cp:coreProperties>
</file>