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 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evidence-funnel view of the copy-detection pipeline: candidates narrow — the guarantee does not.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II).</w:t>
      </w:r>
    </w:p>
    <w:p>
      <w:pPr>
        <w:pStyle w:val="Heading2"/>
      </w:pPr>
      <w:r>
        <w:t>D. L2/L3: re-ranking and structural confirmation</w:t>
      </w:r>
    </w:p>
    <w:p>
      <w:pPr>
        <w:spacing w:after="0"/>
        <w:ind w:firstLine="204"/>
        <w:jc w:val="both"/>
      </w:pPr>
      <w:r>
        <w:t>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Anchors are strict-tolerance matches; their j − i offsets are voted, and when the strict vote is inconclusive the interval-sketch offsets estimate the transposition, which is then removed by re-expressing the query in interval form and re-running confirmation once. 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places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550448"/>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5760000" cy="1550448"/>
                  </a:xfrm>
                  <a:prstGeom prst="rect">
                    <a:avLst/>
                  </a:prstGeom>
                </pic:spPr>
              </pic:pic>
            </a:graphicData>
          </a:graphic>
        </wp:inline>
      </w:drawing>
    </w:p>
    <w:p>
      <w:pPr>
        <w:pStyle w:val="FigureCaption"/>
      </w:pPr>
      <w:r>
        <w:rPr>
          <w:sz w:val="19"/>
        </w:rPr>
        <w:t>Fig. 10. Component ablations: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A self-screen of the whole corpus at the observed per-query cost (median 27 ms exact, 56 ms sketch, p95 74/122 ms; one core) completes in roughly four hours.</w:t>
      </w:r>
    </w:p>
    <w:p>
      <w:pPr>
        <w:spacing w:after="0"/>
        <w:ind w:firstLine="204"/>
        <w:jc w:val="both"/>
      </w:pPr>
      <w:r>
        <w:t>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600074"/>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5760000" cy="1600074"/>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