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evidence-funnel view of the copy-detection pipeline: candidates narrow — the guarantee does not.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but retrieves nothing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behaviour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722773"/>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5760000" cy="1722773"/>
                  </a:xfrm>
                  <a:prstGeom prst="rect">
                    <a:avLst/>
                  </a:prstGeom>
                </pic:spPr>
              </pic:pic>
            </a:graphicData>
          </a:graphic>
        </wp:inline>
      </w:drawing>
    </w:p>
    <w:p>
      <w:pPr>
        <w:pStyle w:val="FigureCaption"/>
      </w:pPr>
      <w:r>
        <w:rPr>
          <w:sz w:val="19"/>
        </w:rPr>
        <w:t>Fig. 9. (a) Operating points of the three systems on hard negatives;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65067"/>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5760000" cy="1965067"/>
                  </a:xfrm>
                  <a:prstGeom prst="rect">
                    <a:avLst/>
                  </a:prstGeom>
                </pic:spPr>
              </pic:pic>
            </a:graphicData>
          </a:graphic>
        </wp:inline>
      </w:drawing>
    </w:p>
    <w:p>
      <w:pPr>
        <w:pStyle w:val="FigureCaption"/>
      </w:pPr>
      <w:r>
        <w:rPr>
          <w:sz w:val="19"/>
        </w:rPr>
        <w:t>Fig. 10. Component ablations: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97256"/>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5760000" cy="1597256"/>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lambda = 0 / lambda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