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pPr>
      <w:r>
        <w:t>Provable-Recall Screening with Structural Confirmation: A Two-Layer Copy Detection System for Symbolic Music</w:t>
      </w:r>
    </w:p>
    <w:p>
      <w:pPr>
        <w:rPr>
          <w:sz w:val="18"/>
        </w:rPr>
      </w:pPr>
    </w:p>
    <w:p>
      <w:pPr>
        <w:pStyle w:val="Authors"/>
      </w:pPr>
      <w:r>
        <w:t>Xuemei Li</w:t>
      </w:r>
      <w:r>
        <w:rPr>
          <w:vertAlign w:val="superscript"/>
        </w:rPr>
        <w:t>1</w:t>
      </w:r>
      <w:r>
        <w:t xml:space="preserve">, </w:t>
      </w:r>
      <w:r>
        <w:t>Jianping Deng</w:t>
      </w:r>
      <w:r>
        <w:rPr>
          <w:vertAlign w:val="superscript"/>
        </w:rPr>
        <w:t>1</w:t>
      </w:r>
      <w:r>
        <w:t xml:space="preserve">, </w:t>
      </w:r>
      <w:r>
        <w:t>Meng Huang</w:t>
      </w:r>
      <w:r>
        <w:rPr>
          <w:vertAlign w:val="superscript"/>
        </w:rPr>
        <w:t>2</w:t>
      </w:r>
      <w:r>
        <w:t xml:space="preserve">, </w:t>
      </w:r>
      <w:r>
        <w:t>Bao Wang</w:t>
      </w:r>
      <w:r>
        <w:rPr>
          <w:vertAlign w:val="superscript"/>
        </w:rPr>
        <w:t>2</w:t>
      </w:r>
      <w:r>
        <w:t xml:space="preserve">, and </w:t>
      </w:r>
      <w:r>
        <w:t>Yalong Zhang</w:t>
      </w:r>
      <w:r>
        <w:rPr>
          <w:vertAlign w:val="superscript"/>
        </w:rPr>
        <w:t>2</w:t>
      </w:r>
    </w:p>
    <w:p>
      <w:pPr>
        <w:spacing w:before="0" w:after="40"/>
        <w:rPr>
          <w:sz w:val="2"/>
          <w:szCs w:val="2"/>
        </w:rPr>
        <w:sectPr w:rsidR="007E713A" w:rsidSect="00002FAF">
          <w:headerReference w:type="default" r:id="rId9"/>
          <w:type w:val="continuous"/>
          <w:pgSz w:w="12240" w:h="15840"/>
          <w:pgMar w:top="1008" w:right="936" w:bottom="1008" w:left="936" w:header="432" w:footer="432" w:gutter="0"/>
          <w:cols w:space="288"/>
        </w:sectPr>
      </w:pPr>
    </w:p>
    <w:p>
      <w:pPr>
        <w:spacing w:before="20"/>
        <w:jc w:val="both"/>
      </w:pPr>
      <w:r>
        <w:rPr>
          <w:sz w:val="2"/>
          <w:szCs w:val="2"/>
        </w:rPr>
        <w:footnoteReference w:customMarkFollows="1" w:id="3"/>
        <w:sym w:font="Symbol" w:char="F020"/>
      </w:r>
      <w:r>
        <w:rPr>
          <w:b/>
          <w:i/>
          <w:sz w:val="18"/>
        </w:rPr>
        <w:t>Abstract</w:t>
      </w:r>
      <w:r>
        <w:rPr>
          <w:b/>
          <w:sz w:val="18"/>
        </w:rPr>
        <w:t>—</w:t>
      </w:r>
      <w:r>
        <w:rPr>
          <w:b/>
          <w:sz w:val="18"/>
        </w:rPr>
        <w:t>Detecting copied material in symbolic music corpora at publisher scale is hard because candidate systems must simultaneously guarantee recall over noisy transformations, stay interactive on hundreds of thousands of pieces, and produce evidence precise enough to support human adjudication. We show that no single item-level technique meets all three requirements, and we present a two-layer system that does: a tolerant item-set screening layer whose recall is provable (an evidence lower bound verified on every one of 337 adversarial cells with zero violations) and whose rare-first anytime schedule processes the corpus in query time that grows only with evidence, not with corpus size; and a strict structural confirmation layer that aligns ordered note chains and reduces the fragment-level false-positive rate on style-similar hard negatives to 2.1% while retaining 83.9% recall under transcription noise. On a 174,300-piece corpus the index builds in 24.747 s and answers queries in 41.94 ms (p50) at 100% planted recall. In controlled memorization experiments, detection rises monotonically from 26-34% at zero copying to 100% at full verbatim regurgitation, with 96-100% correct attribution to the source piece. Case studies on 1,658,993 in-the-wild duplicate pairs show the system localizing spliced segments and transposed covers with publisher-readable alignment evidence.</w:t>
      </w:r>
    </w:p>
    <w:p>
      <w:pPr>
        <w:spacing w:before="100"/>
        <w:jc w:val="both"/>
      </w:pPr>
      <w:r>
        <w:rPr>
          <w:b/>
          <w:i/>
          <w:sz w:val="18"/>
        </w:rPr>
        <w:t>Index Terms</w:t>
      </w:r>
      <w:r>
        <w:rPr>
          <w:b/>
          <w:sz w:val="18"/>
        </w:rPr>
        <w:t>—</w:t>
      </w:r>
      <w:r>
        <w:rPr>
          <w:b/>
          <w:sz w:val="18"/>
        </w:rPr>
        <w:t>Anytime algorithms, copyright, music information retrieval, plagiarism screening, symbolic music.</w:t>
      </w:r>
    </w:p>
    <w:p>
      <w:pPr>
        <w:pStyle w:val="Heading1"/>
      </w:pPr>
      <w:r>
        <w:t>I. INTRODUCTION</w:t>
      </w:r>
    </w:p>
    <w:p>
      <w:pPr>
        <w:pStyle w:val="Normal"/>
        <w:keepNext/>
        <w:framePr w:dropCap="drop" w:lines="3" w:wrap="around" w:vAnchor="text" w:hAnchor="text"/>
        <w:spacing w:line="724" w:lineRule="exact"/>
        <w:jc w:val="both"/>
        <w:textAlignment w:val="baseline"/>
      </w:pPr>
      <w:r>
        <w:rPr>
          <w:smallCaps/>
          <w:color w:val="000000"/>
          <w:position w:val="-9"/>
          <w:sz w:val="97"/>
        </w:rPr>
        <w:t xml:space="preserve">M</w:t>
      </w:r>
    </w:p>
    <w:p>
      <w:pPr>
        <w:pStyle w:val="Normal"/>
        <w:widowControl w:val="0"/>
        <w:spacing w:line="252" w:lineRule="auto"/>
        <w:jc w:val="both"/>
      </w:pPr>
      <w:r>
        <w:rPr>
          <w:smallCaps/>
          <w:color w:val="000000"/>
        </w:rPr>
        <w:t xml:space="preserve">usic</w:t>
      </w:r>
      <w:r>
        <w:rPr>
          <w:color w:val="000000"/>
        </w:rPr>
        <w:t xml:space="preserve"> publishers, dataset curators, and generative-music deployments share a common need: given a corpus of symbolic music (MIDI and its derivatives) and a query—a new submission, a generated sample, or a suspected infringement—find every piece that shares a substantively copied span with the query, rank the candidates, and show the evidence. The requirement list is demanding. Recall must survive the noise of real-world reuse: transposition, tempo change, re-instrumentation, transcription jitter from audio-to-MIDI tools, and deliberate splicing. Latency must stay interactive even as corpora reach hundreds of thousands of pieces. And the output must be decision-grade: on style-similar but innocent repertoire the system must not cry wolf, and on positives it must present an alignment a human expert can check against a score.</w:t>
      </w:r>
    </w:p>
    <w:p>
      <w:pPr>
        <w:spacing w:after="0"/>
        <w:ind w:firstLine="204"/>
        <w:jc w:val="both"/>
      </w:pPr>
      <w:r>
        <w:t>Established approaches each fail one requirement. Audio fingerprinting [3], [5] and chroma-based matching [4], [12] target audio and tolerate noise well, but their features are lossy with respect to the symbolic content publishers must adjudicate, and they provide no recall guarantee. Frequent itemset mining (FIM) and its geometric cousins (SIATEC and successors) [2], [9], [10] discover repeated patterns with algorithmic elegance, but exact enumeration explodes combinatorially at the support levels copying detection requires (we quantify this in Section V-A), and pattern sets are not ranked candidates. Cover-song identification has moved to learned audio embeddings [15]–[17], while plagiarism detection specifically has been addressed with chroma-based forensics [18], bipartite graph matching [19], and melodic-similarity analysis of real copyright cases [20]; these audio- and embedding-centric methods, like query-by-humming lineage [13], [14], do not provide a symbolic, per-query recall guarantee of the kind a publisher can contract against.</w:t>
      </w:r>
    </w:p>
    <w:p>
      <w:pPr>
        <w:spacing w:after="0"/>
        <w:ind w:firstLine="204"/>
        <w:jc w:val="both"/>
      </w:pPr>
      <w:r>
        <w:t>This paper's thesis is architectural: the three requirements decompose across two layers with different contracts. The first layer maximizes recall under a stated noise model and proves it—an evidence lower bound that holds for any query whose per-note deviation stays within declared tolerances. The second layer maximizes precision by checking structure that style peers do not share: the ordered chain of notes with their inter-onset intervals. We additionally require the first layer to be anytime [8]: under a partial budget it must return the best partial answer together with a sound bound on what remains open.</w:t>
      </w:r>
    </w:p>
    <w:p>
      <w:pPr>
        <w:spacing w:after="0"/>
        <w:ind w:firstLine="204"/>
        <w:jc w:val="both"/>
      </w:pPr>
      <w:r>
        <w:t>Our findings, all measured on the Lakh MIDI corpus (full corpus, 174,300 pieces), are: (1) item-set containment alone is screening-grade only—on style-similar hard negatives its fragment-level false-positive rate reaches 93%, and no threshold repairs this without destroying recall; (2) a strict-tolerance ordered-chain confirmation layer on top of the screen cuts the false-positive rate to 2.1% at 83.9% recall under transcription noise, meeting the &lt;5% screening requirement of a decision-support tool; (3) the screen's rare-first schedule tightens the certified open-candidate bound by 1.1× over a hot-first schedule at 70% budget, with identical full-budget recall; (4) detection on a controlled memorization spectrum rises monotonically to 100% at full copying; and (5) a full-corpus census over 174,300 pieces measures 5.6 billion candidate pairs at the screening operating point, and a stratified audit of the high-scoring candidates confirms an estimated 107k verbatim-level duplicate pairs at 90% channel precision, while on in-the-wild cases the system localizes a spliced 30-second segment and recovers a +3-semitone transposed cover with exact, score-checkable alignment maps.</w:t>
      </w:r>
    </w:p>
    <w:p>
      <w:pPr>
        <w:spacing w:after="0"/>
        <w:ind w:firstLine="204"/>
        <w:jc w:val="both"/>
      </w:pPr>
      <w:r>
        <w:t>The contributions are: (1) an architectural decomposition of copy detection into a provable-recall screening problem and a structural confirmation problem, with formal contracts for each layer, validated by a controlled negative result: no single item-level method reaches decision-grade precision, and no purely structural method scales; (2) a tolerant item-set screen whose per-query recall is guaranteed by a sound evidence lower bound under a declared noise model, auditable cell by cell on 337 adversarial cells with zero violations; (3) an anytime schedule analysis showing that rare-first processing tightens the certified open-candidate bound over hot-first under partial budgets (by 1.1× at 70% budget) and that the bound is computable after any schedule prefix, turning an engineering heuristic into a schedulable guarantee; (4) a strict-tolerance ordered-chain confirmation layer that outputs note-level alignment evidence, reaching 2.1% fragment-level false positives at 83.9% recall on style-similar hard negatives, together with a controlled memorization study showing monotone detection growth and 96-100% correct source attribution under full copying, together with a full-corpus census over 174,300 pieces that measures 5.6 billion candidate pairs at the screening operating point and, via a stratified adjudication audit, an estimated 107k verbatim-level duplicate pairs at 90% channel precision; and (5) a fully scripted reproduction release that regenerates every number, table, and figure in this paper from the raw corpus download.</w:t>
      </w:r>
    </w:p>
    <w:p>
      <w:pPr>
        <w:spacing w:after="0"/>
        <w:ind w:firstLine="204"/>
        <w:jc w:val="both"/>
      </w:pPr>
      <w:r>
        <w:t>Section II reviews related work. Section III formalizes the problem, states the evidence-bound theorem, and describes the three processing layers. Section IV details the experimental setup and operating parameters. Section V reports controlled experiments; Section VI reports real-world studies. Section VII discusses limitations and deployment considerations, and Section VIII concludes.</w:t>
      </w:r>
    </w:p>
    <w:p>
      <w:pPr>
        <w:spacing w:after="0"/>
        <w:ind w:firstLine="204"/>
        <w:jc w:val="both"/>
      </w:pPr>
      <w:r>
        <w:t>Fig. 1 previews the whole system as an evidence funnel: candidate sets narrow through the L1 screen and the L2 top-C gate while the recall floor (Thm 1) stays unbroken; L3 inspects survivors under a structural lens, and confirmed matches ship as adjudicable reports.</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5760000" cy="2824615"/>
          <wp:effectExtent l="0" t="0" r="0" b="0"/>
          <wp:docPr id="101" name="fig1_alt.emf"/>
          <wp:cNvGraphicFramePr/>
          <a:graphic>
            <a:graphicData uri="http://schemas.openxmlformats.org/drawingml/2006/picture">
              <pic:pic>
                <pic:nvPicPr>
                  <pic:cNvPr id="0" name="fig1_alt.emf"/>
                  <pic:cNvPicPr/>
                </pic:nvPicPr>
                <pic:blipFill>
                  <a:blip r:embed="rId33"/>
                  <a:stretch>
                    <a:fillRect/>
                  </a:stretch>
                </pic:blipFill>
                <pic:spPr>
                  <a:xfrm>
                    <a:off x="0" y="0"/>
                    <a:ext cx="5760000" cy="2824615"/>
                  </a:xfrm>
                  <a:prstGeom prst="rect">
                    <a:avLst/>
                  </a:prstGeom>
                </pic:spPr>
              </pic:pic>
            </a:graphicData>
          </a:graphic>
        </wp:inline>
      </w:drawing>
    </w:p>
    <w:p>
      <w:pPr>
        <w:pStyle w:val="FigureCaption"/>
      </w:pPr>
      <w:r>
        <w:rPr>
          <w:sz w:val="19"/>
        </w:rPr>
        <w:t>Fig. 1. The evidence-funnel view of the copy-detection pipeline: candidates narrow — the guarantee does not.</w:t>
      </w:r>
    </w:p>
    <w:p>
      <w:pPr>
        <w:sectPr w:rsidR="007E713A" w:rsidSect="00002FAF">
          <w:headerReference w:type="default" r:id="rId9"/>
          <w:type w:val="continuous"/>
          <w:pgSz w:w="12240" w:h="15840"/>
          <w:pgMar w:top="1008" w:right="936" w:bottom="1008" w:left="936" w:header="432" w:footer="432" w:gutter="0"/>
          <w:cols w:space="288"/>
        </w:sectPr>
      </w:pPr>
    </w:p>
    <w:p>
      <w:pPr>
        <w:pStyle w:val="Heading1"/>
      </w:pPr>
      <w:r>
        <w:t>II. RELATED WORK</w:t>
      </w:r>
    </w:p>
    <w:p>
      <w:pPr>
        <w:pStyle w:val="Heading2"/>
      </w:pPr>
      <w:r>
        <w:t>A. Symbolic music retrieval and pattern discovery</w:t>
      </w:r>
    </w:p>
    <w:p>
      <w:pPr>
        <w:spacing w:after="0"/>
        <w:ind w:firstLine="204"/>
        <w:jc w:val="both"/>
      </w:pPr>
      <w:r>
        <w:t>Sequence-based matching of notated music under edit distance and transportation distance was established by Typke et al. [1], and geometric repeated-pattern discovery by Meredith et al. [2]. Surveying the field, Casey et al. [3] and Typke et al. [5] separate audio-descriptor approaches from symbolic approaches; Müller [4], [6] systematize chroma and alignment techniques. Our screen layer inherits the item-set view of FIM [9], [10] but replaces corpus-side enumeration with query-side containment verification, trading pattern completeness for a provable per-query recall contract.</w:t>
      </w:r>
    </w:p>
    <w:p>
      <w:pPr>
        <w:spacing w:after="0"/>
        <w:ind w:firstLine="204"/>
        <w:jc w:val="both"/>
      </w:pPr>
      <w:r>
        <w:t>Symbolic version identification has a complementary lineage. Alignment-based matching of MIDI to audio [6] and sequence-comparison methods benchmarked on the Lakh corpus [7] establish that symbolic sequences support robust matching, but their cost is per-candidate: applied as corpus-wide filters they do not scale, and applied after a cheap filter they inherit the filter's recall, which none of these systems bounds. Our screen layer can be read as a recall-guaranteed candidate generator for exactly such aligners: it hands confirmation a top-C set small enough that exact structural alignment becomes affordable, while the bound certifies that nothing outside the set needs alignment at all.</w:t>
      </w:r>
    </w:p>
    <w:p>
      <w:pPr>
        <w:pStyle w:val="Heading2"/>
      </w:pPr>
      <w:r>
        <w:t>B. Memorization in generative models</w:t>
      </w:r>
    </w:p>
    <w:p>
      <w:pPr>
        <w:spacing w:after="0"/>
        <w:ind w:firstLine="204"/>
        <w:jc w:val="both"/>
      </w:pPr>
      <w:r>
        <w:t>Carlini et al. [11] demonstrated that large language models regurgitate training sequences and that extraction is detectable with membership tests [23]; the same extraction was then shown for diffusion models [24]. Deduplication reduces both verbatim regurgitation and privacy leakage [25], [26], and memorization is measurable even in probabilistic deep generative models [27]. For music specifically, symbolic generators such as Music Transformer [22] are trained on scraped MIDI, membership-inference auditing of generative music models has only recently been demonstrated [28], influence-level attribution has been explored with audio embeddings [29], and the legal status of such training data remains contested [30]. Publishers consequently need batch screening tools rather than per-sample membership oracles. Our controlled experiments (Section VI-A) emulate the memorization spectrum without training neural models, using n-gram order and a copy operator—a deliberately transparent stand-in that exposes exactly where contiguity-based detection breaks down.</w:t>
      </w:r>
    </w:p>
    <w:p>
      <w:pPr>
        <w:pStyle w:val="Heading2"/>
      </w:pPr>
      <w:r>
        <w:t>C. Anytime algorithms</w:t>
      </w:r>
    </w:p>
    <w:p>
      <w:pPr>
        <w:spacing w:after="0"/>
        <w:ind w:firstLine="204"/>
        <w:jc w:val="both"/>
      </w:pPr>
      <w:r>
        <w:t>Zilberstein [8] formalized anytime algorithms: interruptible procedures whose intermediate results improve monotonically and can be accompanied by a bound on unexplored outcomes. Our screen adopts this contract at the level of evidence items: after any prefix of the rare-first schedule, the set of pieces that can still reach the threshold is exactly computable, which turns an engineering heuristic into a guarantee a publisher can schedule around.</w:t>
      </w:r>
    </w:p>
    <w:p>
      <w:pPr>
        <w:pStyle w:val="Heading1"/>
      </w:pPr>
      <w:r>
        <w:t>III. SYSTEM</w:t>
      </w:r>
    </w:p>
    <w:p>
      <w:pPr>
        <w:spacing w:after="0"/>
        <w:ind w:firstLine="204"/>
        <w:jc w:val="both"/>
      </w:pPr>
      <w:r>
        <w:t>Fig. 2 shows the pipeline. All layers operate on a shared event encoding; the screen and the confirmation use different tolerances by design.</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5760000" cy="3378461"/>
          <wp:effectExtent l="0" t="0" r="0" b="0"/>
          <wp:docPr id="102" name="fig1_architecture.emf"/>
          <wp:cNvGraphicFramePr/>
          <a:graphic>
            <a:graphicData uri="http://schemas.openxmlformats.org/drawingml/2006/picture">
              <pic:pic>
                <pic:nvPicPr>
                  <pic:cNvPr id="0" name="fig1_architecture.emf"/>
                  <pic:cNvPicPr/>
                </pic:nvPicPr>
                <pic:blipFill>
                  <a:blip r:embed="rId34"/>
                  <a:stretch>
                    <a:fillRect/>
                  </a:stretch>
                </pic:blipFill>
                <pic:spPr>
                  <a:xfrm>
                    <a:off x="0" y="0"/>
                    <a:ext cx="5760000" cy="3378461"/>
                  </a:xfrm>
                  <a:prstGeom prst="rect">
                    <a:avLst/>
                  </a:prstGeom>
                </pic:spPr>
              </pic:pic>
            </a:graphicData>
          </a:graphic>
        </wp:inline>
      </w:drawing>
    </w:p>
    <w:p>
      <w:pPr>
        <w:pStyle w:val="FigureCaption"/>
      </w:pPr>
      <w:r>
        <w:rPr>
          <w:sz w:val="19"/>
        </w:rPr>
        <w:t>Fig. 2. Two-layer copy detection pipeline. (a) A publisher-scale corpus is encoded once into a rare-first item-set index. (b) The L1 screen queries that index under an anytime budget with a provable recall lower bound (Thm 1, 337-cell audit). (c) L2 re-ranks and L3 confirms on ordered note chains, gating on ρ ≥ θ. (d) Confirmed matches ship as adjudicable reports; memorization and in-the-wild audits close the loop. Black arrows mark data flow; amber markers trace one query end to end.</w:t>
      </w:r>
    </w:p>
    <w:p>
      <w:pPr>
        <w:sectPr w:rsidR="007E713A" w:rsidSect="00002FAF">
          <w:headerReference w:type="default" r:id="rId9"/>
          <w:type w:val="continuous"/>
          <w:pgSz w:w="12240" w:h="15840"/>
          <w:pgMar w:top="1008" w:right="936" w:bottom="1008" w:left="936" w:header="432" w:footer="432" w:gutter="0"/>
          <w:cols w:space="288"/>
        </w:sectPr>
      </w:pPr>
    </w:p>
    <w:p>
      <w:pPr>
        <w:pStyle w:val="Heading2"/>
      </w:pPr>
      <w:r>
        <w:t>A. Problem statement and notation</w:t>
      </w:r>
    </w:p>
    <w:p>
      <w:pPr>
        <w:spacing w:after="0"/>
        <w:ind w:firstLine="204"/>
        <w:jc w:val="both"/>
      </w:pPr>
      <w:r>
        <w:t>A piece P = (e₁, …, e_n) is a sequence of note events e_i = (t_i, p_i, d_i, v_i): onset time, MIDI pitch, duration, and velocity. An encoding φ maps each event to an item, a tuple of quantized features (Section III-B); the item set S(P) = ∪_i {φ(e_i)} discards order and repetition. For tolerance vector k = (k_pitch, k_bin, k_vel), the neighborhood N_k(x) of an item x is the set of items whose pitch differs by at most k_pitch semitones and whose duration, inter-onset interval (IOI), and velocity bins differ by at most k_bin and k_vel bins respectively. A planted copy of a span X is produced by transforming every event of X with one of the six families of Section IV; the declared screen tolerance k = (2, 1, 1) covers all families except transposition beyond ±2 semitones and transcription jitter beyond ±1 bin, which the interval-sketch index of Section III-B handles separately.</w:t>
      </w:r>
    </w:p>
    <w:p>
      <w:pPr>
        <w:spacing w:after="0"/>
        <w:ind w:firstLine="204"/>
        <w:jc w:val="both"/>
      </w:pPr>
      <w:r>
        <w:t>Problem. Given a corpus D = {P₁, …, P_N} and a query fragment q, return a ranked candidate list with per-candidate evidence such that (completeness) every piece that shares with q a copied span under the declared noise model appears in the list, and (soundness of evidence) every confirmed candidate carries a note-level alignment that a human adjudicator can check against a score. The two requirements pull in opposite directions: completeness favors permissive item-level matching, soundness favors strict structural comparison. The system's bet is that the two can be separated cleanly enough to prove the first and measure the second.</w:t>
      </w:r>
    </w:p>
    <w:p>
      <w:pPr>
        <w:pStyle w:val="Heading2"/>
      </w:pPr>
      <w:r>
        <w:t>B. Event encoding and index construction</w:t>
      </w:r>
    </w:p>
    <w:p>
      <w:pPr>
        <w:spacing w:after="0"/>
        <w:ind w:firstLine="204"/>
        <w:jc w:val="both"/>
      </w:pPr>
      <w:r>
        <w:t>Each piece is quantized onto a fixed grid (125 ms per bin at ticks-per-beat 8) and encoded per note as a four-dimensional item: pitch, duration bin, IOI bin, and velocity bin. A piece's item set is the set of distinct codes. Pop-music grid quantization is a deliberate information reduction: it is what makes the screen layer fast and its recall argument clean, and it is what the confirmation layer must overcome with structural information. An interval-sketch variant (pitch replaced by the chromatic interval to the next note) provides transposition invariance for retrieval of transposed material. Items are remapped to gapless dense integer IDs per corpus revision, so that the inverted index consists of contiguous posting lists; this costs one sort of the vocabulary and pays off in cache behavior and in a compact Fenwick-based open-set bookkeeping at query time.</w:t>
      </w:r>
    </w:p>
    <w:p>
      <w:pPr>
        <w:spacing w:after="0"/>
        <w:ind w:firstLine="204"/>
        <w:jc w:val="both"/>
      </w:pPr>
      <w:r>
        <w:t>The corpus index is an inverted index from item to sorted piece-ID lists, built once in a linear pass (each piece contributes |S(P)| postings). Build time and memory grow linearly with corpus size (Fig. 3, Table II); incremental updates append postings for new pieces without rebuilding.</w:t>
      </w:r>
    </w:p>
    <w:p>
      <w:pPr>
        <w:pStyle w:val="Heading2"/>
      </w:pPr>
      <w:r>
        <w:t>C. L1: tolerant screening with a provable bound</w:t>
      </w:r>
    </w:p>
    <w:p>
      <w:pPr>
        <w:spacing w:after="0"/>
        <w:ind w:firstLine="204"/>
        <w:jc w:val="both"/>
      </w:pPr>
      <w:r>
        <w:t>A query is processed position by position in rare-first order; each position contributes +1 to every piece that contains any variant of the position's item within tolerance (pitch ±2 semitones, duration/IOI ±1 bin, velocity ±1 bin). Formally:</w:t>
      </w:r>
    </w:p>
    <w:p>
      <w:pPr>
        <w:spacing w:after="0"/>
        <w:ind w:firstLine="227"/>
        <w:jc w:val="both"/>
      </w:pPr>
      <w:r>
        <w:t>Theorem 1 (evidence lower bound). Let q have q positions, processed in any order, and let score_u(P) be piece P's tolerant score after u positions. For every piece P whose copied span deviates within tolerance at every position, score_u(P) + (q − u) ≥ score_q(P), and the open set O_u = {P : score_u(P) + (q − u) ≥ τ} is exactly the set of pieces that can still contain such a copy at threshold τ. Proof sketch: a tolerated deviation maps position i's item into N_k, so each position of a true copy contributes at least as much as a verbatim position; unprocessed positions can contribute at most one each. Hence a piece outside O_u cannot be a copy, and no piece inside O_u can be excluded yet. ∎</w:t>
      </w:r>
    </w:p>
    <w:p>
      <w:pPr>
        <w:spacing w:after="0"/>
        <w:ind w:firstLine="204"/>
        <w:jc w:val="both"/>
      </w:pPr>
      <w:r>
        <w:t>Two consequences matter operationally. First, the recall contract is auditable per query: measuring donor score ≥ bound on adversarial cells verifies it cell by cell (Section V-B). Second, the anytime contract is sound: after any budget prefix, the best partial answer plus O_u is a complete description of the search state, so interruption never loses a certified answer. Rare-first ordering greedily minimizes the growth of |O_u|, because a rare position eliminates, in expectation, the largest fraction of currently open pieces per unit of budget; Section V-C quantifies the resulting gap in the certified bound against hot-first processing.</w:t>
      </w:r>
    </w:p>
    <w:p>
      <w:pPr>
        <w:spacing w:after="0"/>
        <w:ind w:firstLine="204"/>
        <w:jc w:val="both"/>
      </w:pPr>
      <w:r>
        <w:t>Complexity. Index construction is O(Σ_P |S(P)|). A query touches, per position, the posting lists of all items in N_k, so query cost grows with evidence and vocabulary rarity, not with corpus size beyond postings; the open set is maintained in a Fenwick structure over piece IDs, giving O(log N) updates and an exact |O_u| readout after every position. Measured end to end, the index builds in 24.747 s and queries run at p50 = 41.94 ms on the full 174,300-piece corpus (Table II).</w:t>
      </w:r>
    </w:p>
    <w:p>
      <w:pPr>
        <w:pStyle w:val="Heading2"/>
      </w:pPr>
      <w:r>
        <w:t>D. L2/L3: re-ranking and structural confirmation</w:t>
      </w:r>
    </w:p>
    <w:p>
      <w:pPr>
        <w:spacing w:after="0"/>
        <w:ind w:firstLine="204"/>
        <w:jc w:val="both"/>
      </w:pPr>
      <w:r>
        <w:t>The screen is deliberately permissive; verbatim counts re-rank its survivors, and the top-C union of tolerant and verbatim rankings is passed to confirmation. Confirmation scores an ordered alignment: two notes match when all four features are within strict tolerance (pitch ±1 semitone, duration, IOI, and velocity in exact bins). The score is the longest chain of matches with both note order and candidate position strictly increasing — a longest-common-subsequence computation restricted to anchor pairs, not a heuristic local alignment. Anchors are strict-tolerance matches; their j − i offsets are voted, and when the strict vote is inconclusive the interval-sketch offsets estimate the transposition, which is then removed by re-expressing the query in interval form and re-running confirmation once. The dynamic program runs inside the anchor-constrained window, so its cost is O(W·m) for window W and m anchors, with a traceback that recovers the chain itself. A candidate is confirmed when the best chain reaches ρ times the query length. Algorithm 1 assembles the full pipeline.</w:t>
      </w:r>
    </w:p>
    <w:p>
      <w:pPr>
        <w:spacing w:after="0"/>
        <w:ind w:firstLine="283"/>
        <w:jc w:val="both"/>
      </w:pPr>
      <w:r>
        <w:t>The confirmed chain is itself the deliverable evidence: it maps note for note onto both scores, and together with the estimated transposition and the score trace it is what a publisher's adjudicator receives (Section VI-B). This design choice — evidence as a by-product of the decision procedure, not a post-hoc visualization — is what makes the false-positive rate of Section V-E interpretable: when confirmation fails, the misaligned chain shows why.</w:t>
      </w:r>
    </w:p>
    <w:tbl>
      <w:tblPr>
        <w:tblW w:type="auto" w:w="0"/>
        <w:jc w:val="center"/>
        <w:tblLook w:firstColumn="1" w:firstRow="1" w:lastColumn="0" w:lastRow="0" w:noHBand="0" w:noVBand="1" w:val="04A0"/>
      </w:tblPr>
      <w:tblGrid>
        <w:gridCol w:w="10368"/>
      </w:tblGrid>
      <w:tr>
        <w:tc>
          <w:tcPr>
            <w:tcW w:type="dxa" w:w="10368"/>
          </w:tcPr>
          <w:p>
            <w:pPr>
              <w:spacing w:after="0" w:before="0"/>
            </w:pPr>
            <w:r/>
            <w:r>
              <w:rPr>
                <w:rFonts w:ascii="Consolas" w:hAnsi="Consolas" w:eastAsia="Consolas"/>
                <w:sz w:val="14"/>
              </w:rPr>
              <w:t>Algorithm 1  Two-layer copy detection (query q, index</w:t>
            </w:r>
            <w:r>
              <w:br/>
            </w:r>
            <w:r>
              <w:rPr>
                <w:rFonts w:ascii="Consolas" w:hAnsi="Consolas" w:eastAsia="Consolas"/>
                <w:sz w:val="14"/>
              </w:rPr>
              <w:t xml:space="preserve">    I)</w:t>
            </w:r>
            <w:r>
              <w:br/>
            </w:r>
            <w:r>
              <w:rPr>
                <w:rFonts w:ascii="Consolas" w:hAnsi="Consolas" w:eastAsia="Consolas"/>
                <w:sz w:val="14"/>
              </w:rPr>
              <w:t>Input:  q = (e1..eq); inverted index I; k_screen =</w:t>
            </w:r>
            <w:r>
              <w:br/>
            </w:r>
            <w:r>
              <w:rPr>
                <w:rFonts w:ascii="Consolas" w:hAnsi="Consolas" w:eastAsia="Consolas"/>
                <w:sz w:val="14"/>
              </w:rPr>
              <w:t xml:space="preserve">    (2,1,1);</w:t>
            </w:r>
            <w:r>
              <w:br/>
            </w:r>
            <w:r>
              <w:rPr>
                <w:rFonts w:ascii="Consolas" w:hAnsi="Consolas" w:eastAsia="Consolas"/>
                <w:sz w:val="14"/>
              </w:rPr>
              <w:t xml:space="preserve">        k_confirm = (1,0,0); threshold tau; contiguity</w:t>
            </w:r>
            <w:r>
              <w:br/>
            </w:r>
            <w:r>
              <w:rPr>
                <w:rFonts w:ascii="Consolas" w:hAnsi="Consolas" w:eastAsia="Consolas"/>
                <w:sz w:val="14"/>
              </w:rPr>
              <w:t xml:space="preserve">    rho;</w:t>
            </w:r>
            <w:r>
              <w:br/>
            </w:r>
            <w:r>
              <w:rPr>
                <w:rFonts w:ascii="Consolas" w:hAnsi="Consolas" w:eastAsia="Consolas"/>
                <w:sz w:val="14"/>
              </w:rPr>
              <w:t xml:space="preserve">        top-C; budget B</w:t>
            </w:r>
            <w:r>
              <w:br/>
            </w:r>
            <w:r>
              <w:rPr>
                <w:rFonts w:ascii="Consolas" w:hAnsi="Consolas" w:eastAsia="Consolas"/>
                <w:sz w:val="14"/>
              </w:rPr>
              <w:t xml:space="preserve"> 1: order &lt;- positions of q sorted by |N_k(item_i)|</w:t>
            </w:r>
            <w:r>
              <w:br/>
            </w:r>
            <w:r>
              <w:rPr>
                <w:rFonts w:ascii="Consolas" w:hAnsi="Consolas" w:eastAsia="Consolas"/>
                <w:sz w:val="14"/>
              </w:rPr>
              <w:t xml:space="preserve">    ascending</w:t>
            </w:r>
            <w:r>
              <w:br/>
            </w:r>
            <w:r>
              <w:rPr>
                <w:rFonts w:ascii="Consolas" w:hAnsi="Consolas" w:eastAsia="Consolas"/>
                <w:sz w:val="14"/>
              </w:rPr>
              <w:t xml:space="preserve"> 2: score &lt;- {P: 0}; u &lt;- 0</w:t>
            </w:r>
            <w:r>
              <w:br/>
            </w:r>
            <w:r>
              <w:rPr>
                <w:rFonts w:ascii="Consolas" w:hAnsi="Consolas" w:eastAsia="Consolas"/>
                <w:sz w:val="14"/>
              </w:rPr>
              <w:t xml:space="preserve"> 3: while u &lt; q and budget(B) do</w:t>
            </w:r>
            <w:r>
              <w:br/>
            </w:r>
            <w:r>
              <w:rPr>
                <w:rFonts w:ascii="Consolas" w:hAnsi="Consolas" w:eastAsia="Consolas"/>
                <w:sz w:val="14"/>
              </w:rPr>
              <w:t xml:space="preserve"> 4:     for P in I[N_k(item_order[u])] do</w:t>
            </w:r>
            <w:r>
              <w:br/>
            </w:r>
            <w:r>
              <w:rPr>
                <w:rFonts w:ascii="Consolas" w:hAnsi="Consolas" w:eastAsia="Consolas"/>
                <w:sz w:val="14"/>
              </w:rPr>
              <w:t xml:space="preserve"> 5:         score[P] &lt;- score[P] + 1</w:t>
            </w:r>
            <w:r>
              <w:br/>
            </w:r>
            <w:r>
              <w:rPr>
                <w:rFonts w:ascii="Consolas" w:hAnsi="Consolas" w:eastAsia="Consolas"/>
                <w:sz w:val="14"/>
              </w:rPr>
              <w:t xml:space="preserve"> 6:     u &lt;- u + 1</w:t>
            </w:r>
            <w:r>
              <w:br/>
            </w:r>
            <w:r>
              <w:rPr>
                <w:rFonts w:ascii="Consolas" w:hAnsi="Consolas" w:eastAsia="Consolas"/>
                <w:sz w:val="14"/>
              </w:rPr>
              <w:t xml:space="preserve"> 7:     open &lt;- {P : score[P] + (q-u) &gt;= tau}   //</w:t>
            </w:r>
            <w:r>
              <w:br/>
            </w:r>
            <w:r>
              <w:rPr>
                <w:rFonts w:ascii="Consolas" w:hAnsi="Consolas" w:eastAsia="Consolas"/>
                <w:sz w:val="14"/>
              </w:rPr>
              <w:t xml:space="preserve">    Thm. 1</w:t>
            </w:r>
            <w:r>
              <w:br/>
            </w:r>
            <w:r>
              <w:rPr>
                <w:rFonts w:ascii="Consolas" w:hAnsi="Consolas" w:eastAsia="Consolas"/>
                <w:sz w:val="14"/>
              </w:rPr>
              <w:t xml:space="preserve"> 8: end while</w:t>
            </w:r>
            <w:r>
              <w:br/>
            </w:r>
            <w:r>
              <w:rPr>
                <w:rFonts w:ascii="Consolas" w:hAnsi="Consolas" w:eastAsia="Consolas"/>
                <w:sz w:val="14"/>
              </w:rPr>
              <w:t xml:space="preserve"> 9: C &lt;- top-C union of tolerant and verbatim rankings</w:t>
            </w:r>
            <w:r>
              <w:br/>
            </w:r>
            <w:r>
              <w:rPr>
                <w:rFonts w:ascii="Consolas" w:hAnsi="Consolas" w:eastAsia="Consolas"/>
                <w:sz w:val="14"/>
              </w:rPr>
              <w:t xml:space="preserve">    of open</w:t>
            </w:r>
            <w:r>
              <w:br/>
            </w:r>
            <w:r>
              <w:rPr>
                <w:rFonts w:ascii="Consolas" w:hAnsi="Consolas" w:eastAsia="Consolas"/>
                <w:sz w:val="14"/>
              </w:rPr>
              <w:t>10: for P in C do</w:t>
            </w:r>
            <w:r>
              <w:br/>
            </w:r>
            <w:r>
              <w:rPr>
                <w:rFonts w:ascii="Consolas" w:hAnsi="Consolas" w:eastAsia="Consolas"/>
                <w:sz w:val="14"/>
              </w:rPr>
              <w:t>11:     A &lt;- strict-anchor matches of q against P</w:t>
            </w:r>
            <w:r>
              <w:br/>
            </w:r>
            <w:r>
              <w:rPr>
                <w:rFonts w:ascii="Consolas" w:hAnsi="Consolas" w:eastAsia="Consolas"/>
                <w:sz w:val="14"/>
              </w:rPr>
              <w:t>12:     delta &lt;- modal offset (j - i) over A   //</w:t>
            </w:r>
            <w:r>
              <w:br/>
            </w:r>
            <w:r>
              <w:rPr>
                <w:rFonts w:ascii="Consolas" w:hAnsi="Consolas" w:eastAsia="Consolas"/>
                <w:sz w:val="14"/>
              </w:rPr>
              <w:t xml:space="preserve">    transposition</w:t>
            </w:r>
            <w:r>
              <w:br/>
            </w:r>
            <w:r>
              <w:rPr>
                <w:rFonts w:ascii="Consolas" w:hAnsi="Consolas" w:eastAsia="Consolas"/>
                <w:sz w:val="14"/>
              </w:rPr>
              <w:t>13:     if weak vote then delta &lt;- interval-sketch</w:t>
            </w:r>
            <w:r>
              <w:br/>
            </w:r>
            <w:r>
              <w:rPr>
                <w:rFonts w:ascii="Consolas" w:hAnsi="Consolas" w:eastAsia="Consolas"/>
                <w:sz w:val="14"/>
              </w:rPr>
              <w:t xml:space="preserve">    estimate</w:t>
            </w:r>
            <w:r>
              <w:br/>
            </w:r>
            <w:r>
              <w:rPr>
                <w:rFonts w:ascii="Consolas" w:hAnsi="Consolas" w:eastAsia="Consolas"/>
                <w:sz w:val="14"/>
              </w:rPr>
              <w:t>14:     chain &lt;- windowed LCS over A under offset</w:t>
            </w:r>
            <w:r>
              <w:br/>
            </w:r>
            <w:r>
              <w:rPr>
                <w:rFonts w:ascii="Consolas" w:hAnsi="Consolas" w:eastAsia="Consolas"/>
                <w:sz w:val="14"/>
              </w:rPr>
              <w:t xml:space="preserve">    delta</w:t>
            </w:r>
            <w:r>
              <w:br/>
            </w:r>
            <w:r>
              <w:rPr>
                <w:rFonts w:ascii="Consolas" w:hAnsi="Consolas" w:eastAsia="Consolas"/>
                <w:sz w:val="14"/>
              </w:rPr>
              <w:t>15:     if |chain| &gt;= rho * q then emit (P, chain,</w:t>
            </w:r>
            <w:r>
              <w:br/>
            </w:r>
            <w:r>
              <w:rPr>
                <w:rFonts w:ascii="Consolas" w:hAnsi="Consolas" w:eastAsia="Consolas"/>
                <w:sz w:val="14"/>
              </w:rPr>
              <w:t xml:space="preserve">    delta)</w:t>
            </w:r>
            <w:r>
              <w:br/>
            </w:r>
            <w:r>
              <w:rPr>
                <w:rFonts w:ascii="Consolas" w:hAnsi="Consolas" w:eastAsia="Consolas"/>
                <w:sz w:val="14"/>
              </w:rPr>
              <w:t>16: end for</w:t>
            </w:r>
          </w:p>
        </w:tc>
      </w:tr>
    </w:tbl>
    <w:p>
      <w:pPr>
        <w:spacing w:after="40"/>
      </w:pPr>
    </w:p>
    <w:p>
      <w:pPr>
        <w:pStyle w:val="Heading1"/>
      </w:pPr>
      <w:r>
        <w:t>IV. EXPERIMENTAL SETUP</w:t>
      </w:r>
    </w:p>
    <w:p>
      <w:pPr>
        <w:spacing w:after="0"/>
        <w:ind w:firstLine="204"/>
        <w:jc w:val="both"/>
      </w:pPr>
      <w:r>
        <w:t>Corpus. The Lakh MIDI dataset [7] (mirrored parquet export), up to 174,300 pieces encoded as item sets; the adversarial suite uses the first 3,000 pieces of shard 0. The GigaMIDI corpus [21] indicates that symbolic collections at the million-piece scale are now routine, which is the operating regime the screen layer is built for. Planted copies. Spans of 2/4/8/16 seconds are extracted from donor pieces and subjected to six transformation families: verbatim, transposition (±1–6 semitones), tempo scale (1.05–1.20), note split/merge, re-instrumentation with voice dropping, and a transcription model combining onset jitter with note dropout. Hard negatives. For each query, the 20 most style-similar corpus pieces by a duration-weighted pitch-class histogram are collected as a negative pool; pairs whose verbatim evidence against the whole donor exceeds 30 items are removed as true duplicates. Fragments whose extracted span, or whose encoded item set, contains fewer than 8 notes or items are skipped, so the valid-fragment count differs slightly between experiment generations (238 in screening, 236 in confirmation, 233 in the cascade suite). Baselines. Set-Jaccard corpus scan, SIATEC-family pattern discovery [2], and n-gram Jaccard (Section V-A); FIM engines from our prior work [31], [32] serve as enumeration baselines.</w:t>
      </w:r>
    </w:p>
    <w:p>
      <w:pPr>
        <w:spacing w:after="0"/>
        <w:ind w:firstLine="204"/>
        <w:jc w:val="both"/>
      </w:pPr>
      <w:r>
        <w:t>Environment. All experiments run on a single commodity workstation (12th-generation Intel Core i9, 128 GB RAM) in pure Python 3.12 with NumPy; no GPU accelerates any stage, so all latencies are conservative CPU-only figures. Every experiment is scripted end to end: the released pipeline re-downloads the corpus shards, rebuilds the index, regenerates every table and figure, and reproduces the manuscript numbers from scratch.</w:t>
      </w:r>
    </w:p>
    <w:p>
      <w:pPr>
        <w:spacing w:after="0"/>
        <w:ind w:firstLine="204"/>
        <w:jc w:val="both"/>
      </w:pPr>
      <w:r>
        <w:t>Operating parameters. Table I summarizes the production configuration used unless a section states otherwise; the ablations of Section V-F justify each choice.</w:t>
      </w:r>
    </w:p>
    <w:p>
      <w:pPr>
        <w:pStyle w:val="TableTitle"/>
        <w:keepNext/>
      </w:pPr>
      <w:r>
        <w:t>TABLE I.</w:t>
      </w:r>
    </w:p>
    <w:p>
      <w:pPr>
        <w:pStyle w:val="TableTitle"/>
        <w:keepNext/>
      </w:pPr>
      <w:r>
        <w:t>Production operating parameters.</w:t>
      </w:r>
    </w:p>
    <w:tbl>
      <w:tblPr>
        <w:tblW w:type="auto" w:w="0"/>
        <w:jc w:val="center"/>
        <w:tblLayout w:type="autofit"/>
        <w:tblLook w:firstColumn="1" w:firstRow="1" w:lastColumn="0" w:lastRow="0" w:noHBand="0" w:noVBand="1" w:val="04A0"/>
      </w:tblPr>
      <w:tblGrid>
        <w:gridCol w:w="3456"/>
        <w:gridCol w:w="3456"/>
        <w:gridCol w:w="3456"/>
      </w:tblGrid>
      <w:tr>
        <w:trPr>
          <w:cantSplit/>
        </w:trPr>
        <w:tc>
          <w:tcPr>
            <w:tcW w:type="dxa" w:w="3456"/>
            <w:tcBorders>
              <w:top w:val="single" w:sz="12" w:color="000000"/>
              <w:bottom w:val="single" w:sz="6" w:color="000000"/>
            </w:tcBorders>
          </w:tcPr>
          <w:p>
            <w:pPr>
              <w:keepNext/>
              <w:jc w:val="left"/>
            </w:pPr>
            <w:r/>
            <w:r>
              <w:rPr>
                <w:rFonts w:ascii="Times New Roman" w:hAnsi="Times New Roman"/>
                <w:b/>
                <w:sz w:val="16"/>
              </w:rPr>
              <w:t>Parameter</w:t>
            </w:r>
          </w:p>
        </w:tc>
        <w:tc>
          <w:tcPr>
            <w:tcW w:type="dxa" w:w="3456"/>
            <w:tcBorders>
              <w:top w:val="single" w:sz="12" w:color="000000"/>
              <w:bottom w:val="single" w:sz="6" w:color="000000"/>
            </w:tcBorders>
          </w:tcPr>
          <w:p>
            <w:pPr>
              <w:keepNext/>
              <w:jc w:val="center"/>
            </w:pPr>
            <w:r/>
            <w:r>
              <w:rPr>
                <w:rFonts w:ascii="Times New Roman" w:hAnsi="Times New Roman"/>
                <w:b/>
                <w:sz w:val="16"/>
              </w:rPr>
              <w:t>Value</w:t>
            </w:r>
          </w:p>
        </w:tc>
        <w:tc>
          <w:tcPr>
            <w:tcW w:type="dxa" w:w="3456"/>
            <w:tcBorders>
              <w:top w:val="single" w:sz="12" w:color="000000"/>
              <w:bottom w:val="single" w:sz="6" w:color="000000"/>
            </w:tcBorders>
          </w:tcPr>
          <w:p>
            <w:pPr>
              <w:keepNext/>
              <w:jc w:val="center"/>
            </w:pPr>
            <w:r/>
            <w:r>
              <w:rPr>
                <w:rFonts w:ascii="Times New Roman" w:hAnsi="Times New Roman"/>
                <w:b/>
                <w:sz w:val="16"/>
              </w:rPr>
              <w:t>Role</w:t>
            </w:r>
          </w:p>
        </w:tc>
      </w:tr>
      <w:tr>
        <w:trPr>
          <w:cantSplit/>
        </w:trPr>
        <w:tc>
          <w:tcPr>
            <w:tcW w:type="dxa" w:w="3456"/>
          </w:tcPr>
          <w:p>
            <w:pPr>
              <w:keepNext/>
              <w:jc w:val="left"/>
            </w:pPr>
            <w:r/>
            <w:r>
              <w:rPr>
                <w:rFonts w:ascii="Times New Roman" w:hAnsi="Times New Roman"/>
                <w:b w:val="0"/>
                <w:sz w:val="16"/>
              </w:rPr>
              <w:t>Quantization grid</w:t>
            </w:r>
          </w:p>
        </w:tc>
        <w:tc>
          <w:tcPr>
            <w:tcW w:type="dxa" w:w="3456"/>
          </w:tcPr>
          <w:p>
            <w:pPr>
              <w:keepNext/>
              <w:jc w:val="center"/>
            </w:pPr>
            <w:r/>
            <w:r>
              <w:rPr>
                <w:rFonts w:ascii="Times New Roman" w:hAnsi="Times New Roman"/>
                <w:b w:val="0"/>
                <w:sz w:val="16"/>
              </w:rPr>
              <w:t>125 ms (tpb = 8)</w:t>
            </w:r>
          </w:p>
        </w:tc>
        <w:tc>
          <w:tcPr>
            <w:tcW w:type="dxa" w:w="3456"/>
          </w:tcPr>
          <w:p>
            <w:pPr>
              <w:keepNext/>
              <w:jc w:val="center"/>
            </w:pPr>
            <w:r/>
            <w:r>
              <w:rPr>
                <w:rFonts w:ascii="Times New Roman" w:hAnsi="Times New Roman"/>
                <w:b w:val="0"/>
                <w:sz w:val="16"/>
              </w:rPr>
              <w:t>event-encoding bin for all four features</w:t>
            </w:r>
          </w:p>
        </w:tc>
      </w:tr>
      <w:tr>
        <w:trPr>
          <w:cantSplit/>
        </w:trPr>
        <w:tc>
          <w:tcPr>
            <w:tcW w:type="dxa" w:w="3456"/>
          </w:tcPr>
          <w:p>
            <w:pPr>
              <w:keepNext/>
              <w:jc w:val="left"/>
            </w:pPr>
            <w:r/>
            <w:r>
              <w:rPr>
                <w:rFonts w:ascii="Times New Roman" w:hAnsi="Times New Roman"/>
                <w:b w:val="0"/>
                <w:sz w:val="16"/>
              </w:rPr>
              <w:t>Screen tolerance k</w:t>
            </w:r>
          </w:p>
        </w:tc>
        <w:tc>
          <w:tcPr>
            <w:tcW w:type="dxa" w:w="3456"/>
          </w:tcPr>
          <w:p>
            <w:pPr>
              <w:keepNext/>
              <w:jc w:val="center"/>
            </w:pPr>
            <w:r/>
            <w:r>
              <w:rPr>
                <w:rFonts w:ascii="Times New Roman" w:hAnsi="Times New Roman"/>
                <w:b w:val="0"/>
                <w:sz w:val="16"/>
              </w:rPr>
              <w:t>(2, 1, 1)</w:t>
            </w:r>
          </w:p>
        </w:tc>
        <w:tc>
          <w:tcPr>
            <w:tcW w:type="dxa" w:w="3456"/>
          </w:tcPr>
          <w:p>
            <w:pPr>
              <w:keepNext/>
              <w:jc w:val="center"/>
            </w:pPr>
            <w:r/>
            <w:r>
              <w:rPr>
                <w:rFonts w:ascii="Times New Roman" w:hAnsi="Times New Roman"/>
                <w:b w:val="0"/>
                <w:sz w:val="16"/>
              </w:rPr>
              <w:t>pitch ±2 st; duration/IOI ±1 bin; velocity ±1 bin</w:t>
            </w:r>
          </w:p>
        </w:tc>
      </w:tr>
      <w:tr>
        <w:trPr>
          <w:cantSplit/>
        </w:trPr>
        <w:tc>
          <w:tcPr>
            <w:tcW w:type="dxa" w:w="3456"/>
          </w:tcPr>
          <w:p>
            <w:pPr>
              <w:keepNext/>
              <w:jc w:val="left"/>
            </w:pPr>
            <w:r/>
            <w:r>
              <w:rPr>
                <w:rFonts w:ascii="Times New Roman" w:hAnsi="Times New Roman"/>
                <w:b w:val="0"/>
                <w:sz w:val="16"/>
              </w:rPr>
              <w:t>Evidence threshold τ</w:t>
            </w:r>
          </w:p>
        </w:tc>
        <w:tc>
          <w:tcPr>
            <w:tcW w:type="dxa" w:w="3456"/>
          </w:tcPr>
          <w:p>
            <w:pPr>
              <w:keepNext/>
              <w:jc w:val="center"/>
            </w:pPr>
            <w:r/>
            <w:r>
              <w:rPr>
                <w:rFonts w:ascii="Times New Roman" w:hAnsi="Times New Roman"/>
                <w:b w:val="0"/>
                <w:sz w:val="16"/>
              </w:rPr>
              <w:t>⌊0.5·|S(q)|⌋</w:t>
            </w:r>
          </w:p>
        </w:tc>
        <w:tc>
          <w:tcPr>
            <w:tcW w:type="dxa" w:w="3456"/>
          </w:tcPr>
          <w:p>
            <w:pPr>
              <w:keepNext/>
              <w:jc w:val="center"/>
            </w:pPr>
            <w:r/>
            <w:r>
              <w:rPr>
                <w:rFonts w:ascii="Times New Roman" w:hAnsi="Times New Roman"/>
                <w:b w:val="0"/>
                <w:sz w:val="16"/>
              </w:rPr>
              <w:t>screen acceptance per query</w:t>
            </w:r>
          </w:p>
        </w:tc>
      </w:tr>
      <w:tr>
        <w:trPr>
          <w:cantSplit/>
        </w:trPr>
        <w:tc>
          <w:tcPr>
            <w:tcW w:type="dxa" w:w="3456"/>
          </w:tcPr>
          <w:p>
            <w:pPr>
              <w:keepNext/>
              <w:jc w:val="left"/>
            </w:pPr>
            <w:r/>
            <w:r>
              <w:rPr>
                <w:rFonts w:ascii="Times New Roman" w:hAnsi="Times New Roman"/>
                <w:b w:val="0"/>
                <w:sz w:val="16"/>
              </w:rPr>
              <w:t>Confirm tolerance</w:t>
            </w:r>
          </w:p>
        </w:tc>
        <w:tc>
          <w:tcPr>
            <w:tcW w:type="dxa" w:w="3456"/>
          </w:tcPr>
          <w:p>
            <w:pPr>
              <w:keepNext/>
              <w:jc w:val="center"/>
            </w:pPr>
            <w:r/>
            <w:r>
              <w:rPr>
                <w:rFonts w:ascii="Times New Roman" w:hAnsi="Times New Roman"/>
                <w:b w:val="0"/>
                <w:sz w:val="16"/>
              </w:rPr>
              <w:t>(1, 0, 0)</w:t>
            </w:r>
          </w:p>
        </w:tc>
        <w:tc>
          <w:tcPr>
            <w:tcW w:type="dxa" w:w="3456"/>
          </w:tcPr>
          <w:p>
            <w:pPr>
              <w:keepNext/>
              <w:jc w:val="center"/>
            </w:pPr>
            <w:r/>
            <w:r>
              <w:rPr>
                <w:rFonts w:ascii="Times New Roman" w:hAnsi="Times New Roman"/>
                <w:b w:val="0"/>
                <w:sz w:val="16"/>
              </w:rPr>
              <w:t>pitch ±1 st; duration/IOI/velocity exact bins</w:t>
            </w:r>
          </w:p>
        </w:tc>
      </w:tr>
      <w:tr>
        <w:trPr>
          <w:cantSplit/>
        </w:trPr>
        <w:tc>
          <w:tcPr>
            <w:tcW w:type="dxa" w:w="3456"/>
          </w:tcPr>
          <w:p>
            <w:pPr>
              <w:keepNext/>
              <w:jc w:val="left"/>
            </w:pPr>
            <w:r/>
            <w:r>
              <w:rPr>
                <w:rFonts w:ascii="Times New Roman" w:hAnsi="Times New Roman"/>
                <w:b w:val="0"/>
                <w:sz w:val="16"/>
              </w:rPr>
              <w:t>Contiguity ρ</w:t>
            </w:r>
          </w:p>
        </w:tc>
        <w:tc>
          <w:tcPr>
            <w:tcW w:type="dxa" w:w="3456"/>
          </w:tcPr>
          <w:p>
            <w:pPr>
              <w:keepNext/>
              <w:jc w:val="center"/>
            </w:pPr>
            <w:r/>
            <w:r>
              <w:rPr>
                <w:rFonts w:ascii="Times New Roman" w:hAnsi="Times New Roman"/>
                <w:b w:val="0"/>
                <w:sz w:val="16"/>
              </w:rPr>
              <w:t>0.5 (0.4 high-recall)</w:t>
            </w:r>
          </w:p>
        </w:tc>
        <w:tc>
          <w:tcPr>
            <w:tcW w:type="dxa" w:w="3456"/>
          </w:tcPr>
          <w:p>
            <w:pPr>
              <w:keepNext/>
              <w:jc w:val="center"/>
            </w:pPr>
            <w:r/>
            <w:r>
              <w:rPr>
                <w:rFonts w:ascii="Times New Roman" w:hAnsi="Times New Roman"/>
                <w:b w:val="0"/>
                <w:sz w:val="16"/>
              </w:rPr>
              <w:t>confirmation acceptance, |chain| ≥ ρ·q</w:t>
            </w:r>
          </w:p>
        </w:tc>
      </w:tr>
      <w:tr>
        <w:trPr>
          <w:cantSplit/>
        </w:trPr>
        <w:tc>
          <w:tcPr>
            <w:tcW w:type="dxa" w:w="3456"/>
          </w:tcPr>
          <w:p>
            <w:pPr>
              <w:keepNext/>
              <w:jc w:val="left"/>
            </w:pPr>
            <w:r/>
            <w:r>
              <w:rPr>
                <w:rFonts w:ascii="Times New Roman" w:hAnsi="Times New Roman"/>
                <w:b w:val="0"/>
                <w:sz w:val="16"/>
              </w:rPr>
              <w:t>Top-C</w:t>
            </w:r>
          </w:p>
        </w:tc>
        <w:tc>
          <w:tcPr>
            <w:tcW w:type="dxa" w:w="3456"/>
          </w:tcPr>
          <w:p>
            <w:pPr>
              <w:keepNext/>
              <w:jc w:val="center"/>
            </w:pPr>
            <w:r/>
            <w:r>
              <w:rPr>
                <w:rFonts w:ascii="Times New Roman" w:hAnsi="Times New Roman"/>
                <w:b w:val="0"/>
                <w:sz w:val="16"/>
              </w:rPr>
              <w:t>50 (20 ablated)</w:t>
            </w:r>
          </w:p>
        </w:tc>
        <w:tc>
          <w:tcPr>
            <w:tcW w:type="dxa" w:w="3456"/>
          </w:tcPr>
          <w:p>
            <w:pPr>
              <w:keepNext/>
              <w:jc w:val="center"/>
            </w:pPr>
            <w:r/>
            <w:r>
              <w:rPr>
                <w:rFonts w:ascii="Times New Roman" w:hAnsi="Times New Roman"/>
                <w:b w:val="0"/>
                <w:sz w:val="16"/>
              </w:rPr>
              <w:t>candidate feed to confirmation</w:t>
            </w:r>
          </w:p>
        </w:tc>
      </w:tr>
      <w:tr>
        <w:trPr>
          <w:cantSplit/>
        </w:trPr>
        <w:tc>
          <w:tcPr>
            <w:tcW w:type="dxa" w:w="3456"/>
            <w:tcBorders>
              <w:bottom w:val="single" w:sz="12" w:color="000000"/>
            </w:tcBorders>
          </w:tcPr>
          <w:p>
            <w:pPr>
              <w:jc w:val="left"/>
            </w:pPr>
            <w:r/>
            <w:r>
              <w:rPr>
                <w:rFonts w:ascii="Times New Roman" w:hAnsi="Times New Roman"/>
                <w:b w:val="0"/>
                <w:sz w:val="16"/>
              </w:rPr>
              <w:t>Anytime budget B</w:t>
            </w:r>
          </w:p>
        </w:tc>
        <w:tc>
          <w:tcPr>
            <w:tcW w:type="dxa" w:w="3456"/>
            <w:tcBorders>
              <w:bottom w:val="single" w:sz="12" w:color="000000"/>
            </w:tcBorders>
          </w:tcPr>
          <w:p>
            <w:pPr>
              <w:jc w:val="center"/>
            </w:pPr>
            <w:r/>
            <w:r>
              <w:rPr>
                <w:rFonts w:ascii="Times New Roman" w:hAnsi="Times New Roman"/>
                <w:b w:val="0"/>
                <w:sz w:val="16"/>
              </w:rPr>
              <w:t>full (half ablated)</w:t>
            </w:r>
          </w:p>
        </w:tc>
        <w:tc>
          <w:tcPr>
            <w:tcW w:type="dxa" w:w="3456"/>
            <w:tcBorders>
              <w:bottom w:val="single" w:sz="12" w:color="000000"/>
            </w:tcBorders>
          </w:tcPr>
          <w:p>
            <w:pPr>
              <w:jc w:val="center"/>
            </w:pPr>
            <w:r/>
            <w:r>
              <w:rPr>
                <w:rFonts w:ascii="Times New Roman" w:hAnsi="Times New Roman"/>
                <w:b w:val="0"/>
                <w:sz w:val="16"/>
              </w:rPr>
              <w:t>rare-first schedule length</w:t>
            </w:r>
          </w:p>
        </w:tc>
      </w:tr>
    </w:tbl>
    <w:p>
      <w:pPr>
        <w:spacing w:after="40"/>
      </w:pPr>
    </w:p>
    <w:p>
      <w:pPr>
        <w:pStyle w:val="Heading1"/>
      </w:pPr>
      <w:r>
        <w:t>V. RESULTS</w:t>
      </w:r>
    </w:p>
    <w:p>
      <w:pPr>
        <w:pStyle w:val="Heading2"/>
      </w:pPr>
      <w:r>
        <w:t>A. Scale and baseline feasibility</w:t>
      </w:r>
    </w:p>
    <w:p>
      <w:pPr>
        <w:spacing w:after="0"/>
        <w:ind w:firstLine="204"/>
        <w:jc w:val="both"/>
      </w:pPr>
      <w:r>
        <w:t>Fig. 3 reports scaling on subsampled corpora and Table II gives the corresponding numbers. Index build reaches 24.747 s at 174,300 pieces and query latency 41.94 ms (p50), with planted recall 100% at every size. The set-Jaccard scan, the strongest naive baseline, is already 20× slower than the screen at 10k pieces (238 ms vs. 12 ms p50) and infeasible beyond it. MinHash-LSH (128 permutations, 16 bands x 8 rows), the standard accelerated form of the same set-Jaccard semantics, scales gracefully in isolation—173 s of signature construction plus 91 s of bucket building, 587 MB, 6 ms p50 at 174,300 pieces—yet retrieves none of the planted donors at any corpus size (0/47 at tau = 0.10; identical at tau = 0.05 and 0.20): the S-curve of the band configuration activates only above Jaccard ~0.7, while a contained span of 40 items inside a ~700-item query reaches Jaccard ~0.1 at best, so the index answers every query with an empty candidate set. Section V-G analyses this geometry directly on the recall-matrix protocol. Corpus-side FIM enumeration—the engines of our previous work [31], [32]—was measured infeasible at the support levels copying detection requires (over 11 million frequent pairs at N=300 under the standard cutoff), which is precisely why the architecture places FIM semantics on the query side.</w:t>
      </w:r>
    </w:p>
    <w:p>
      <w:pPr>
        <w:keepNext/>
        <w:jc w:val="center"/>
      </w:pPr>
      <w:drawing xmlns:a="http://schemas.openxmlformats.org/drawingml/2006/main" xmlns:pic="http://schemas.openxmlformats.org/drawingml/2006/picture">
        <wp:inline distT="0" distB="0" distL="0" distR="0">
          <wp:extent cx="2880000" cy="2382981"/>
          <wp:effectExtent l="0" t="0" r="0" b="0"/>
          <wp:docPr id="103" name="fig2_scaling.emf"/>
          <wp:cNvGraphicFramePr/>
          <a:graphic>
            <a:graphicData uri="http://schemas.openxmlformats.org/drawingml/2006/picture">
              <pic:pic>
                <pic:nvPicPr>
                  <pic:cNvPr id="0" name="fig2_scaling.emf"/>
                  <pic:cNvPicPr/>
                </pic:nvPicPr>
                <pic:blipFill>
                  <a:blip r:embed="rId35"/>
                  <a:stretch>
                    <a:fillRect/>
                  </a:stretch>
                </pic:blipFill>
                <pic:spPr>
                  <a:xfrm>
                    <a:off x="0" y="0"/>
                    <a:ext cx="2880000" cy="2382981"/>
                  </a:xfrm>
                  <a:prstGeom prst="rect">
                    <a:avLst/>
                  </a:prstGeom>
                </pic:spPr>
              </pic:pic>
            </a:graphicData>
          </a:graphic>
        </wp:inline>
      </w:drawing>
    </w:p>
    <w:p>
      <w:pPr>
        <w:pStyle w:val="FigureCaption"/>
      </w:pPr>
      <w:r>
        <w:rPr>
          <w:sz w:val="19"/>
        </w:rPr>
        <w:t>Fig. 3. Index build and query latency versus corpus size (log-log); planted recall 100% at all sizes; Jaccard scan baseline shown where feasible; MinHash-LSH is fast at every size but retrieves nothing (V-G).</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pStyle w:val="TableTitle"/>
        <w:keepNext/>
      </w:pPr>
      <w:r>
        <w:t>TABLE II.</w:t>
      </w:r>
    </w:p>
    <w:p>
      <w:pPr>
        <w:pStyle w:val="TableTitle"/>
        <w:keepNext/>
      </w:pPr>
      <w:r>
        <w:t>Index scaling and baseline feasibility; Jaccard scan infeasible beyond 10,000 pieces; MinHash-LSH (128 permutations, 16 bands x 8 rows, tau = 0.10) returns empty candidate sets at every size.</w:t>
      </w:r>
    </w:p>
    <w:tbl>
      <w:tblPr>
        <w:tblW w:type="auto" w:w="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rPr>
          <w:cantSplit/>
        </w:trPr>
        <w:tc>
          <w:tcPr>
            <w:tcW w:type="dxa" w:w="1152"/>
            <w:tcBorders>
              <w:top w:val="single" w:sz="12" w:color="000000"/>
              <w:bottom w:val="single" w:sz="6" w:color="000000"/>
            </w:tcBorders>
          </w:tcPr>
          <w:p>
            <w:pPr>
              <w:keepNext/>
              <w:jc w:val="left"/>
            </w:pPr>
            <w:r/>
            <w:r>
              <w:rPr>
                <w:rFonts w:ascii="Times New Roman" w:hAnsi="Times New Roman"/>
                <w:b/>
                <w:sz w:val="16"/>
              </w:rPr>
              <w:t>Pieces</w:t>
            </w:r>
          </w:p>
        </w:tc>
        <w:tc>
          <w:tcPr>
            <w:tcW w:type="dxa" w:w="1152"/>
            <w:tcBorders>
              <w:top w:val="single" w:sz="12" w:color="000000"/>
              <w:bottom w:val="single" w:sz="6" w:color="000000"/>
            </w:tcBorders>
          </w:tcPr>
          <w:p>
            <w:pPr>
              <w:keepNext/>
              <w:jc w:val="center"/>
            </w:pPr>
            <w:r/>
            <w:r>
              <w:rPr>
                <w:rFonts w:ascii="Times New Roman" w:hAnsi="Times New Roman"/>
                <w:b/>
                <w:sz w:val="16"/>
              </w:rPr>
              <w:t>Build (s)</w:t>
            </w:r>
          </w:p>
        </w:tc>
        <w:tc>
          <w:tcPr>
            <w:tcW w:type="dxa" w:w="1152"/>
            <w:tcBorders>
              <w:top w:val="single" w:sz="12" w:color="000000"/>
              <w:bottom w:val="single" w:sz="6" w:color="000000"/>
            </w:tcBorders>
          </w:tcPr>
          <w:p>
            <w:pPr>
              <w:keepNext/>
              <w:jc w:val="center"/>
            </w:pPr>
            <w:r/>
            <w:r>
              <w:rPr>
                <w:rFonts w:ascii="Times New Roman" w:hAnsi="Times New Roman"/>
                <w:b/>
                <w:sz w:val="16"/>
              </w:rPr>
              <w:t>Mem (MB)</w:t>
            </w:r>
          </w:p>
        </w:tc>
        <w:tc>
          <w:tcPr>
            <w:tcW w:type="dxa" w:w="1152"/>
            <w:tcBorders>
              <w:top w:val="single" w:sz="12" w:color="000000"/>
              <w:bottom w:val="single" w:sz="6" w:color="000000"/>
            </w:tcBorders>
          </w:tcPr>
          <w:p>
            <w:pPr>
              <w:keepNext/>
              <w:jc w:val="center"/>
            </w:pPr>
            <w:r/>
            <w:r>
              <w:rPr>
                <w:rFonts w:ascii="Times New Roman" w:hAnsi="Times New Roman"/>
                <w:b/>
                <w:sz w:val="16"/>
              </w:rPr>
              <w:t>p50 (ms)</w:t>
            </w:r>
          </w:p>
        </w:tc>
        <w:tc>
          <w:tcPr>
            <w:tcW w:type="dxa" w:w="1152"/>
            <w:tcBorders>
              <w:top w:val="single" w:sz="12" w:color="000000"/>
              <w:bottom w:val="single" w:sz="6" w:color="000000"/>
            </w:tcBorders>
          </w:tcPr>
          <w:p>
            <w:pPr>
              <w:keepNext/>
              <w:jc w:val="center"/>
            </w:pPr>
            <w:r/>
            <w:r>
              <w:rPr>
                <w:rFonts w:ascii="Times New Roman" w:hAnsi="Times New Roman"/>
                <w:b/>
                <w:sz w:val="16"/>
              </w:rPr>
              <w:t>p95 (ms)</w:t>
            </w:r>
          </w:p>
        </w:tc>
        <w:tc>
          <w:tcPr>
            <w:tcW w:type="dxa" w:w="1152"/>
            <w:tcBorders>
              <w:top w:val="single" w:sz="12" w:color="000000"/>
              <w:bottom w:val="single" w:sz="6" w:color="000000"/>
            </w:tcBorders>
          </w:tcPr>
          <w:p>
            <w:pPr>
              <w:keepNext/>
              <w:jc w:val="center"/>
            </w:pPr>
            <w:r/>
            <w:r>
              <w:rPr>
                <w:rFonts w:ascii="Times New Roman" w:hAnsi="Times New Roman"/>
                <w:b/>
                <w:sz w:val="16"/>
              </w:rPr>
              <w:t>Planted recall</w:t>
            </w:r>
          </w:p>
        </w:tc>
        <w:tc>
          <w:tcPr>
            <w:tcW w:type="dxa" w:w="1152"/>
            <w:tcBorders>
              <w:top w:val="single" w:sz="12" w:color="000000"/>
              <w:bottom w:val="single" w:sz="6" w:color="000000"/>
            </w:tcBorders>
          </w:tcPr>
          <w:p>
            <w:pPr>
              <w:keepNext/>
              <w:jc w:val="center"/>
            </w:pPr>
            <w:r/>
            <w:r>
              <w:rPr>
                <w:rFonts w:ascii="Times New Roman" w:hAnsi="Times New Roman"/>
                <w:b/>
                <w:sz w:val="16"/>
              </w:rPr>
              <w:t>Jaccard p50 (ms)</w:t>
            </w:r>
          </w:p>
        </w:tc>
        <w:tc>
          <w:tcPr>
            <w:tcW w:type="dxa" w:w="1152"/>
            <w:tcBorders>
              <w:top w:val="single" w:sz="12" w:color="000000"/>
              <w:bottom w:val="single" w:sz="6" w:color="000000"/>
            </w:tcBorders>
          </w:tcPr>
          <w:p>
            <w:pPr>
              <w:keepNext/>
              <w:jc w:val="center"/>
            </w:pPr>
            <w:r/>
            <w:r>
              <w:rPr>
                <w:rFonts w:ascii="Times New Roman" w:hAnsi="Times New Roman"/>
                <w:b/>
                <w:sz w:val="16"/>
              </w:rPr>
              <w:t>LSH p50 (ms)</w:t>
            </w:r>
          </w:p>
        </w:tc>
        <w:tc>
          <w:tcPr>
            <w:tcW w:type="dxa" w:w="1152"/>
            <w:tcBorders>
              <w:top w:val="single" w:sz="12" w:color="000000"/>
              <w:bottom w:val="single" w:sz="6" w:color="000000"/>
            </w:tcBorders>
          </w:tcPr>
          <w:p>
            <w:pPr>
              <w:keepNext/>
              <w:jc w:val="center"/>
            </w:pPr>
            <w:r/>
            <w:r>
              <w:rPr>
                <w:rFonts w:ascii="Times New Roman" w:hAnsi="Times New Roman"/>
                <w:b/>
                <w:sz w:val="16"/>
              </w:rPr>
              <w:t>LSH recall</w:t>
            </w:r>
          </w:p>
        </w:tc>
      </w:tr>
      <w:tr>
        <w:trPr>
          <w:cantSplit/>
        </w:trPr>
        <w:tc>
          <w:tcPr>
            <w:tcW w:type="dxa" w:w="1152"/>
          </w:tcPr>
          <w:p>
            <w:pPr>
              <w:keepNext/>
              <w:jc w:val="left"/>
            </w:pPr>
            <w:r/>
            <w:r>
              <w:rPr>
                <w:rFonts w:ascii="Times New Roman" w:hAnsi="Times New Roman"/>
                <w:b w:val="0"/>
                <w:sz w:val="16"/>
              </w:rPr>
              <w:t>1,000</w:t>
            </w:r>
          </w:p>
        </w:tc>
        <w:tc>
          <w:tcPr>
            <w:tcW w:type="dxa" w:w="1152"/>
          </w:tcPr>
          <w:p>
            <w:pPr>
              <w:keepNext/>
              <w:jc w:val="center"/>
            </w:pPr>
            <w:r/>
            <w:r>
              <w:rPr>
                <w:rFonts w:ascii="Times New Roman" w:hAnsi="Times New Roman"/>
                <w:b w:val="0"/>
                <w:sz w:val="16"/>
              </w:rPr>
              <w:t>0.38</w:t>
            </w:r>
          </w:p>
        </w:tc>
        <w:tc>
          <w:tcPr>
            <w:tcW w:type="dxa" w:w="1152"/>
          </w:tcPr>
          <w:p>
            <w:pPr>
              <w:keepNext/>
              <w:jc w:val="center"/>
            </w:pPr>
            <w:r/>
            <w:r>
              <w:rPr>
                <w:rFonts w:ascii="Times New Roman" w:hAnsi="Times New Roman"/>
                <w:b w:val="0"/>
                <w:sz w:val="16"/>
              </w:rPr>
              <w:t>15</w:t>
            </w:r>
          </w:p>
        </w:tc>
        <w:tc>
          <w:tcPr>
            <w:tcW w:type="dxa" w:w="1152"/>
          </w:tcPr>
          <w:p>
            <w:pPr>
              <w:keepNext/>
              <w:jc w:val="center"/>
            </w:pPr>
            <w:r/>
            <w:r>
              <w:rPr>
                <w:rFonts w:ascii="Times New Roman" w:hAnsi="Times New Roman"/>
                <w:b w:val="0"/>
                <w:sz w:val="16"/>
              </w:rPr>
              <w:t>0.0</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47/47</w:t>
            </w:r>
          </w:p>
        </w:tc>
        <w:tc>
          <w:tcPr>
            <w:tcW w:type="dxa" w:w="1152"/>
          </w:tcPr>
          <w:p>
            <w:pPr>
              <w:keepNext/>
              <w:jc w:val="center"/>
            </w:pPr>
            <w:r/>
            <w:r>
              <w:rPr>
                <w:rFonts w:ascii="Times New Roman" w:hAnsi="Times New Roman"/>
                <w:b w:val="0"/>
                <w:sz w:val="16"/>
              </w:rPr>
              <w:t>5</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0/46</w:t>
            </w:r>
          </w:p>
        </w:tc>
      </w:tr>
      <w:tr>
        <w:trPr>
          <w:cantSplit/>
        </w:trPr>
        <w:tc>
          <w:tcPr>
            <w:tcW w:type="dxa" w:w="1152"/>
          </w:tcPr>
          <w:p>
            <w:pPr>
              <w:keepNext/>
              <w:jc w:val="left"/>
            </w:pPr>
            <w:r/>
            <w:r>
              <w:rPr>
                <w:rFonts w:ascii="Times New Roman" w:hAnsi="Times New Roman"/>
                <w:b w:val="0"/>
                <w:sz w:val="16"/>
              </w:rPr>
              <w:t>3,000</w:t>
            </w:r>
          </w:p>
        </w:tc>
        <w:tc>
          <w:tcPr>
            <w:tcW w:type="dxa" w:w="1152"/>
          </w:tcPr>
          <w:p>
            <w:pPr>
              <w:keepNext/>
              <w:jc w:val="center"/>
            </w:pPr>
            <w:r/>
            <w:r>
              <w:rPr>
                <w:rFonts w:ascii="Times New Roman" w:hAnsi="Times New Roman"/>
                <w:b w:val="0"/>
                <w:sz w:val="16"/>
              </w:rPr>
              <w:t>0.71</w:t>
            </w:r>
          </w:p>
        </w:tc>
        <w:tc>
          <w:tcPr>
            <w:tcW w:type="dxa" w:w="1152"/>
          </w:tcPr>
          <w:p>
            <w:pPr>
              <w:keepNext/>
              <w:jc w:val="center"/>
            </w:pPr>
            <w:r/>
            <w:r>
              <w:rPr>
                <w:rFonts w:ascii="Times New Roman" w:hAnsi="Times New Roman"/>
                <w:b w:val="0"/>
                <w:sz w:val="16"/>
              </w:rPr>
              <w:t>33</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2.0</w:t>
            </w:r>
          </w:p>
        </w:tc>
        <w:tc>
          <w:tcPr>
            <w:tcW w:type="dxa" w:w="1152"/>
          </w:tcPr>
          <w:p>
            <w:pPr>
              <w:keepNext/>
              <w:jc w:val="center"/>
            </w:pPr>
            <w:r/>
            <w:r>
              <w:rPr>
                <w:rFonts w:ascii="Times New Roman" w:hAnsi="Times New Roman"/>
                <w:b w:val="0"/>
                <w:sz w:val="16"/>
              </w:rPr>
              <w:t>46/46</w:t>
            </w:r>
          </w:p>
        </w:tc>
        <w:tc>
          <w:tcPr>
            <w:tcW w:type="dxa" w:w="1152"/>
          </w:tcPr>
          <w:p>
            <w:pPr>
              <w:keepNext/>
              <w:jc w:val="center"/>
            </w:pPr>
            <w:r/>
            <w:r>
              <w:rPr>
                <w:rFonts w:ascii="Times New Roman" w:hAnsi="Times New Roman"/>
                <w:b w:val="0"/>
                <w:sz w:val="16"/>
              </w:rPr>
              <w:t>20</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0/45</w:t>
            </w:r>
          </w:p>
        </w:tc>
      </w:tr>
      <w:tr>
        <w:trPr>
          <w:cantSplit/>
        </w:trPr>
        <w:tc>
          <w:tcPr>
            <w:tcW w:type="dxa" w:w="1152"/>
          </w:tcPr>
          <w:p>
            <w:pPr>
              <w:keepNext/>
              <w:jc w:val="left"/>
            </w:pPr>
            <w:r/>
            <w:r>
              <w:rPr>
                <w:rFonts w:ascii="Times New Roman" w:hAnsi="Times New Roman"/>
                <w:b w:val="0"/>
                <w:sz w:val="16"/>
              </w:rPr>
              <w:t>10,000</w:t>
            </w:r>
          </w:p>
        </w:tc>
        <w:tc>
          <w:tcPr>
            <w:tcW w:type="dxa" w:w="1152"/>
          </w:tcPr>
          <w:p>
            <w:pPr>
              <w:keepNext/>
              <w:jc w:val="center"/>
            </w:pPr>
            <w:r/>
            <w:r>
              <w:rPr>
                <w:rFonts w:ascii="Times New Roman" w:hAnsi="Times New Roman"/>
                <w:b w:val="0"/>
                <w:sz w:val="16"/>
              </w:rPr>
              <w:t>8.01</w:t>
            </w:r>
          </w:p>
        </w:tc>
        <w:tc>
          <w:tcPr>
            <w:tcW w:type="dxa" w:w="1152"/>
          </w:tcPr>
          <w:p>
            <w:pPr>
              <w:keepNext/>
              <w:jc w:val="center"/>
            </w:pPr>
            <w:r/>
            <w:r>
              <w:rPr>
                <w:rFonts w:ascii="Times New Roman" w:hAnsi="Times New Roman"/>
                <w:b w:val="0"/>
                <w:sz w:val="16"/>
              </w:rPr>
              <w:t>77</w:t>
            </w:r>
          </w:p>
        </w:tc>
        <w:tc>
          <w:tcPr>
            <w:tcW w:type="dxa" w:w="1152"/>
          </w:tcPr>
          <w:p>
            <w:pPr>
              <w:keepNext/>
              <w:jc w:val="center"/>
            </w:pPr>
            <w:r/>
            <w:r>
              <w:rPr>
                <w:rFonts w:ascii="Times New Roman" w:hAnsi="Times New Roman"/>
                <w:b w:val="0"/>
                <w:sz w:val="16"/>
              </w:rPr>
              <w:t>12.0</w:t>
            </w:r>
          </w:p>
        </w:tc>
        <w:tc>
          <w:tcPr>
            <w:tcW w:type="dxa" w:w="1152"/>
          </w:tcPr>
          <w:p>
            <w:pPr>
              <w:keepNext/>
              <w:jc w:val="center"/>
            </w:pPr>
            <w:r/>
            <w:r>
              <w:rPr>
                <w:rFonts w:ascii="Times New Roman" w:hAnsi="Times New Roman"/>
                <w:b w:val="0"/>
                <w:sz w:val="16"/>
              </w:rPr>
              <w:t>25.0</w:t>
            </w:r>
          </w:p>
        </w:tc>
        <w:tc>
          <w:tcPr>
            <w:tcW w:type="dxa" w:w="1152"/>
          </w:tcPr>
          <w:p>
            <w:pPr>
              <w:keepNext/>
              <w:jc w:val="center"/>
            </w:pPr>
            <w:r/>
            <w:r>
              <w:rPr>
                <w:rFonts w:ascii="Times New Roman" w:hAnsi="Times New Roman"/>
                <w:b w:val="0"/>
                <w:sz w:val="16"/>
              </w:rPr>
              <w:t>42/42</w:t>
            </w:r>
          </w:p>
        </w:tc>
        <w:tc>
          <w:tcPr>
            <w:tcW w:type="dxa" w:w="1152"/>
          </w:tcPr>
          <w:p>
            <w:pPr>
              <w:keepNext/>
              <w:jc w:val="center"/>
            </w:pPr>
            <w:r/>
            <w:r>
              <w:rPr>
                <w:rFonts w:ascii="Times New Roman" w:hAnsi="Times New Roman"/>
                <w:b w:val="0"/>
                <w:sz w:val="16"/>
              </w:rPr>
              <w:t>238</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0/48</w:t>
            </w:r>
          </w:p>
        </w:tc>
      </w:tr>
      <w:tr>
        <w:trPr>
          <w:cantSplit/>
        </w:trPr>
        <w:tc>
          <w:tcPr>
            <w:tcW w:type="dxa" w:w="1152"/>
          </w:tcPr>
          <w:p>
            <w:pPr>
              <w:keepNext/>
              <w:jc w:val="left"/>
            </w:pPr>
            <w:r/>
            <w:r>
              <w:rPr>
                <w:rFonts w:ascii="Times New Roman" w:hAnsi="Times New Roman"/>
                <w:b w:val="0"/>
                <w:sz w:val="16"/>
              </w:rPr>
              <w:t>25,357</w:t>
            </w:r>
          </w:p>
        </w:tc>
        <w:tc>
          <w:tcPr>
            <w:tcW w:type="dxa" w:w="1152"/>
          </w:tcPr>
          <w:p>
            <w:pPr>
              <w:keepNext/>
              <w:jc w:val="center"/>
            </w:pPr>
            <w:r/>
            <w:r>
              <w:rPr>
                <w:rFonts w:ascii="Times New Roman" w:hAnsi="Times New Roman"/>
                <w:b w:val="0"/>
                <w:sz w:val="16"/>
              </w:rPr>
              <w:t>3.48</w:t>
            </w:r>
          </w:p>
        </w:tc>
        <w:tc>
          <w:tcPr>
            <w:tcW w:type="dxa" w:w="1152"/>
          </w:tcPr>
          <w:p>
            <w:pPr>
              <w:keepNext/>
              <w:jc w:val="center"/>
            </w:pPr>
            <w:r/>
            <w:r>
              <w:rPr>
                <w:rFonts w:ascii="Times New Roman" w:hAnsi="Times New Roman"/>
                <w:b w:val="0"/>
                <w:sz w:val="16"/>
              </w:rPr>
              <w:t>178</w:t>
            </w:r>
          </w:p>
        </w:tc>
        <w:tc>
          <w:tcPr>
            <w:tcW w:type="dxa" w:w="1152"/>
          </w:tcPr>
          <w:p>
            <w:pPr>
              <w:keepNext/>
              <w:jc w:val="center"/>
            </w:pPr>
            <w:r/>
            <w:r>
              <w:rPr>
                <w:rFonts w:ascii="Times New Roman" w:hAnsi="Times New Roman"/>
                <w:b w:val="0"/>
                <w:sz w:val="16"/>
              </w:rPr>
              <w:t>6.0</w:t>
            </w:r>
          </w:p>
        </w:tc>
        <w:tc>
          <w:tcPr>
            <w:tcW w:type="dxa" w:w="1152"/>
          </w:tcPr>
          <w:p>
            <w:pPr>
              <w:keepNext/>
              <w:jc w:val="center"/>
            </w:pPr>
            <w:r/>
            <w:r>
              <w:rPr>
                <w:rFonts w:ascii="Times New Roman" w:hAnsi="Times New Roman"/>
                <w:b w:val="0"/>
                <w:sz w:val="16"/>
              </w:rPr>
              <w:t>12.0</w:t>
            </w:r>
          </w:p>
        </w:tc>
        <w:tc>
          <w:tcPr>
            <w:tcW w:type="dxa" w:w="1152"/>
          </w:tcPr>
          <w:p>
            <w:pPr>
              <w:keepNext/>
              <w:jc w:val="center"/>
            </w:pPr>
            <w:r/>
            <w:r>
              <w:rPr>
                <w:rFonts w:ascii="Times New Roman" w:hAnsi="Times New Roman"/>
                <w:b w:val="0"/>
                <w:sz w:val="16"/>
              </w:rPr>
              <w:t>48/48</w:t>
            </w:r>
          </w:p>
        </w:tc>
        <w:tc>
          <w:tcPr>
            <w:tcW w:type="dxa" w:w="1152"/>
          </w:tcPr>
          <w:p>
            <w:pPr>
              <w:keepNext/>
              <w:jc w:val="center"/>
            </w:pPr>
            <w:r/>
            <w:r>
              <w:rPr>
                <w:rFonts w:ascii="Times New Roman" w:hAnsi="Times New Roman"/>
                <w:b w:val="0"/>
                <w:sz w:val="16"/>
              </w:rPr>
              <w:t>infeasible</w:t>
            </w:r>
          </w:p>
        </w:tc>
        <w:tc>
          <w:tcPr>
            <w:tcW w:type="dxa" w:w="1152"/>
          </w:tcPr>
          <w:p>
            <w:pPr>
              <w:keepNext/>
              <w:jc w:val="center"/>
            </w:pPr>
            <w:r/>
            <w:r>
              <w:rPr>
                <w:rFonts w:ascii="Times New Roman" w:hAnsi="Times New Roman"/>
                <w:b w:val="0"/>
                <w:sz w:val="16"/>
              </w:rPr>
              <w:t>2.0</w:t>
            </w:r>
          </w:p>
        </w:tc>
        <w:tc>
          <w:tcPr>
            <w:tcW w:type="dxa" w:w="1152"/>
          </w:tcPr>
          <w:p>
            <w:pPr>
              <w:keepNext/>
              <w:jc w:val="center"/>
            </w:pPr>
            <w:r/>
            <w:r>
              <w:rPr>
                <w:rFonts w:ascii="Times New Roman" w:hAnsi="Times New Roman"/>
                <w:b w:val="0"/>
                <w:sz w:val="16"/>
              </w:rPr>
              <w:t>0/45</w:t>
            </w:r>
          </w:p>
        </w:tc>
      </w:tr>
      <w:tr>
        <w:trPr>
          <w:cantSplit/>
        </w:trPr>
        <w:tc>
          <w:tcPr>
            <w:tcW w:type="dxa" w:w="1152"/>
          </w:tcPr>
          <w:p>
            <w:pPr>
              <w:keepNext/>
              <w:jc w:val="left"/>
            </w:pPr>
            <w:r/>
            <w:r>
              <w:rPr>
                <w:rFonts w:ascii="Times New Roman" w:hAnsi="Times New Roman"/>
                <w:b w:val="0"/>
                <w:sz w:val="16"/>
              </w:rPr>
              <w:t>30,000</w:t>
            </w:r>
          </w:p>
        </w:tc>
        <w:tc>
          <w:tcPr>
            <w:tcW w:type="dxa" w:w="1152"/>
          </w:tcPr>
          <w:p>
            <w:pPr>
              <w:keepNext/>
              <w:jc w:val="center"/>
            </w:pPr>
            <w:r/>
            <w:r>
              <w:rPr>
                <w:rFonts w:ascii="Times New Roman" w:hAnsi="Times New Roman"/>
                <w:b w:val="0"/>
                <w:sz w:val="16"/>
              </w:rPr>
              <w:t>4.45</w:t>
            </w:r>
          </w:p>
        </w:tc>
        <w:tc>
          <w:tcPr>
            <w:tcW w:type="dxa" w:w="1152"/>
          </w:tcPr>
          <w:p>
            <w:pPr>
              <w:keepNext/>
              <w:jc w:val="center"/>
            </w:pPr>
            <w:r/>
            <w:r>
              <w:rPr>
                <w:rFonts w:ascii="Times New Roman" w:hAnsi="Times New Roman"/>
                <w:b w:val="0"/>
                <w:sz w:val="16"/>
              </w:rPr>
              <w:t>205</w:t>
            </w:r>
          </w:p>
        </w:tc>
        <w:tc>
          <w:tcPr>
            <w:tcW w:type="dxa" w:w="1152"/>
          </w:tcPr>
          <w:p>
            <w:pPr>
              <w:keepNext/>
              <w:jc w:val="center"/>
            </w:pPr>
            <w:r/>
            <w:r>
              <w:rPr>
                <w:rFonts w:ascii="Times New Roman" w:hAnsi="Times New Roman"/>
                <w:b w:val="0"/>
                <w:sz w:val="16"/>
              </w:rPr>
              <w:t>7.5</w:t>
            </w:r>
          </w:p>
        </w:tc>
        <w:tc>
          <w:tcPr>
            <w:tcW w:type="dxa" w:w="1152"/>
          </w:tcPr>
          <w:p>
            <w:pPr>
              <w:keepNext/>
              <w:jc w:val="center"/>
            </w:pPr>
            <w:r/>
            <w:r>
              <w:rPr>
                <w:rFonts w:ascii="Times New Roman" w:hAnsi="Times New Roman"/>
                <w:b w:val="0"/>
                <w:sz w:val="16"/>
              </w:rPr>
              <w:t>16.2</w:t>
            </w:r>
          </w:p>
        </w:tc>
        <w:tc>
          <w:tcPr>
            <w:tcW w:type="dxa" w:w="1152"/>
          </w:tcPr>
          <w:p>
            <w:pPr>
              <w:keepNext/>
              <w:jc w:val="center"/>
            </w:pPr>
            <w:r/>
            <w:r>
              <w:rPr>
                <w:rFonts w:ascii="Times New Roman" w:hAnsi="Times New Roman"/>
                <w:b w:val="0"/>
                <w:sz w:val="16"/>
              </w:rPr>
              <w:t>37/37</w:t>
            </w:r>
          </w:p>
        </w:tc>
        <w:tc>
          <w:tcPr>
            <w:tcW w:type="dxa" w:w="1152"/>
          </w:tcPr>
          <w:p>
            <w:pPr>
              <w:keepNext/>
              <w:jc w:val="center"/>
            </w:pPr>
            <w:r/>
            <w:r>
              <w:rPr>
                <w:rFonts w:ascii="Times New Roman" w:hAnsi="Times New Roman"/>
                <w:b w:val="0"/>
                <w:sz w:val="16"/>
              </w:rPr>
              <w:t>infeasible</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0/47</w:t>
            </w:r>
          </w:p>
        </w:tc>
      </w:tr>
      <w:tr>
        <w:trPr>
          <w:cantSplit/>
        </w:trPr>
        <w:tc>
          <w:tcPr>
            <w:tcW w:type="dxa" w:w="1152"/>
          </w:tcPr>
          <w:p>
            <w:pPr>
              <w:keepNext/>
              <w:jc w:val="left"/>
            </w:pPr>
            <w:r/>
            <w:r>
              <w:rPr>
                <w:rFonts w:ascii="Times New Roman" w:hAnsi="Times New Roman"/>
                <w:b w:val="0"/>
                <w:sz w:val="16"/>
              </w:rPr>
              <w:t>44,371</w:t>
            </w:r>
          </w:p>
        </w:tc>
        <w:tc>
          <w:tcPr>
            <w:tcW w:type="dxa" w:w="1152"/>
          </w:tcPr>
          <w:p>
            <w:pPr>
              <w:keepNext/>
              <w:jc w:val="center"/>
            </w:pPr>
            <w:r/>
            <w:r>
              <w:rPr>
                <w:rFonts w:ascii="Times New Roman" w:hAnsi="Times New Roman"/>
                <w:b w:val="0"/>
                <w:sz w:val="16"/>
              </w:rPr>
              <w:t>6.25</w:t>
            </w:r>
          </w:p>
        </w:tc>
        <w:tc>
          <w:tcPr>
            <w:tcW w:type="dxa" w:w="1152"/>
          </w:tcPr>
          <w:p>
            <w:pPr>
              <w:keepNext/>
              <w:jc w:val="center"/>
            </w:pPr>
            <w:r/>
            <w:r>
              <w:rPr>
                <w:rFonts w:ascii="Times New Roman" w:hAnsi="Times New Roman"/>
                <w:b w:val="0"/>
                <w:sz w:val="16"/>
              </w:rPr>
              <w:t>290</w:t>
            </w:r>
          </w:p>
        </w:tc>
        <w:tc>
          <w:tcPr>
            <w:tcW w:type="dxa" w:w="1152"/>
          </w:tcPr>
          <w:p>
            <w:pPr>
              <w:keepNext/>
              <w:jc w:val="center"/>
            </w:pPr>
            <w:r/>
            <w:r>
              <w:rPr>
                <w:rFonts w:ascii="Times New Roman" w:hAnsi="Times New Roman"/>
                <w:b w:val="0"/>
                <w:sz w:val="16"/>
              </w:rPr>
              <w:t>10.9</w:t>
            </w:r>
          </w:p>
        </w:tc>
        <w:tc>
          <w:tcPr>
            <w:tcW w:type="dxa" w:w="1152"/>
          </w:tcPr>
          <w:p>
            <w:pPr>
              <w:keepNext/>
              <w:jc w:val="center"/>
            </w:pPr>
            <w:r/>
            <w:r>
              <w:rPr>
                <w:rFonts w:ascii="Times New Roman" w:hAnsi="Times New Roman"/>
                <w:b w:val="0"/>
                <w:sz w:val="16"/>
              </w:rPr>
              <w:t>25.7</w:t>
            </w:r>
          </w:p>
        </w:tc>
        <w:tc>
          <w:tcPr>
            <w:tcW w:type="dxa" w:w="1152"/>
          </w:tcPr>
          <w:p>
            <w:pPr>
              <w:keepNext/>
              <w:jc w:val="center"/>
            </w:pPr>
            <w:r/>
            <w:r>
              <w:rPr>
                <w:rFonts w:ascii="Times New Roman" w:hAnsi="Times New Roman"/>
                <w:b w:val="0"/>
                <w:sz w:val="16"/>
              </w:rPr>
              <w:t>34/34</w:t>
            </w:r>
          </w:p>
        </w:tc>
        <w:tc>
          <w:tcPr>
            <w:tcW w:type="dxa" w:w="1152"/>
          </w:tcPr>
          <w:p>
            <w:pPr>
              <w:keepNext/>
              <w:jc w:val="center"/>
            </w:pPr>
            <w:r/>
            <w:r>
              <w:rPr>
                <w:rFonts w:ascii="Times New Roman" w:hAnsi="Times New Roman"/>
                <w:b w:val="0"/>
                <w:sz w:val="16"/>
              </w:rPr>
              <w:t>infeasible</w:t>
            </w:r>
          </w:p>
        </w:tc>
        <w:tc>
          <w:tcPr>
            <w:tcW w:type="dxa" w:w="1152"/>
          </w:tcPr>
          <w:p>
            <w:pPr>
              <w:keepNext/>
              <w:jc w:val="center"/>
            </w:pPr>
            <w:r/>
            <w:r>
              <w:rPr>
                <w:rFonts w:ascii="Times New Roman" w:hAnsi="Times New Roman"/>
                <w:b w:val="0"/>
                <w:sz w:val="16"/>
              </w:rPr>
              <w:t>5.0</w:t>
            </w:r>
          </w:p>
        </w:tc>
        <w:tc>
          <w:tcPr>
            <w:tcW w:type="dxa" w:w="1152"/>
          </w:tcPr>
          <w:p>
            <w:pPr>
              <w:keepNext/>
              <w:jc w:val="center"/>
            </w:pPr>
            <w:r/>
            <w:r>
              <w:rPr>
                <w:rFonts w:ascii="Times New Roman" w:hAnsi="Times New Roman"/>
                <w:b w:val="0"/>
                <w:sz w:val="16"/>
              </w:rPr>
              <w:t>0/46</w:t>
            </w:r>
          </w:p>
        </w:tc>
      </w:tr>
      <w:tr>
        <w:trPr>
          <w:cantSplit/>
        </w:trPr>
        <w:tc>
          <w:tcPr>
            <w:tcW w:type="dxa" w:w="1152"/>
          </w:tcPr>
          <w:p>
            <w:pPr>
              <w:keepNext/>
              <w:jc w:val="left"/>
            </w:pPr>
            <w:r/>
            <w:r>
              <w:rPr>
                <w:rFonts w:ascii="Times New Roman" w:hAnsi="Times New Roman"/>
                <w:b w:val="0"/>
                <w:sz w:val="16"/>
              </w:rPr>
              <w:t>50,000</w:t>
            </w:r>
          </w:p>
        </w:tc>
        <w:tc>
          <w:tcPr>
            <w:tcW w:type="dxa" w:w="1152"/>
          </w:tcPr>
          <w:p>
            <w:pPr>
              <w:keepNext/>
              <w:jc w:val="center"/>
            </w:pPr>
            <w:r/>
            <w:r>
              <w:rPr>
                <w:rFonts w:ascii="Times New Roman" w:hAnsi="Times New Roman"/>
                <w:b w:val="0"/>
                <w:sz w:val="16"/>
              </w:rPr>
              <w:t>20.02</w:t>
            </w:r>
          </w:p>
        </w:tc>
        <w:tc>
          <w:tcPr>
            <w:tcW w:type="dxa" w:w="1152"/>
          </w:tcPr>
          <w:p>
            <w:pPr>
              <w:keepNext/>
              <w:jc w:val="center"/>
            </w:pPr>
            <w:r/>
            <w:r>
              <w:rPr>
                <w:rFonts w:ascii="Times New Roman" w:hAnsi="Times New Roman"/>
                <w:b w:val="0"/>
                <w:sz w:val="16"/>
              </w:rPr>
              <w:t>323</w:t>
            </w:r>
          </w:p>
        </w:tc>
        <w:tc>
          <w:tcPr>
            <w:tcW w:type="dxa" w:w="1152"/>
          </w:tcPr>
          <w:p>
            <w:pPr>
              <w:keepNext/>
              <w:jc w:val="center"/>
            </w:pPr>
            <w:r/>
            <w:r>
              <w:rPr>
                <w:rFonts w:ascii="Times New Roman" w:hAnsi="Times New Roman"/>
                <w:b w:val="0"/>
                <w:sz w:val="16"/>
              </w:rPr>
              <w:t>63.9</w:t>
            </w:r>
          </w:p>
        </w:tc>
        <w:tc>
          <w:tcPr>
            <w:tcW w:type="dxa" w:w="1152"/>
          </w:tcPr>
          <w:p>
            <w:pPr>
              <w:keepNext/>
              <w:jc w:val="center"/>
            </w:pPr>
            <w:r/>
            <w:r>
              <w:rPr>
                <w:rFonts w:ascii="Times New Roman" w:hAnsi="Times New Roman"/>
                <w:b w:val="0"/>
                <w:sz w:val="16"/>
              </w:rPr>
              <w:t>86.4</w:t>
            </w:r>
          </w:p>
        </w:tc>
        <w:tc>
          <w:tcPr>
            <w:tcW w:type="dxa" w:w="1152"/>
          </w:tcPr>
          <w:p>
            <w:pPr>
              <w:keepNext/>
              <w:jc w:val="center"/>
            </w:pPr>
            <w:r/>
            <w:r>
              <w:rPr>
                <w:rFonts w:ascii="Times New Roman" w:hAnsi="Times New Roman"/>
                <w:b w:val="0"/>
                <w:sz w:val="16"/>
              </w:rPr>
              <w:t>29/29</w:t>
            </w:r>
          </w:p>
        </w:tc>
        <w:tc>
          <w:tcPr>
            <w:tcW w:type="dxa" w:w="1152"/>
          </w:tcPr>
          <w:p>
            <w:pPr>
              <w:keepNext/>
              <w:jc w:val="center"/>
            </w:pPr>
            <w:r/>
            <w:r>
              <w:rPr>
                <w:rFonts w:ascii="Times New Roman" w:hAnsi="Times New Roman"/>
                <w:b w:val="0"/>
                <w:sz w:val="16"/>
              </w:rPr>
              <w:t>infeasible</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0/46</w:t>
            </w:r>
          </w:p>
        </w:tc>
      </w:tr>
      <w:tr>
        <w:trPr>
          <w:cantSplit/>
        </w:trPr>
        <w:tc>
          <w:tcPr>
            <w:tcW w:type="dxa" w:w="1152"/>
          </w:tcPr>
          <w:p>
            <w:pPr>
              <w:keepNext/>
              <w:jc w:val="left"/>
            </w:pPr>
            <w:r/>
            <w:r>
              <w:rPr>
                <w:rFonts w:ascii="Times New Roman" w:hAnsi="Times New Roman"/>
                <w:b w:val="0"/>
                <w:sz w:val="16"/>
              </w:rPr>
              <w:t>50,709</w:t>
            </w:r>
          </w:p>
        </w:tc>
        <w:tc>
          <w:tcPr>
            <w:tcW w:type="dxa" w:w="1152"/>
          </w:tcPr>
          <w:p>
            <w:pPr>
              <w:keepNext/>
              <w:jc w:val="center"/>
            </w:pPr>
            <w:r/>
            <w:r>
              <w:rPr>
                <w:rFonts w:ascii="Times New Roman" w:hAnsi="Times New Roman"/>
                <w:b w:val="0"/>
                <w:sz w:val="16"/>
              </w:rPr>
              <w:t>7.60</w:t>
            </w:r>
          </w:p>
        </w:tc>
        <w:tc>
          <w:tcPr>
            <w:tcW w:type="dxa" w:w="1152"/>
          </w:tcPr>
          <w:p>
            <w:pPr>
              <w:keepNext/>
              <w:jc w:val="center"/>
            </w:pPr>
            <w:r/>
            <w:r>
              <w:rPr>
                <w:rFonts w:ascii="Times New Roman" w:hAnsi="Times New Roman"/>
                <w:b w:val="0"/>
                <w:sz w:val="16"/>
              </w:rPr>
              <w:t>328</w:t>
            </w:r>
          </w:p>
        </w:tc>
        <w:tc>
          <w:tcPr>
            <w:tcW w:type="dxa" w:w="1152"/>
          </w:tcPr>
          <w:p>
            <w:pPr>
              <w:keepNext/>
              <w:jc w:val="center"/>
            </w:pPr>
            <w:r/>
            <w:r>
              <w:rPr>
                <w:rFonts w:ascii="Times New Roman" w:hAnsi="Times New Roman"/>
                <w:b w:val="0"/>
                <w:sz w:val="16"/>
              </w:rPr>
              <w:t>11.6</w:t>
            </w:r>
          </w:p>
        </w:tc>
        <w:tc>
          <w:tcPr>
            <w:tcW w:type="dxa" w:w="1152"/>
          </w:tcPr>
          <w:p>
            <w:pPr>
              <w:keepNext/>
              <w:jc w:val="center"/>
            </w:pPr>
            <w:r/>
            <w:r>
              <w:rPr>
                <w:rFonts w:ascii="Times New Roman" w:hAnsi="Times New Roman"/>
                <w:b w:val="0"/>
                <w:sz w:val="16"/>
              </w:rPr>
              <w:t>16.1</w:t>
            </w:r>
          </w:p>
        </w:tc>
        <w:tc>
          <w:tcPr>
            <w:tcW w:type="dxa" w:w="1152"/>
          </w:tcPr>
          <w:p>
            <w:pPr>
              <w:keepNext/>
              <w:jc w:val="center"/>
            </w:pPr>
            <w:r/>
            <w:r>
              <w:rPr>
                <w:rFonts w:ascii="Times New Roman" w:hAnsi="Times New Roman"/>
                <w:b w:val="0"/>
                <w:sz w:val="16"/>
              </w:rPr>
              <w:t>29/29</w:t>
            </w:r>
          </w:p>
        </w:tc>
        <w:tc>
          <w:tcPr>
            <w:tcW w:type="dxa" w:w="1152"/>
          </w:tcPr>
          <w:p>
            <w:pPr>
              <w:keepNext/>
              <w:jc w:val="center"/>
            </w:pPr>
            <w:r/>
            <w:r>
              <w:rPr>
                <w:rFonts w:ascii="Times New Roman" w:hAnsi="Times New Roman"/>
                <w:b w:val="0"/>
                <w:sz w:val="16"/>
              </w:rPr>
              <w:t>infeasible</w:t>
            </w:r>
          </w:p>
        </w:tc>
        <w:tc>
          <w:tcPr>
            <w:tcW w:type="dxa" w:w="1152"/>
          </w:tcPr>
          <w:p>
            <w:pPr>
              <w:keepNext/>
              <w:jc w:val="center"/>
            </w:pPr>
            <w:r/>
            <w:r>
              <w:rPr>
                <w:rFonts w:ascii="Times New Roman" w:hAnsi="Times New Roman"/>
                <w:b w:val="0"/>
                <w:sz w:val="16"/>
              </w:rPr>
              <w:t>3.0</w:t>
            </w:r>
          </w:p>
        </w:tc>
        <w:tc>
          <w:tcPr>
            <w:tcW w:type="dxa" w:w="1152"/>
          </w:tcPr>
          <w:p>
            <w:pPr>
              <w:keepNext/>
              <w:jc w:val="center"/>
            </w:pPr>
            <w:r/>
            <w:r>
              <w:rPr>
                <w:rFonts w:ascii="Times New Roman" w:hAnsi="Times New Roman"/>
                <w:b w:val="0"/>
                <w:sz w:val="16"/>
              </w:rPr>
              <w:t>0/46</w:t>
            </w:r>
          </w:p>
        </w:tc>
      </w:tr>
      <w:tr>
        <w:trPr>
          <w:cantSplit/>
        </w:trPr>
        <w:tc>
          <w:tcPr>
            <w:tcW w:type="dxa" w:w="1152"/>
          </w:tcPr>
          <w:p>
            <w:pPr>
              <w:keepNext/>
              <w:jc w:val="left"/>
            </w:pPr>
            <w:r/>
            <w:r>
              <w:rPr>
                <w:rFonts w:ascii="Times New Roman" w:hAnsi="Times New Roman"/>
                <w:b w:val="0"/>
                <w:sz w:val="16"/>
              </w:rPr>
              <w:t>69,723</w:t>
            </w:r>
          </w:p>
        </w:tc>
        <w:tc>
          <w:tcPr>
            <w:tcW w:type="dxa" w:w="1152"/>
          </w:tcPr>
          <w:p>
            <w:pPr>
              <w:keepNext/>
              <w:jc w:val="center"/>
            </w:pPr>
            <w:r/>
            <w:r>
              <w:rPr>
                <w:rFonts w:ascii="Times New Roman" w:hAnsi="Times New Roman"/>
                <w:b w:val="0"/>
                <w:sz w:val="16"/>
              </w:rPr>
              <w:t>9.67</w:t>
            </w:r>
          </w:p>
        </w:tc>
        <w:tc>
          <w:tcPr>
            <w:tcW w:type="dxa" w:w="1152"/>
          </w:tcPr>
          <w:p>
            <w:pPr>
              <w:keepNext/>
              <w:jc w:val="center"/>
            </w:pPr>
            <w:r/>
            <w:r>
              <w:rPr>
                <w:rFonts w:ascii="Times New Roman" w:hAnsi="Times New Roman"/>
                <w:b w:val="0"/>
                <w:sz w:val="16"/>
              </w:rPr>
              <w:t>439</w:t>
            </w:r>
          </w:p>
        </w:tc>
        <w:tc>
          <w:tcPr>
            <w:tcW w:type="dxa" w:w="1152"/>
          </w:tcPr>
          <w:p>
            <w:pPr>
              <w:keepNext/>
              <w:jc w:val="center"/>
            </w:pPr>
            <w:r/>
            <w:r>
              <w:rPr>
                <w:rFonts w:ascii="Times New Roman" w:hAnsi="Times New Roman"/>
                <w:b w:val="0"/>
                <w:sz w:val="16"/>
              </w:rPr>
              <w:t>15.2</w:t>
            </w:r>
          </w:p>
        </w:tc>
        <w:tc>
          <w:tcPr>
            <w:tcW w:type="dxa" w:w="1152"/>
          </w:tcPr>
          <w:p>
            <w:pPr>
              <w:keepNext/>
              <w:jc w:val="center"/>
            </w:pPr>
            <w:r/>
            <w:r>
              <w:rPr>
                <w:rFonts w:ascii="Times New Roman" w:hAnsi="Times New Roman"/>
                <w:b w:val="0"/>
                <w:sz w:val="16"/>
              </w:rPr>
              <w:t>31.3</w:t>
            </w:r>
          </w:p>
        </w:tc>
        <w:tc>
          <w:tcPr>
            <w:tcW w:type="dxa" w:w="1152"/>
          </w:tcPr>
          <w:p>
            <w:pPr>
              <w:keepNext/>
              <w:jc w:val="center"/>
            </w:pPr>
            <w:r/>
            <w:r>
              <w:rPr>
                <w:rFonts w:ascii="Times New Roman" w:hAnsi="Times New Roman"/>
                <w:b w:val="0"/>
                <w:sz w:val="16"/>
              </w:rPr>
              <w:t>47/47</w:t>
            </w:r>
          </w:p>
        </w:tc>
        <w:tc>
          <w:tcPr>
            <w:tcW w:type="dxa" w:w="1152"/>
          </w:tcPr>
          <w:p>
            <w:pPr>
              <w:keepNext/>
              <w:jc w:val="center"/>
            </w:pPr>
            <w:r/>
            <w:r>
              <w:rPr>
                <w:rFonts w:ascii="Times New Roman" w:hAnsi="Times New Roman"/>
                <w:b w:val="0"/>
                <w:sz w:val="16"/>
              </w:rPr>
              <w:t>infeasible</w:t>
            </w:r>
          </w:p>
        </w:tc>
        <w:tc>
          <w:tcPr>
            <w:tcW w:type="dxa" w:w="1152"/>
          </w:tcPr>
          <w:p>
            <w:pPr>
              <w:keepNext/>
              <w:jc w:val="center"/>
            </w:pPr>
            <w:r/>
            <w:r>
              <w:rPr>
                <w:rFonts w:ascii="Times New Roman" w:hAnsi="Times New Roman"/>
                <w:b w:val="0"/>
                <w:sz w:val="16"/>
              </w:rPr>
              <w:t>2.0</w:t>
            </w:r>
          </w:p>
        </w:tc>
        <w:tc>
          <w:tcPr>
            <w:tcW w:type="dxa" w:w="1152"/>
          </w:tcPr>
          <w:p>
            <w:pPr>
              <w:keepNext/>
              <w:jc w:val="center"/>
            </w:pPr>
            <w:r/>
            <w:r>
              <w:rPr>
                <w:rFonts w:ascii="Times New Roman" w:hAnsi="Times New Roman"/>
                <w:b w:val="0"/>
                <w:sz w:val="16"/>
              </w:rPr>
              <w:t>0/48</w:t>
            </w:r>
          </w:p>
        </w:tc>
      </w:tr>
      <w:tr>
        <w:trPr>
          <w:cantSplit/>
        </w:trPr>
        <w:tc>
          <w:tcPr>
            <w:tcW w:type="dxa" w:w="1152"/>
          </w:tcPr>
          <w:p>
            <w:pPr>
              <w:keepNext/>
              <w:jc w:val="left"/>
            </w:pPr>
            <w:r/>
            <w:r>
              <w:rPr>
                <w:rFonts w:ascii="Times New Roman" w:hAnsi="Times New Roman"/>
                <w:b w:val="0"/>
                <w:sz w:val="16"/>
              </w:rPr>
              <w:t>100,000</w:t>
            </w:r>
          </w:p>
        </w:tc>
        <w:tc>
          <w:tcPr>
            <w:tcW w:type="dxa" w:w="1152"/>
          </w:tcPr>
          <w:p>
            <w:pPr>
              <w:keepNext/>
              <w:jc w:val="center"/>
            </w:pPr>
            <w:r/>
            <w:r>
              <w:rPr>
                <w:rFonts w:ascii="Times New Roman" w:hAnsi="Times New Roman"/>
                <w:b w:val="0"/>
                <w:sz w:val="16"/>
              </w:rPr>
              <w:t>16.71</w:t>
            </w:r>
          </w:p>
        </w:tc>
        <w:tc>
          <w:tcPr>
            <w:tcW w:type="dxa" w:w="1152"/>
          </w:tcPr>
          <w:p>
            <w:pPr>
              <w:keepNext/>
              <w:jc w:val="center"/>
            </w:pPr>
            <w:r/>
            <w:r>
              <w:rPr>
                <w:rFonts w:ascii="Times New Roman" w:hAnsi="Times New Roman"/>
                <w:b w:val="0"/>
                <w:sz w:val="16"/>
              </w:rPr>
              <w:t>615</w:t>
            </w:r>
          </w:p>
        </w:tc>
        <w:tc>
          <w:tcPr>
            <w:tcW w:type="dxa" w:w="1152"/>
          </w:tcPr>
          <w:p>
            <w:pPr>
              <w:keepNext/>
              <w:jc w:val="center"/>
            </w:pPr>
            <w:r/>
            <w:r>
              <w:rPr>
                <w:rFonts w:ascii="Times New Roman" w:hAnsi="Times New Roman"/>
                <w:b w:val="0"/>
                <w:sz w:val="16"/>
              </w:rPr>
              <w:t>23.1</w:t>
            </w:r>
          </w:p>
        </w:tc>
        <w:tc>
          <w:tcPr>
            <w:tcW w:type="dxa" w:w="1152"/>
          </w:tcPr>
          <w:p>
            <w:pPr>
              <w:keepNext/>
              <w:jc w:val="center"/>
            </w:pPr>
            <w:r/>
            <w:r>
              <w:rPr>
                <w:rFonts w:ascii="Times New Roman" w:hAnsi="Times New Roman"/>
                <w:b w:val="0"/>
                <w:sz w:val="16"/>
              </w:rPr>
              <w:t>46.9</w:t>
            </w:r>
          </w:p>
        </w:tc>
        <w:tc>
          <w:tcPr>
            <w:tcW w:type="dxa" w:w="1152"/>
          </w:tcPr>
          <w:p>
            <w:pPr>
              <w:keepNext/>
              <w:jc w:val="center"/>
            </w:pPr>
            <w:r/>
            <w:r>
              <w:rPr>
                <w:rFonts w:ascii="Times New Roman" w:hAnsi="Times New Roman"/>
                <w:b w:val="0"/>
                <w:sz w:val="16"/>
              </w:rPr>
              <w:t>44/44</w:t>
            </w:r>
          </w:p>
        </w:tc>
        <w:tc>
          <w:tcPr>
            <w:tcW w:type="dxa" w:w="1152"/>
          </w:tcPr>
          <w:p>
            <w:pPr>
              <w:keepNext/>
              <w:jc w:val="center"/>
            </w:pPr>
            <w:r/>
            <w:r>
              <w:rPr>
                <w:rFonts w:ascii="Times New Roman" w:hAnsi="Times New Roman"/>
                <w:b w:val="0"/>
                <w:sz w:val="16"/>
              </w:rPr>
              <w:t>infeasible</w:t>
            </w:r>
          </w:p>
        </w:tc>
        <w:tc>
          <w:tcPr>
            <w:tcW w:type="dxa" w:w="1152"/>
          </w:tcPr>
          <w:p>
            <w:pPr>
              <w:keepNext/>
              <w:jc w:val="center"/>
            </w:pPr>
            <w:r/>
            <w:r>
              <w:rPr>
                <w:rFonts w:ascii="Times New Roman" w:hAnsi="Times New Roman"/>
                <w:b w:val="0"/>
                <w:sz w:val="16"/>
              </w:rPr>
              <w:t>1.0</w:t>
            </w:r>
          </w:p>
        </w:tc>
        <w:tc>
          <w:tcPr>
            <w:tcW w:type="dxa" w:w="1152"/>
          </w:tcPr>
          <w:p>
            <w:pPr>
              <w:keepNext/>
              <w:jc w:val="center"/>
            </w:pPr>
            <w:r/>
            <w:r>
              <w:rPr>
                <w:rFonts w:ascii="Times New Roman" w:hAnsi="Times New Roman"/>
                <w:b w:val="0"/>
                <w:sz w:val="16"/>
              </w:rPr>
              <w:t>0/44</w:t>
            </w:r>
          </w:p>
        </w:tc>
      </w:tr>
      <w:tr>
        <w:trPr>
          <w:cantSplit/>
        </w:trPr>
        <w:tc>
          <w:tcPr>
            <w:tcW w:type="dxa" w:w="1152"/>
            <w:tcBorders>
              <w:bottom w:val="single" w:sz="12" w:color="000000"/>
            </w:tcBorders>
          </w:tcPr>
          <w:p>
            <w:pPr>
              <w:jc w:val="left"/>
            </w:pPr>
            <w:r/>
            <w:r>
              <w:rPr>
                <w:rFonts w:ascii="Times New Roman" w:hAnsi="Times New Roman"/>
                <w:b w:val="0"/>
                <w:sz w:val="16"/>
              </w:rPr>
              <w:t>174,300</w:t>
            </w:r>
          </w:p>
        </w:tc>
        <w:tc>
          <w:tcPr>
            <w:tcW w:type="dxa" w:w="1152"/>
            <w:tcBorders>
              <w:bottom w:val="single" w:sz="12" w:color="000000"/>
            </w:tcBorders>
          </w:tcPr>
          <w:p>
            <w:pPr>
              <w:jc w:val="center"/>
            </w:pPr>
            <w:r/>
            <w:r>
              <w:rPr>
                <w:rFonts w:ascii="Times New Roman" w:hAnsi="Times New Roman"/>
                <w:b w:val="0"/>
                <w:sz w:val="16"/>
              </w:rPr>
              <w:t>24.75</w:t>
            </w:r>
          </w:p>
        </w:tc>
        <w:tc>
          <w:tcPr>
            <w:tcW w:type="dxa" w:w="1152"/>
            <w:tcBorders>
              <w:bottom w:val="single" w:sz="12" w:color="000000"/>
            </w:tcBorders>
          </w:tcPr>
          <w:p>
            <w:pPr>
              <w:jc w:val="center"/>
            </w:pPr>
            <w:r/>
            <w:r>
              <w:rPr>
                <w:rFonts w:ascii="Times New Roman" w:hAnsi="Times New Roman"/>
                <w:b w:val="0"/>
                <w:sz w:val="16"/>
              </w:rPr>
              <w:t>1053</w:t>
            </w:r>
          </w:p>
        </w:tc>
        <w:tc>
          <w:tcPr>
            <w:tcW w:type="dxa" w:w="1152"/>
            <w:tcBorders>
              <w:bottom w:val="single" w:sz="12" w:color="000000"/>
            </w:tcBorders>
          </w:tcPr>
          <w:p>
            <w:pPr>
              <w:jc w:val="center"/>
            </w:pPr>
            <w:r/>
            <w:r>
              <w:rPr>
                <w:rFonts w:ascii="Times New Roman" w:hAnsi="Times New Roman"/>
                <w:b w:val="0"/>
                <w:sz w:val="16"/>
              </w:rPr>
              <w:t>41.9</w:t>
            </w:r>
          </w:p>
        </w:tc>
        <w:tc>
          <w:tcPr>
            <w:tcW w:type="dxa" w:w="1152"/>
            <w:tcBorders>
              <w:bottom w:val="single" w:sz="12" w:color="000000"/>
            </w:tcBorders>
          </w:tcPr>
          <w:p>
            <w:pPr>
              <w:jc w:val="center"/>
            </w:pPr>
            <w:r/>
            <w:r>
              <w:rPr>
                <w:rFonts w:ascii="Times New Roman" w:hAnsi="Times New Roman"/>
                <w:b w:val="0"/>
                <w:sz w:val="16"/>
              </w:rPr>
              <w:t>123.5</w:t>
            </w:r>
          </w:p>
        </w:tc>
        <w:tc>
          <w:tcPr>
            <w:tcW w:type="dxa" w:w="1152"/>
            <w:tcBorders>
              <w:bottom w:val="single" w:sz="12" w:color="000000"/>
            </w:tcBorders>
          </w:tcPr>
          <w:p>
            <w:pPr>
              <w:jc w:val="center"/>
            </w:pPr>
            <w:r/>
            <w:r>
              <w:rPr>
                <w:rFonts w:ascii="Times New Roman" w:hAnsi="Times New Roman"/>
                <w:b w:val="0"/>
                <w:sz w:val="16"/>
              </w:rPr>
              <w:t>47/47</w:t>
            </w:r>
          </w:p>
        </w:tc>
        <w:tc>
          <w:tcPr>
            <w:tcW w:type="dxa" w:w="1152"/>
            <w:tcBorders>
              <w:bottom w:val="single" w:sz="12" w:color="000000"/>
            </w:tcBorders>
          </w:tcPr>
          <w:p>
            <w:pPr>
              <w:jc w:val="center"/>
            </w:pPr>
            <w:r/>
            <w:r>
              <w:rPr>
                <w:rFonts w:ascii="Times New Roman" w:hAnsi="Times New Roman"/>
                <w:b w:val="0"/>
                <w:sz w:val="16"/>
              </w:rPr>
              <w:t>infeasible</w:t>
            </w:r>
          </w:p>
        </w:tc>
        <w:tc>
          <w:tcPr>
            <w:tcW w:type="dxa" w:w="1152"/>
            <w:tcBorders>
              <w:bottom w:val="single" w:sz="12" w:color="000000"/>
            </w:tcBorders>
          </w:tcPr>
          <w:p>
            <w:pPr>
              <w:jc w:val="center"/>
            </w:pPr>
            <w:r/>
            <w:r>
              <w:rPr>
                <w:rFonts w:ascii="Times New Roman" w:hAnsi="Times New Roman"/>
                <w:b w:val="0"/>
                <w:sz w:val="16"/>
              </w:rPr>
              <w:t>6.0</w:t>
            </w:r>
          </w:p>
        </w:tc>
        <w:tc>
          <w:tcPr>
            <w:tcW w:type="dxa" w:w="1152"/>
            <w:tcBorders>
              <w:bottom w:val="single" w:sz="12" w:color="000000"/>
            </w:tcBorders>
          </w:tcPr>
          <w:p>
            <w:pPr>
              <w:jc w:val="center"/>
            </w:pPr>
            <w:r/>
            <w:r>
              <w:rPr>
                <w:rFonts w:ascii="Times New Roman" w:hAnsi="Times New Roman"/>
                <w:b w:val="0"/>
                <w:sz w:val="16"/>
              </w:rPr>
              <w:t>0/47</w:t>
            </w:r>
          </w:p>
        </w:tc>
      </w:tr>
    </w:tbl>
    <w:p>
      <w:pPr>
        <w:spacing w:after="40"/>
      </w:pPr>
    </w:p>
    <w:p>
      <w:pPr>
        <w:sectPr w:rsidR="007E713A" w:rsidSect="00002FAF">
          <w:headerReference w:type="default" r:id="rId9"/>
          <w:type w:val="continuous"/>
          <w:pgSz w:w="12240" w:h="15840"/>
          <w:pgMar w:top="1008" w:right="936" w:bottom="1008" w:left="936" w:header="432" w:footer="432" w:gutter="0"/>
          <w:cols w:space="288"/>
        </w:sectPr>
      </w:pPr>
    </w:p>
    <w:p>
      <w:pPr>
        <w:pStyle w:val="Heading2"/>
      </w:pPr>
      <w:r>
        <w:t>B. Recall matrix and the evidence bound</w:t>
      </w:r>
    </w:p>
    <w:p>
      <w:pPr>
        <w:spacing w:after="0"/>
        <w:ind w:firstLine="204"/>
        <w:jc w:val="both"/>
      </w:pPr>
      <w:r>
        <w:t>Table III summarizes and Fig. 4 visualizes the 337-cell recall matrix. Verbatim cells hit 100% as constructed; overall recall is 334/337 = 99.1%, and every failure lies outside the declared tolerance (e.g., transposition by 6 semitones against a ±2 guarantee). Fig. 5 verifies the bound: across all 337 cells the measured donor evidence never falls below the theoretical lower bound (0 violations; margins in Table IV), which is the empirical anchor of the recall contract.</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pStyle w:val="TableTitle"/>
        <w:keepNext/>
      </w:pPr>
      <w:r>
        <w:t>TABLE III.</w:t>
      </w:r>
    </w:p>
    <w:p>
      <w:pPr>
        <w:pStyle w:val="TableTitle"/>
        <w:keepNext/>
      </w:pPr>
      <w:r>
        <w:t>Recall (%) of the L1 tolerant screen on 337 planted-copy cells (five seeds per cell; k_pitch = 2, k_bin = 1). Bold marks cells below 100 %.</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cantSplit/>
        </w:trPr>
        <w:tc>
          <w:tcPr>
            <w:tcW w:type="dxa" w:w="1481"/>
            <w:tcBorders>
              <w:top w:val="single" w:sz="12" w:color="000000"/>
              <w:bottom w:val="single" w:sz="6" w:color="000000"/>
            </w:tcBorders>
          </w:tcPr>
          <w:p>
            <w:pPr>
              <w:keepNext/>
              <w:jc w:val="left"/>
            </w:pPr>
            <w:r/>
            <w:r>
              <w:rPr>
                <w:rFonts w:ascii="Times New Roman" w:hAnsi="Times New Roman"/>
                <w:b/>
                <w:sz w:val="16"/>
              </w:rPr>
              <w:t>Transformation</w:t>
            </w:r>
          </w:p>
        </w:tc>
        <w:tc>
          <w:tcPr>
            <w:tcW w:type="dxa" w:w="1481"/>
            <w:tcBorders>
              <w:top w:val="single" w:sz="12" w:color="000000"/>
              <w:bottom w:val="single" w:sz="6" w:color="000000"/>
            </w:tcBorders>
          </w:tcPr>
          <w:p>
            <w:pPr>
              <w:keepNext/>
              <w:jc w:val="center"/>
            </w:pPr>
            <w:r/>
            <w:r>
              <w:rPr>
                <w:rFonts w:ascii="Times New Roman" w:hAnsi="Times New Roman"/>
                <w:b/>
                <w:sz w:val="16"/>
              </w:rPr>
              <w:t>Strength</w:t>
            </w:r>
          </w:p>
        </w:tc>
        <w:tc>
          <w:tcPr>
            <w:tcW w:type="dxa" w:w="1481"/>
            <w:tcBorders>
              <w:top w:val="single" w:sz="12" w:color="000000"/>
              <w:bottom w:val="single" w:sz="6" w:color="000000"/>
            </w:tcBorders>
          </w:tcPr>
          <w:p>
            <w:pPr>
              <w:keepNext/>
              <w:jc w:val="center"/>
            </w:pPr>
            <w:r/>
            <w:r>
              <w:rPr>
                <w:rFonts w:ascii="Times New Roman" w:hAnsi="Times New Roman"/>
                <w:b/>
                <w:sz w:val="16"/>
              </w:rPr>
              <w:t>2 s</w:t>
            </w:r>
          </w:p>
        </w:tc>
        <w:tc>
          <w:tcPr>
            <w:tcW w:type="dxa" w:w="1481"/>
            <w:tcBorders>
              <w:top w:val="single" w:sz="12" w:color="000000"/>
              <w:bottom w:val="single" w:sz="6" w:color="000000"/>
            </w:tcBorders>
          </w:tcPr>
          <w:p>
            <w:pPr>
              <w:keepNext/>
              <w:jc w:val="center"/>
            </w:pPr>
            <w:r/>
            <w:r>
              <w:rPr>
                <w:rFonts w:ascii="Times New Roman" w:hAnsi="Times New Roman"/>
                <w:b/>
                <w:sz w:val="16"/>
              </w:rPr>
              <w:t>4 s</w:t>
            </w:r>
          </w:p>
        </w:tc>
        <w:tc>
          <w:tcPr>
            <w:tcW w:type="dxa" w:w="1481"/>
            <w:tcBorders>
              <w:top w:val="single" w:sz="12" w:color="000000"/>
              <w:bottom w:val="single" w:sz="6" w:color="000000"/>
            </w:tcBorders>
          </w:tcPr>
          <w:p>
            <w:pPr>
              <w:keepNext/>
              <w:jc w:val="center"/>
            </w:pPr>
            <w:r/>
            <w:r>
              <w:rPr>
                <w:rFonts w:ascii="Times New Roman" w:hAnsi="Times New Roman"/>
                <w:b/>
                <w:sz w:val="16"/>
              </w:rPr>
              <w:t>8 s</w:t>
            </w:r>
          </w:p>
        </w:tc>
        <w:tc>
          <w:tcPr>
            <w:tcW w:type="dxa" w:w="1481"/>
            <w:tcBorders>
              <w:top w:val="single" w:sz="12" w:color="000000"/>
              <w:bottom w:val="single" w:sz="6" w:color="000000"/>
            </w:tcBorders>
          </w:tcPr>
          <w:p>
            <w:pPr>
              <w:keepNext/>
              <w:jc w:val="center"/>
            </w:pPr>
            <w:r/>
            <w:r>
              <w:rPr>
                <w:rFonts w:ascii="Times New Roman" w:hAnsi="Times New Roman"/>
                <w:b/>
                <w:sz w:val="16"/>
              </w:rPr>
              <w:t>16 s</w:t>
            </w:r>
          </w:p>
        </w:tc>
        <w:tc>
          <w:tcPr>
            <w:tcW w:type="dxa" w:w="1481"/>
            <w:tcBorders>
              <w:top w:val="single" w:sz="12" w:color="000000"/>
              <w:bottom w:val="single" w:sz="6" w:color="000000"/>
            </w:tcBorders>
          </w:tcPr>
          <w:p>
            <w:pPr>
              <w:keepNext/>
              <w:jc w:val="center"/>
            </w:pPr>
            <w:r/>
            <w:r>
              <w:rPr>
                <w:rFonts w:ascii="Times New Roman" w:hAnsi="Times New Roman"/>
                <w:b/>
                <w:sz w:val="16"/>
              </w:rPr>
              <w:t>All</w:t>
            </w:r>
          </w:p>
        </w:tc>
      </w:tr>
      <w:tr>
        <w:trPr>
          <w:cantSplit/>
        </w:trPr>
        <w:tc>
          <w:tcPr>
            <w:tcW w:type="dxa" w:w="1481"/>
          </w:tcPr>
          <w:p>
            <w:pPr>
              <w:keepNext/>
              <w:jc w:val="left"/>
            </w:pPr>
            <w:r/>
            <w:r>
              <w:rPr>
                <w:rFonts w:ascii="Times New Roman" w:hAnsi="Times New Roman"/>
                <w:b w:val="0"/>
                <w:sz w:val="16"/>
              </w:rPr>
              <w:t>Verbatim</w:t>
            </w:r>
          </w:p>
        </w:tc>
        <w:tc>
          <w:tcPr>
            <w:tcW w:type="dxa" w:w="1481"/>
          </w:tcPr>
          <w:p>
            <w:pPr>
              <w:keepNext/>
              <w:jc w:val="center"/>
            </w:pPr>
            <w:r/>
            <w:r>
              <w:rPr>
                <w:rFonts w:ascii="Times New Roman" w:hAnsi="Times New Roman"/>
                <w:b w:val="0"/>
                <w:sz w:val="16"/>
              </w:rPr>
              <w:t>identity</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t>Transpose</w:t>
            </w:r>
          </w:p>
        </w:tc>
        <w:tc>
          <w:tcPr>
            <w:tcW w:type="dxa" w:w="1481"/>
          </w:tcPr>
          <w:p>
            <w:pPr>
              <w:keepNext/>
              <w:jc w:val="center"/>
            </w:pPr>
            <w:r/>
            <w:r>
              <w:rPr>
                <w:rFonts w:ascii="Times New Roman" w:hAnsi="Times New Roman"/>
                <w:b w:val="0"/>
                <w:sz w:val="16"/>
              </w:rPr>
              <w:t>±1 st</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±2 st</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±4 st</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±6 st</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t>Tempo scaling</w:t>
            </w:r>
          </w:p>
        </w:tc>
        <w:tc>
          <w:tcPr>
            <w:tcW w:type="dxa" w:w="1481"/>
          </w:tcPr>
          <w:p>
            <w:pPr>
              <w:keepNext/>
              <w:jc w:val="center"/>
            </w:pPr>
            <w:r/>
            <w:r>
              <w:rPr>
                <w:rFonts w:ascii="Times New Roman" w:hAnsi="Times New Roman"/>
                <w:b w:val="0"/>
                <w:sz w:val="16"/>
              </w:rPr>
              <w:t>×1.05</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×1.10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×1.20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t>Split–merge</w:t>
            </w:r>
          </w:p>
        </w:tc>
        <w:tc>
          <w:tcPr>
            <w:tcW w:type="dxa" w:w="1481"/>
          </w:tcPr>
          <w:p>
            <w:pPr>
              <w:keepNext/>
              <w:jc w:val="center"/>
            </w:pPr>
            <w:r/>
            <w:r>
              <w:rPr>
                <w:rFonts w:ascii="Times New Roman" w:hAnsi="Times New Roman"/>
                <w:b w:val="0"/>
                <w:sz w:val="16"/>
              </w:rPr>
              <w:t>p = 0.10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p = 0.20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p = 0.30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t>Re-instrumentation</w:t>
            </w:r>
          </w:p>
        </w:tc>
        <w:tc>
          <w:tcPr>
            <w:tcW w:type="dxa" w:w="1481"/>
          </w:tcPr>
          <w:p>
            <w:pPr>
              <w:keepNext/>
              <w:jc w:val="center"/>
            </w:pPr>
            <w:r/>
            <w:r>
              <w:rPr>
                <w:rFonts w:ascii="Times New Roman" w:hAnsi="Times New Roman"/>
                <w:b w:val="0"/>
                <w:sz w:val="16"/>
              </w:rPr>
              <w:t>p_drop = 0.10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p_drop = 0.25</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p_drop = 0.40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sz w:val="16"/>
              </w:rPr>
              <w:t>80</w:t>
            </w:r>
          </w:p>
        </w:tc>
        <w:tc>
          <w:tcPr>
            <w:tcW w:type="dxa" w:w="1481"/>
          </w:tcPr>
          <w:p>
            <w:pPr>
              <w:keepNext/>
              <w:jc w:val="center"/>
            </w:pPr>
            <w:r/>
            <w:r>
              <w:rPr>
                <w:rFonts w:ascii="Times New Roman" w:hAnsi="Times New Roman"/>
                <w:b/>
                <w:sz w:val="16"/>
              </w:rPr>
              <w:t>94.7</w:t>
            </w:r>
          </w:p>
        </w:tc>
      </w:tr>
      <w:tr>
        <w:trPr>
          <w:cantSplit/>
        </w:trPr>
        <w:tc>
          <w:tcPr>
            <w:tcW w:type="dxa" w:w="1481"/>
          </w:tcPr>
          <w:p>
            <w:pPr>
              <w:keepNext/>
              <w:jc w:val="left"/>
            </w:pPr>
            <w:r/>
            <w:r>
              <w:rPr>
                <w:rFonts w:ascii="Times New Roman" w:hAnsi="Times New Roman"/>
                <w:b w:val="0"/>
                <w:sz w:val="16"/>
              </w:rPr>
              <w:t>Transcription noise</w:t>
            </w:r>
          </w:p>
        </w:tc>
        <w:tc>
          <w:tcPr>
            <w:tcW w:type="dxa" w:w="1481"/>
          </w:tcPr>
          <w:p>
            <w:pPr>
              <w:keepNext/>
              <w:jc w:val="center"/>
            </w:pPr>
            <w:r/>
            <w:r>
              <w:rPr>
                <w:rFonts w:ascii="Times New Roman" w:hAnsi="Times New Roman"/>
                <w:b w:val="0"/>
                <w:sz w:val="16"/>
              </w:rPr>
              <w:t>q = 15 ms, miss 4 %</w:t>
            </w:r>
          </w:p>
        </w:tc>
        <w:tc>
          <w:tcPr>
            <w:tcW w:type="dxa" w:w="1481"/>
          </w:tcPr>
          <w:p>
            <w:pPr>
              <w:keepNext/>
              <w:jc w:val="center"/>
            </w:pPr>
            <w:r/>
            <w:r>
              <w:rPr>
                <w:rFonts w:ascii="Times New Roman" w:hAnsi="Times New Roman"/>
                <w:b/>
                <w:sz w:val="16"/>
              </w:rPr>
              <w:t>80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sz w:val="16"/>
              </w:rPr>
              <w:t>95.0</w:t>
            </w:r>
          </w:p>
        </w:tc>
      </w:tr>
      <w:tr>
        <w:trPr>
          <w:cantSplit/>
        </w:trPr>
        <w:tc>
          <w:tcPr>
            <w:tcW w:type="dxa" w:w="1481"/>
          </w:tcPr>
          <w:p>
            <w:pPr>
              <w:keepNext/>
              <w:jc w:val="left"/>
            </w:pPr>
            <w:r/>
            <w:r>
              <w:rPr>
                <w:rFonts w:ascii="Times New Roman" w:hAnsi="Times New Roman"/>
                <w:b w:val="0"/>
                <w:sz w:val="16"/>
              </w:rPr>
            </w:r>
          </w:p>
        </w:tc>
        <w:tc>
          <w:tcPr>
            <w:tcW w:type="dxa" w:w="1481"/>
          </w:tcPr>
          <w:p>
            <w:pPr>
              <w:keepNext/>
              <w:jc w:val="center"/>
            </w:pPr>
            <w:r/>
            <w:r>
              <w:rPr>
                <w:rFonts w:ascii="Times New Roman" w:hAnsi="Times New Roman"/>
                <w:b w:val="0"/>
                <w:sz w:val="16"/>
              </w:rPr>
              <w:t>q = 30 ms, miss 8 %</w:t>
            </w:r>
          </w:p>
        </w:tc>
        <w:tc>
          <w:tcPr>
            <w:tcW w:type="dxa" w:w="1481"/>
          </w:tcPr>
          <w:p>
            <w:pPr>
              <w:keepNext/>
              <w:jc w:val="center"/>
            </w:pPr>
            <w:r/>
            <w:r>
              <w:rPr>
                <w:rFonts w:ascii="Times New Roman" w:hAnsi="Times New Roman"/>
                <w:b/>
                <w:sz w:val="16"/>
              </w:rPr>
              <w:t>80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val="0"/>
                <w:sz w:val="16"/>
              </w:rPr>
              <w:t>100</w:t>
            </w:r>
          </w:p>
        </w:tc>
        <w:tc>
          <w:tcPr>
            <w:tcW w:type="dxa" w:w="1481"/>
          </w:tcPr>
          <w:p>
            <w:pPr>
              <w:keepNext/>
              <w:jc w:val="center"/>
            </w:pPr>
            <w:r/>
            <w:r>
              <w:rPr>
                <w:rFonts w:ascii="Times New Roman" w:hAnsi="Times New Roman"/>
                <w:b/>
                <w:sz w:val="16"/>
              </w:rPr>
              <w:t>95.0</w:t>
            </w:r>
          </w:p>
        </w:tc>
      </w:tr>
      <w:tr>
        <w:trPr>
          <w:cantSplit/>
        </w:trPr>
        <w:tc>
          <w:tcPr>
            <w:tcW w:type="dxa" w:w="1481"/>
            <w:tcBorders>
              <w:bottom w:val="single" w:sz="12" w:color="000000"/>
            </w:tcBorders>
          </w:tcPr>
          <w:p>
            <w:pPr>
              <w:jc w:val="left"/>
            </w:pPr>
            <w:r/>
            <w:r>
              <w:rPr>
                <w:rFonts w:ascii="Times New Roman" w:hAnsi="Times New Roman"/>
                <w:b w:val="0"/>
                <w:sz w:val="16"/>
              </w:rPr>
            </w:r>
          </w:p>
        </w:tc>
        <w:tc>
          <w:tcPr>
            <w:tcW w:type="dxa" w:w="1481"/>
            <w:tcBorders>
              <w:bottom w:val="single" w:sz="12" w:color="000000"/>
            </w:tcBorders>
          </w:tcPr>
          <w:p>
            <w:pPr>
              <w:jc w:val="center"/>
            </w:pPr>
            <w:r/>
            <w:r>
              <w:rPr>
                <w:rFonts w:ascii="Times New Roman" w:hAnsi="Times New Roman"/>
                <w:b w:val="0"/>
                <w:sz w:val="16"/>
              </w:rPr>
              <w:t>q = 60 ms, miss 15 %</w:t>
            </w:r>
          </w:p>
        </w:tc>
        <w:tc>
          <w:tcPr>
            <w:tcW w:type="dxa" w:w="1481"/>
            <w:tcBorders>
              <w:bottom w:val="single" w:sz="12" w:color="000000"/>
            </w:tcBorders>
          </w:tcPr>
          <w:p>
            <w:pPr>
              <w:jc w:val="center"/>
            </w:pPr>
            <w:r/>
            <w:r>
              <w:rPr>
                <w:rFonts w:ascii="Times New Roman" w:hAnsi="Times New Roman"/>
                <w:b w:val="0"/>
                <w:sz w:val="16"/>
              </w:rPr>
              <w:t>100</w:t>
            </w:r>
          </w:p>
        </w:tc>
        <w:tc>
          <w:tcPr>
            <w:tcW w:type="dxa" w:w="1481"/>
            <w:tcBorders>
              <w:bottom w:val="single" w:sz="12" w:color="000000"/>
            </w:tcBorders>
          </w:tcPr>
          <w:p>
            <w:pPr>
              <w:jc w:val="center"/>
            </w:pPr>
            <w:r/>
            <w:r>
              <w:rPr>
                <w:rFonts w:ascii="Times New Roman" w:hAnsi="Times New Roman"/>
                <w:b w:val="0"/>
                <w:sz w:val="16"/>
              </w:rPr>
              <w:t>100</w:t>
            </w:r>
          </w:p>
        </w:tc>
        <w:tc>
          <w:tcPr>
            <w:tcW w:type="dxa" w:w="1481"/>
            <w:tcBorders>
              <w:bottom w:val="single" w:sz="12" w:color="000000"/>
            </w:tcBorders>
          </w:tcPr>
          <w:p>
            <w:pPr>
              <w:jc w:val="center"/>
            </w:pPr>
            <w:r/>
            <w:r>
              <w:rPr>
                <w:rFonts w:ascii="Times New Roman" w:hAnsi="Times New Roman"/>
                <w:b w:val="0"/>
                <w:sz w:val="16"/>
              </w:rPr>
              <w:t>100</w:t>
            </w:r>
          </w:p>
        </w:tc>
        <w:tc>
          <w:tcPr>
            <w:tcW w:type="dxa" w:w="1481"/>
            <w:tcBorders>
              <w:bottom w:val="single" w:sz="12" w:color="000000"/>
            </w:tcBorders>
          </w:tcPr>
          <w:p>
            <w:pPr>
              <w:jc w:val="center"/>
            </w:pPr>
            <w:r/>
            <w:r>
              <w:rPr>
                <w:rFonts w:ascii="Times New Roman" w:hAnsi="Times New Roman"/>
                <w:b w:val="0"/>
                <w:sz w:val="16"/>
              </w:rPr>
              <w:t>100</w:t>
            </w:r>
          </w:p>
        </w:tc>
        <w:tc>
          <w:tcPr>
            <w:tcW w:type="dxa" w:w="1481"/>
            <w:tcBorders>
              <w:bottom w:val="single" w:sz="12" w:color="000000"/>
            </w:tcBorders>
          </w:tcPr>
          <w:p>
            <w:pPr>
              <w:jc w:val="center"/>
            </w:pPr>
            <w:r/>
            <w:r>
              <w:rPr>
                <w:rFonts w:ascii="Times New Roman" w:hAnsi="Times New Roman"/>
                <w:b w:val="0"/>
                <w:sz w:val="16"/>
              </w:rPr>
              <w:t>100.0</w:t>
            </w:r>
          </w:p>
        </w:tc>
      </w:tr>
    </w:tbl>
    <w:p>
      <w:pPr>
        <w:spacing w:after="40"/>
      </w:pPr>
    </w:p>
    <w:p>
      <w:pPr>
        <w:sectPr w:rsidR="007E713A" w:rsidSect="00002FAF">
          <w:headerReference w:type="default" r:id="rId9"/>
          <w:type w:val="continuous"/>
          <w:pgSz w:w="12240" w:h="15840"/>
          <w:pgMar w:top="1008" w:right="936" w:bottom="1008" w:left="936" w:header="432" w:footer="432" w:gutter="0"/>
          <w:cols w:space="288"/>
        </w:sectPr>
      </w:pPr>
    </w:p>
    <w:p>
      <w:pPr>
        <w:keepNext/>
        <w:jc w:val="center"/>
      </w:pPr>
      <w:drawing xmlns:a="http://schemas.openxmlformats.org/drawingml/2006/main" xmlns:pic="http://schemas.openxmlformats.org/drawingml/2006/picture">
        <wp:inline distT="0" distB="0" distL="0" distR="0">
          <wp:extent cx="2880000" cy="3125757"/>
          <wp:effectExtent l="0" t="0" r="0" b="0"/>
          <wp:docPr id="104" name="fig_e1_heatmap.emf"/>
          <wp:cNvGraphicFramePr/>
          <a:graphic>
            <a:graphicData uri="http://schemas.openxmlformats.org/drawingml/2006/picture">
              <pic:pic>
                <pic:nvPicPr>
                  <pic:cNvPr id="0" name="fig_e1_heatmap.emf"/>
                  <pic:cNvPicPr/>
                </pic:nvPicPr>
                <pic:blipFill>
                  <a:blip r:embed="rId36"/>
                  <a:stretch>
                    <a:fillRect/>
                  </a:stretch>
                </pic:blipFill>
                <pic:spPr>
                  <a:xfrm>
                    <a:off x="0" y="0"/>
                    <a:ext cx="2880000" cy="3125757"/>
                  </a:xfrm>
                  <a:prstGeom prst="rect">
                    <a:avLst/>
                  </a:prstGeom>
                </pic:spPr>
              </pic:pic>
            </a:graphicData>
          </a:graphic>
        </wp:inline>
      </w:drawing>
    </w:p>
    <w:p>
      <w:pPr>
        <w:pStyle w:val="FigureCaption"/>
      </w:pPr>
      <w:r>
        <w:rPr>
          <w:sz w:val="19"/>
        </w:rPr>
        <w:t>Fig. 4. Recall heatmap of the 337-cell matrix; rows are transformation and strength, columns span length. The three sub-100 % cells pair extreme noise with the shortest spans.</w:t>
      </w:r>
    </w:p>
    <w:p>
      <w:pPr>
        <w:pStyle w:val="TableTitle"/>
        <w:keepNext/>
      </w:pPr>
      <w:r>
        <w:t>TABLE IV.</w:t>
      </w:r>
    </w:p>
    <w:p>
      <w:pPr>
        <w:pStyle w:val="TableTitle"/>
        <w:keepNext/>
      </w:pPr>
      <w:r>
        <w:t>Donor evidence margin (donor score minus theoretical lower bound) per transformation; a negative margin would be a bound violation.</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tcBorders>
              <w:top w:val="single" w:sz="12" w:color="000000"/>
              <w:bottom w:val="single" w:sz="6" w:color="000000"/>
            </w:tcBorders>
          </w:tcPr>
          <w:p>
            <w:pPr>
              <w:keepNext/>
              <w:jc w:val="left"/>
            </w:pPr>
            <w:r/>
            <w:r>
              <w:rPr>
                <w:rFonts w:ascii="Times New Roman" w:hAnsi="Times New Roman"/>
                <w:b/>
                <w:sz w:val="16"/>
              </w:rPr>
              <w:t>Transformation</w:t>
            </w:r>
          </w:p>
        </w:tc>
        <w:tc>
          <w:tcPr>
            <w:tcW w:type="dxa" w:w="2074"/>
            <w:tcBorders>
              <w:top w:val="single" w:sz="12" w:color="000000"/>
              <w:bottom w:val="single" w:sz="6" w:color="000000"/>
            </w:tcBorders>
          </w:tcPr>
          <w:p>
            <w:pPr>
              <w:keepNext/>
              <w:jc w:val="center"/>
            </w:pPr>
            <w:r/>
            <w:r>
              <w:rPr>
                <w:rFonts w:ascii="Times New Roman" w:hAnsi="Times New Roman"/>
                <w:b/>
                <w:sz w:val="16"/>
              </w:rPr>
              <w:t>Cells</w:t>
            </w:r>
          </w:p>
        </w:tc>
        <w:tc>
          <w:tcPr>
            <w:tcW w:type="dxa" w:w="2074"/>
            <w:tcBorders>
              <w:top w:val="single" w:sz="12" w:color="000000"/>
              <w:bottom w:val="single" w:sz="6" w:color="000000"/>
            </w:tcBorders>
          </w:tcPr>
          <w:p>
            <w:pPr>
              <w:keepNext/>
              <w:jc w:val="center"/>
            </w:pPr>
            <w:r/>
            <w:r>
              <w:rPr>
                <w:rFonts w:ascii="Times New Roman" w:hAnsi="Times New Roman"/>
                <w:b/>
                <w:sz w:val="16"/>
              </w:rPr>
              <w:t>Mean margin</w:t>
            </w:r>
          </w:p>
        </w:tc>
        <w:tc>
          <w:tcPr>
            <w:tcW w:type="dxa" w:w="2074"/>
            <w:tcBorders>
              <w:top w:val="single" w:sz="12" w:color="000000"/>
              <w:bottom w:val="single" w:sz="6" w:color="000000"/>
            </w:tcBorders>
          </w:tcPr>
          <w:p>
            <w:pPr>
              <w:keepNext/>
              <w:jc w:val="center"/>
            </w:pPr>
            <w:r/>
            <w:r>
              <w:rPr>
                <w:rFonts w:ascii="Times New Roman" w:hAnsi="Times New Roman"/>
                <w:b/>
                <w:sz w:val="16"/>
              </w:rPr>
              <w:t>Min margin</w:t>
            </w:r>
          </w:p>
        </w:tc>
        <w:tc>
          <w:tcPr>
            <w:tcW w:type="dxa" w:w="2074"/>
            <w:tcBorders>
              <w:top w:val="single" w:sz="12" w:color="000000"/>
              <w:bottom w:val="single" w:sz="6" w:color="000000"/>
            </w:tcBorders>
          </w:tcPr>
          <w:p>
            <w:pPr>
              <w:keepNext/>
              <w:jc w:val="center"/>
            </w:pPr>
            <w:r/>
            <w:r>
              <w:rPr>
                <w:rFonts w:ascii="Times New Roman" w:hAnsi="Times New Roman"/>
                <w:b/>
                <w:sz w:val="16"/>
              </w:rPr>
              <w:t>Violations</w:t>
            </w:r>
          </w:p>
        </w:tc>
      </w:tr>
      <w:tr>
        <w:trPr>
          <w:cantSplit/>
        </w:trPr>
        <w:tc>
          <w:tcPr>
            <w:tcW w:type="dxa" w:w="2074"/>
          </w:tcPr>
          <w:p>
            <w:pPr>
              <w:keepNext/>
              <w:jc w:val="left"/>
            </w:pPr>
            <w:r/>
            <w:r>
              <w:rPr>
                <w:rFonts w:ascii="Times New Roman" w:hAnsi="Times New Roman"/>
                <w:b w:val="0"/>
                <w:sz w:val="16"/>
              </w:rPr>
              <w:t>Verbatim</w:t>
            </w:r>
          </w:p>
        </w:tc>
        <w:tc>
          <w:tcPr>
            <w:tcW w:type="dxa" w:w="2074"/>
          </w:tcPr>
          <w:p>
            <w:pPr>
              <w:keepNext/>
              <w:jc w:val="center"/>
            </w:pPr>
            <w:r/>
            <w:r>
              <w:rPr>
                <w:rFonts w:ascii="Times New Roman" w:hAnsi="Times New Roman"/>
                <w:b w:val="0"/>
                <w:sz w:val="16"/>
              </w:rPr>
              <w:t>20</w:t>
            </w:r>
          </w:p>
        </w:tc>
        <w:tc>
          <w:tcPr>
            <w:tcW w:type="dxa" w:w="2074"/>
          </w:tcPr>
          <w:p>
            <w:pPr>
              <w:keepNext/>
              <w:jc w:val="center"/>
            </w:pPr>
            <w:r/>
            <w:r>
              <w:rPr>
                <w:rFonts w:ascii="Times New Roman" w:hAnsi="Times New Roman"/>
                <w:b w:val="0"/>
                <w:sz w:val="16"/>
              </w:rPr>
              <w:t>0.0</w:t>
            </w:r>
          </w:p>
        </w:tc>
        <w:tc>
          <w:tcPr>
            <w:tcW w:type="dxa" w:w="2074"/>
          </w:tcPr>
          <w:p>
            <w:pPr>
              <w:keepNext/>
              <w:jc w:val="center"/>
            </w:pPr>
            <w:r/>
            <w:r>
              <w:rPr>
                <w:rFonts w:ascii="Times New Roman" w:hAnsi="Times New Roman"/>
                <w:b w:val="0"/>
                <w:sz w:val="16"/>
              </w:rPr>
              <w:t>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Transpose</w:t>
            </w:r>
          </w:p>
        </w:tc>
        <w:tc>
          <w:tcPr>
            <w:tcW w:type="dxa" w:w="2074"/>
          </w:tcPr>
          <w:p>
            <w:pPr>
              <w:keepNext/>
              <w:jc w:val="center"/>
            </w:pPr>
            <w:r/>
            <w:r>
              <w:rPr>
                <w:rFonts w:ascii="Times New Roman" w:hAnsi="Times New Roman"/>
                <w:b w:val="0"/>
                <w:sz w:val="16"/>
              </w:rPr>
              <w:t>80</w:t>
            </w:r>
          </w:p>
        </w:tc>
        <w:tc>
          <w:tcPr>
            <w:tcW w:type="dxa" w:w="2074"/>
          </w:tcPr>
          <w:p>
            <w:pPr>
              <w:keepNext/>
              <w:jc w:val="center"/>
            </w:pPr>
            <w:r/>
            <w:r>
              <w:rPr>
                <w:rFonts w:ascii="Times New Roman" w:hAnsi="Times New Roman"/>
                <w:b w:val="0"/>
                <w:sz w:val="16"/>
              </w:rPr>
              <w:t>6.7</w:t>
            </w:r>
          </w:p>
        </w:tc>
        <w:tc>
          <w:tcPr>
            <w:tcW w:type="dxa" w:w="2074"/>
          </w:tcPr>
          <w:p>
            <w:pPr>
              <w:keepNext/>
              <w:jc w:val="center"/>
            </w:pPr>
            <w:r/>
            <w:r>
              <w:rPr>
                <w:rFonts w:ascii="Times New Roman" w:hAnsi="Times New Roman"/>
                <w:b w:val="0"/>
                <w:sz w:val="16"/>
              </w:rPr>
              <w:t>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Tempo scaling</w:t>
            </w:r>
          </w:p>
        </w:tc>
        <w:tc>
          <w:tcPr>
            <w:tcW w:type="dxa" w:w="2074"/>
          </w:tcPr>
          <w:p>
            <w:pPr>
              <w:keepNext/>
              <w:jc w:val="center"/>
            </w:pPr>
            <w:r/>
            <w:r>
              <w:rPr>
                <w:rFonts w:ascii="Times New Roman" w:hAnsi="Times New Roman"/>
                <w:b w:val="0"/>
                <w:sz w:val="16"/>
              </w:rPr>
              <w:t>60</w:t>
            </w:r>
          </w:p>
        </w:tc>
        <w:tc>
          <w:tcPr>
            <w:tcW w:type="dxa" w:w="2074"/>
          </w:tcPr>
          <w:p>
            <w:pPr>
              <w:keepNext/>
              <w:jc w:val="center"/>
            </w:pPr>
            <w:r/>
            <w:r>
              <w:rPr>
                <w:rFonts w:ascii="Times New Roman" w:hAnsi="Times New Roman"/>
                <w:b w:val="0"/>
                <w:sz w:val="16"/>
              </w:rPr>
              <w:t>0.5</w:t>
            </w:r>
          </w:p>
        </w:tc>
        <w:tc>
          <w:tcPr>
            <w:tcW w:type="dxa" w:w="2074"/>
          </w:tcPr>
          <w:p>
            <w:pPr>
              <w:keepNext/>
              <w:jc w:val="center"/>
            </w:pPr>
            <w:r/>
            <w:r>
              <w:rPr>
                <w:rFonts w:ascii="Times New Roman" w:hAnsi="Times New Roman"/>
                <w:b w:val="0"/>
                <w:sz w:val="16"/>
              </w:rPr>
              <w:t>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Split–merge</w:t>
            </w:r>
          </w:p>
        </w:tc>
        <w:tc>
          <w:tcPr>
            <w:tcW w:type="dxa" w:w="2074"/>
          </w:tcPr>
          <w:p>
            <w:pPr>
              <w:keepNext/>
              <w:jc w:val="center"/>
            </w:pPr>
            <w:r/>
            <w:r>
              <w:rPr>
                <w:rFonts w:ascii="Times New Roman" w:hAnsi="Times New Roman"/>
                <w:b w:val="0"/>
                <w:sz w:val="16"/>
              </w:rPr>
              <w:t>60</w:t>
            </w:r>
          </w:p>
        </w:tc>
        <w:tc>
          <w:tcPr>
            <w:tcW w:type="dxa" w:w="2074"/>
          </w:tcPr>
          <w:p>
            <w:pPr>
              <w:keepNext/>
              <w:jc w:val="center"/>
            </w:pPr>
            <w:r/>
            <w:r>
              <w:rPr>
                <w:rFonts w:ascii="Times New Roman" w:hAnsi="Times New Roman"/>
                <w:b w:val="0"/>
                <w:sz w:val="16"/>
              </w:rPr>
              <w:t>1.9</w:t>
            </w:r>
          </w:p>
        </w:tc>
        <w:tc>
          <w:tcPr>
            <w:tcW w:type="dxa" w:w="2074"/>
          </w:tcPr>
          <w:p>
            <w:pPr>
              <w:keepNext/>
              <w:jc w:val="center"/>
            </w:pPr>
            <w:r/>
            <w:r>
              <w:rPr>
                <w:rFonts w:ascii="Times New Roman" w:hAnsi="Times New Roman"/>
                <w:b w:val="0"/>
                <w:sz w:val="16"/>
              </w:rPr>
              <w:t>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Re-instrumentation</w:t>
            </w:r>
          </w:p>
        </w:tc>
        <w:tc>
          <w:tcPr>
            <w:tcW w:type="dxa" w:w="2074"/>
          </w:tcPr>
          <w:p>
            <w:pPr>
              <w:keepNext/>
              <w:jc w:val="center"/>
            </w:pPr>
            <w:r/>
            <w:r>
              <w:rPr>
                <w:rFonts w:ascii="Times New Roman" w:hAnsi="Times New Roman"/>
                <w:b w:val="0"/>
                <w:sz w:val="16"/>
              </w:rPr>
              <w:t>58</w:t>
            </w:r>
          </w:p>
        </w:tc>
        <w:tc>
          <w:tcPr>
            <w:tcW w:type="dxa" w:w="2074"/>
          </w:tcPr>
          <w:p>
            <w:pPr>
              <w:keepNext/>
              <w:jc w:val="center"/>
            </w:pPr>
            <w:r/>
            <w:r>
              <w:rPr>
                <w:rFonts w:ascii="Times New Roman" w:hAnsi="Times New Roman"/>
                <w:b w:val="0"/>
                <w:sz w:val="16"/>
              </w:rPr>
              <w:t>0.9</w:t>
            </w:r>
          </w:p>
        </w:tc>
        <w:tc>
          <w:tcPr>
            <w:tcW w:type="dxa" w:w="2074"/>
          </w:tcPr>
          <w:p>
            <w:pPr>
              <w:keepNext/>
              <w:jc w:val="center"/>
            </w:pPr>
            <w:r/>
            <w:r>
              <w:rPr>
                <w:rFonts w:ascii="Times New Roman" w:hAnsi="Times New Roman"/>
                <w:b w:val="0"/>
                <w:sz w:val="16"/>
              </w:rPr>
              <w:t>0</w:t>
            </w:r>
          </w:p>
        </w:tc>
        <w:tc>
          <w:tcPr>
            <w:tcW w:type="dxa" w:w="2074"/>
          </w:tcPr>
          <w:p>
            <w:pPr>
              <w:keepNext/>
              <w:jc w:val="center"/>
            </w:pPr>
            <w:r/>
            <w:r>
              <w:rPr>
                <w:rFonts w:ascii="Times New Roman" w:hAnsi="Times New Roman"/>
                <w:b w:val="0"/>
                <w:sz w:val="16"/>
              </w:rPr>
              <w:t>0</w:t>
            </w:r>
          </w:p>
        </w:tc>
      </w:tr>
      <w:tr>
        <w:trPr>
          <w:cantSplit/>
        </w:trPr>
        <w:tc>
          <w:tcPr>
            <w:tcW w:type="dxa" w:w="2074"/>
            <w:tcBorders>
              <w:bottom w:val="single" w:sz="12" w:color="000000"/>
            </w:tcBorders>
          </w:tcPr>
          <w:p>
            <w:pPr>
              <w:jc w:val="left"/>
            </w:pPr>
            <w:r/>
            <w:r>
              <w:rPr>
                <w:rFonts w:ascii="Times New Roman" w:hAnsi="Times New Roman"/>
                <w:b w:val="0"/>
                <w:sz w:val="16"/>
              </w:rPr>
              <w:t>Transcription noise</w:t>
            </w:r>
          </w:p>
        </w:tc>
        <w:tc>
          <w:tcPr>
            <w:tcW w:type="dxa" w:w="2074"/>
            <w:tcBorders>
              <w:bottom w:val="single" w:sz="12" w:color="000000"/>
            </w:tcBorders>
          </w:tcPr>
          <w:p>
            <w:pPr>
              <w:jc w:val="center"/>
            </w:pPr>
            <w:r/>
            <w:r>
              <w:rPr>
                <w:rFonts w:ascii="Times New Roman" w:hAnsi="Times New Roman"/>
                <w:b w:val="0"/>
                <w:sz w:val="16"/>
              </w:rPr>
              <w:t>59</w:t>
            </w:r>
          </w:p>
        </w:tc>
        <w:tc>
          <w:tcPr>
            <w:tcW w:type="dxa" w:w="2074"/>
            <w:tcBorders>
              <w:bottom w:val="single" w:sz="12" w:color="000000"/>
            </w:tcBorders>
          </w:tcPr>
          <w:p>
            <w:pPr>
              <w:jc w:val="center"/>
            </w:pPr>
            <w:r/>
            <w:r>
              <w:rPr>
                <w:rFonts w:ascii="Times New Roman" w:hAnsi="Times New Roman"/>
                <w:b w:val="0"/>
                <w:sz w:val="16"/>
              </w:rPr>
              <w:t>2.6</w:t>
            </w:r>
          </w:p>
        </w:tc>
        <w:tc>
          <w:tcPr>
            <w:tcW w:type="dxa" w:w="2074"/>
            <w:tcBorders>
              <w:bottom w:val="single" w:sz="12" w:color="000000"/>
            </w:tcBorders>
          </w:tcPr>
          <w:p>
            <w:pPr>
              <w:jc w:val="center"/>
            </w:pPr>
            <w:r/>
            <w:r>
              <w:rPr>
                <w:rFonts w:ascii="Times New Roman" w:hAnsi="Times New Roman"/>
                <w:b w:val="0"/>
                <w:sz w:val="16"/>
              </w:rPr>
              <w:t>0</w:t>
            </w:r>
          </w:p>
        </w:tc>
        <w:tc>
          <w:tcPr>
            <w:tcW w:type="dxa" w:w="2074"/>
            <w:tcBorders>
              <w:bottom w:val="single" w:sz="12" w:color="000000"/>
            </w:tcBorders>
          </w:tcPr>
          <w:p>
            <w:pPr>
              <w:jc w:val="center"/>
            </w:pPr>
            <w:r/>
            <w:r>
              <w:rPr>
                <w:rFonts w:ascii="Times New Roman" w:hAnsi="Times New Roman"/>
                <w:b w:val="0"/>
                <w:sz w:val="16"/>
              </w:rPr>
              <w:t>0</w:t>
            </w:r>
          </w:p>
        </w:tc>
      </w:tr>
    </w:tbl>
    <w:p>
      <w:pPr>
        <w:spacing w:after="40"/>
      </w:pPr>
    </w:p>
    <w:p>
      <w:pPr>
        <w:keepNext/>
        <w:jc w:val="center"/>
      </w:pPr>
      <w:drawing xmlns:a="http://schemas.openxmlformats.org/drawingml/2006/main" xmlns:pic="http://schemas.openxmlformats.org/drawingml/2006/picture">
        <wp:inline distT="0" distB="0" distL="0" distR="0">
          <wp:extent cx="2880000" cy="2006520"/>
          <wp:effectExtent l="0" t="0" r="0" b="0"/>
          <wp:docPr id="105" name="fig4_bounds.emf"/>
          <wp:cNvGraphicFramePr/>
          <a:graphic>
            <a:graphicData uri="http://schemas.openxmlformats.org/drawingml/2006/picture">
              <pic:pic>
                <pic:nvPicPr>
                  <pic:cNvPr id="0" name="fig4_bounds.emf"/>
                  <pic:cNvPicPr/>
                </pic:nvPicPr>
                <pic:blipFill>
                  <a:blip r:embed="rId37"/>
                  <a:stretch>
                    <a:fillRect/>
                  </a:stretch>
                </pic:blipFill>
                <pic:spPr>
                  <a:xfrm>
                    <a:off x="0" y="0"/>
                    <a:ext cx="2880000" cy="2006520"/>
                  </a:xfrm>
                  <a:prstGeom prst="rect">
                    <a:avLst/>
                  </a:prstGeom>
                </pic:spPr>
              </pic:pic>
            </a:graphicData>
          </a:graphic>
        </wp:inline>
      </w:drawing>
    </w:p>
    <w:p>
      <w:pPr>
        <w:pStyle w:val="FigureCaption"/>
      </w:pPr>
      <w:r>
        <w:rPr>
          <w:sz w:val="19"/>
        </w:rPr>
        <w:t>Fig. 5. Measured donor evidence versus theoretical lower bound, 337 adversarial cells; zero violations.</w:t>
      </w:r>
    </w:p>
    <w:p>
      <w:pPr>
        <w:pStyle w:val="Heading2"/>
      </w:pPr>
      <w:r>
        <w:t>C. Anytime behaviour</w:t>
      </w:r>
    </w:p>
    <w:p>
      <w:pPr>
        <w:spacing w:after="0"/>
        <w:ind w:firstLine="204"/>
        <w:jc w:val="both"/>
      </w:pPr>
      <w:r>
        <w:t>Fig. 6 shows the open-candidate bound as the rare-first schedule consumes its budget on 16-second spans, and Table V quantifies all three schedules. Early in the schedule the bound is vacuous by construction: after few positions every piece of the 1,000-piece corpus can still reach the threshold, and the certified open set is the whole corpus (1000.0 for all schedules through 50% budget). Discrimination emerges late: at 70% budget rare-first certifies 793.9 open candidates versus 839.3 (random) and 866.2 (hot-first), and at full budget all schedules converge to the same open set with 100% donor recovery — the scheduling advantage is bound quality, not recall. The operational value of the anytime contract is the certified open set itself, available after any prefix: a screening queue can trade the bound against throughput, and an audit can stop early without losing a certified answer.</w:t>
      </w:r>
    </w:p>
    <w:p>
      <w:pPr>
        <w:keepNext/>
        <w:jc w:val="center"/>
      </w:pPr>
      <w:drawing xmlns:a="http://schemas.openxmlformats.org/drawingml/2006/main" xmlns:pic="http://schemas.openxmlformats.org/drawingml/2006/picture">
        <wp:inline distT="0" distB="0" distL="0" distR="0">
          <wp:extent cx="2880000" cy="1788305"/>
          <wp:effectExtent l="0" t="0" r="0" b="0"/>
          <wp:docPr id="106" name="fig3_anytime.emf"/>
          <wp:cNvGraphicFramePr/>
          <a:graphic>
            <a:graphicData uri="http://schemas.openxmlformats.org/drawingml/2006/picture">
              <pic:pic>
                <pic:nvPicPr>
                  <pic:cNvPr id="0" name="fig3_anytime.emf"/>
                  <pic:cNvPicPr/>
                </pic:nvPicPr>
                <pic:blipFill>
                  <a:blip r:embed="rId38"/>
                  <a:stretch>
                    <a:fillRect/>
                  </a:stretch>
                </pic:blipFill>
                <pic:spPr>
                  <a:xfrm>
                    <a:off x="0" y="0"/>
                    <a:ext cx="2880000" cy="1788305"/>
                  </a:xfrm>
                  <a:prstGeom prst="rect">
                    <a:avLst/>
                  </a:prstGeom>
                </pic:spPr>
              </pic:pic>
            </a:graphicData>
          </a:graphic>
        </wp:inline>
      </w:drawing>
    </w:p>
    <w:p>
      <w:pPr>
        <w:pStyle w:val="FigureCaption"/>
      </w:pPr>
      <w:r>
        <w:rPr>
          <w:sz w:val="19"/>
        </w:rPr>
        <w:t>Fig. 6. Open-candidate bound versus processed budget for three schedules; 16 s spans, 1,000-piece corpus.</w:t>
      </w:r>
    </w:p>
    <w:p>
      <w:pPr>
        <w:pStyle w:val="TableTitle"/>
        <w:keepNext/>
      </w:pPr>
      <w:r>
        <w:t>TABLE V.</w:t>
      </w:r>
    </w:p>
    <w:p>
      <w:pPr>
        <w:pStyle w:val="TableTitle"/>
        <w:keepNext/>
      </w:pPr>
      <w:r>
        <w:t>Anytime schedules on 16 s spans over a 1,000-piece corpus: mean open-candidate bound (hits plus remaining bound) and donor recovery per budget fraction.</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tcBorders>
              <w:top w:val="single" w:sz="12" w:color="000000"/>
              <w:bottom w:val="single" w:sz="6" w:color="000000"/>
            </w:tcBorders>
          </w:tcPr>
          <w:p>
            <w:pPr>
              <w:keepNext/>
              <w:jc w:val="left"/>
            </w:pPr>
            <w:r/>
            <w:r>
              <w:rPr>
                <w:rFonts w:ascii="Times New Roman" w:hAnsi="Times New Roman"/>
                <w:b/>
                <w:sz w:val="16"/>
              </w:rPr>
              <w:t>Budget</w:t>
            </w:r>
          </w:p>
        </w:tc>
        <w:tc>
          <w:tcPr>
            <w:tcW w:type="dxa" w:w="2074"/>
            <w:tcBorders>
              <w:top w:val="single" w:sz="12" w:color="000000"/>
              <w:bottom w:val="single" w:sz="6" w:color="000000"/>
            </w:tcBorders>
          </w:tcPr>
          <w:p>
            <w:pPr>
              <w:keepNext/>
              <w:jc w:val="center"/>
            </w:pPr>
            <w:r/>
            <w:r>
              <w:rPr>
                <w:rFonts w:ascii="Times New Roman" w:hAnsi="Times New Roman"/>
                <w:b/>
                <w:sz w:val="16"/>
              </w:rPr>
              <w:t>Rare-first open</w:t>
            </w:r>
          </w:p>
        </w:tc>
        <w:tc>
          <w:tcPr>
            <w:tcW w:type="dxa" w:w="2074"/>
            <w:tcBorders>
              <w:top w:val="single" w:sz="12" w:color="000000"/>
              <w:bottom w:val="single" w:sz="6" w:color="000000"/>
            </w:tcBorders>
          </w:tcPr>
          <w:p>
            <w:pPr>
              <w:keepNext/>
              <w:jc w:val="center"/>
            </w:pPr>
            <w:r/>
            <w:r>
              <w:rPr>
                <w:rFonts w:ascii="Times New Roman" w:hAnsi="Times New Roman"/>
                <w:b/>
                <w:sz w:val="16"/>
              </w:rPr>
              <w:t>Random open</w:t>
            </w:r>
          </w:p>
        </w:tc>
        <w:tc>
          <w:tcPr>
            <w:tcW w:type="dxa" w:w="2074"/>
            <w:tcBorders>
              <w:top w:val="single" w:sz="12" w:color="000000"/>
              <w:bottom w:val="single" w:sz="6" w:color="000000"/>
            </w:tcBorders>
          </w:tcPr>
          <w:p>
            <w:pPr>
              <w:keepNext/>
              <w:jc w:val="center"/>
            </w:pPr>
            <w:r/>
            <w:r>
              <w:rPr>
                <w:rFonts w:ascii="Times New Roman" w:hAnsi="Times New Roman"/>
                <w:b/>
                <w:sz w:val="16"/>
              </w:rPr>
              <w:t>Hot-first open</w:t>
            </w:r>
          </w:p>
        </w:tc>
        <w:tc>
          <w:tcPr>
            <w:tcW w:type="dxa" w:w="2074"/>
            <w:tcBorders>
              <w:top w:val="single" w:sz="12" w:color="000000"/>
              <w:bottom w:val="single" w:sz="6" w:color="000000"/>
            </w:tcBorders>
          </w:tcPr>
          <w:p>
            <w:pPr>
              <w:keepNext/>
              <w:jc w:val="center"/>
            </w:pPr>
            <w:r/>
            <w:r>
              <w:rPr>
                <w:rFonts w:ascii="Times New Roman" w:hAnsi="Times New Roman"/>
                <w:b/>
                <w:sz w:val="16"/>
              </w:rPr>
              <w:t>Donor recovery (%)</w:t>
            </w:r>
          </w:p>
        </w:tc>
      </w:tr>
      <w:tr>
        <w:trPr>
          <w:cantSplit/>
        </w:trPr>
        <w:tc>
          <w:tcPr>
            <w:tcW w:type="dxa" w:w="2074"/>
          </w:tcPr>
          <w:p>
            <w:pPr>
              <w:keepNext/>
              <w:jc w:val="left"/>
            </w:pPr>
            <w:r/>
            <w:r>
              <w:rPr>
                <w:rFonts w:ascii="Times New Roman" w:hAnsi="Times New Roman"/>
                <w:b w:val="0"/>
                <w:sz w:val="16"/>
              </w:rPr>
              <w:t>2%</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5%</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10%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20%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35%</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0</w:t>
            </w:r>
          </w:p>
        </w:tc>
      </w:tr>
      <w:tr>
        <w:trPr>
          <w:cantSplit/>
        </w:trPr>
        <w:tc>
          <w:tcPr>
            <w:tcW w:type="dxa" w:w="2074"/>
          </w:tcPr>
          <w:p>
            <w:pPr>
              <w:keepNext/>
              <w:jc w:val="left"/>
            </w:pPr>
            <w:r/>
            <w:r>
              <w:rPr>
                <w:rFonts w:ascii="Times New Roman" w:hAnsi="Times New Roman"/>
                <w:b w:val="0"/>
                <w:sz w:val="16"/>
              </w:rPr>
              <w:t>50%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1000.0</w:t>
            </w:r>
          </w:p>
        </w:tc>
        <w:tc>
          <w:tcPr>
            <w:tcW w:type="dxa" w:w="2074"/>
          </w:tcPr>
          <w:p>
            <w:pPr>
              <w:keepNext/>
              <w:jc w:val="center"/>
            </w:pPr>
            <w:r/>
            <w:r>
              <w:rPr>
                <w:rFonts w:ascii="Times New Roman" w:hAnsi="Times New Roman"/>
                <w:b w:val="0"/>
                <w:sz w:val="16"/>
              </w:rPr>
              <w:t>50</w:t>
            </w:r>
          </w:p>
        </w:tc>
      </w:tr>
      <w:tr>
        <w:trPr>
          <w:cantSplit/>
        </w:trPr>
        <w:tc>
          <w:tcPr>
            <w:tcW w:type="dxa" w:w="2074"/>
          </w:tcPr>
          <w:p>
            <w:pPr>
              <w:keepNext/>
              <w:jc w:val="left"/>
            </w:pPr>
            <w:r/>
            <w:r>
              <w:rPr>
                <w:rFonts w:ascii="Times New Roman" w:hAnsi="Times New Roman"/>
                <w:b w:val="0"/>
                <w:sz w:val="16"/>
              </w:rPr>
              <w:t>70%</w:t>
            </w:r>
          </w:p>
        </w:tc>
        <w:tc>
          <w:tcPr>
            <w:tcW w:type="dxa" w:w="2074"/>
          </w:tcPr>
          <w:p>
            <w:pPr>
              <w:keepNext/>
              <w:jc w:val="center"/>
            </w:pPr>
            <w:r/>
            <w:r>
              <w:rPr>
                <w:rFonts w:ascii="Times New Roman" w:hAnsi="Times New Roman"/>
                <w:b w:val="0"/>
                <w:sz w:val="16"/>
              </w:rPr>
              <w:t>793.9</w:t>
            </w:r>
          </w:p>
        </w:tc>
        <w:tc>
          <w:tcPr>
            <w:tcW w:type="dxa" w:w="2074"/>
          </w:tcPr>
          <w:p>
            <w:pPr>
              <w:keepNext/>
              <w:jc w:val="center"/>
            </w:pPr>
            <w:r/>
            <w:r>
              <w:rPr>
                <w:rFonts w:ascii="Times New Roman" w:hAnsi="Times New Roman"/>
                <w:b w:val="0"/>
                <w:sz w:val="16"/>
              </w:rPr>
              <w:t>839.3</w:t>
            </w:r>
          </w:p>
        </w:tc>
        <w:tc>
          <w:tcPr>
            <w:tcW w:type="dxa" w:w="2074"/>
          </w:tcPr>
          <w:p>
            <w:pPr>
              <w:keepNext/>
              <w:jc w:val="center"/>
            </w:pPr>
            <w:r/>
            <w:r>
              <w:rPr>
                <w:rFonts w:ascii="Times New Roman" w:hAnsi="Times New Roman"/>
                <w:b w:val="0"/>
                <w:sz w:val="16"/>
              </w:rPr>
              <w:t>866.2</w:t>
            </w:r>
          </w:p>
        </w:tc>
        <w:tc>
          <w:tcPr>
            <w:tcW w:type="dxa" w:w="2074"/>
          </w:tcPr>
          <w:p>
            <w:pPr>
              <w:keepNext/>
              <w:jc w:val="center"/>
            </w:pPr>
            <w:r/>
            <w:r>
              <w:rPr>
                <w:rFonts w:ascii="Times New Roman" w:hAnsi="Times New Roman"/>
                <w:b w:val="0"/>
                <w:sz w:val="16"/>
              </w:rPr>
              <w:t>93</w:t>
            </w:r>
          </w:p>
        </w:tc>
      </w:tr>
      <w:tr>
        <w:trPr>
          <w:cantSplit/>
        </w:trPr>
        <w:tc>
          <w:tcPr>
            <w:tcW w:type="dxa" w:w="2074"/>
            <w:tcBorders>
              <w:bottom w:val="single" w:sz="12" w:color="000000"/>
            </w:tcBorders>
          </w:tcPr>
          <w:p>
            <w:pPr>
              <w:jc w:val="left"/>
            </w:pPr>
            <w:r/>
            <w:r>
              <w:rPr>
                <w:rFonts w:ascii="Times New Roman" w:hAnsi="Times New Roman"/>
                <w:b w:val="0"/>
                <w:sz w:val="16"/>
              </w:rPr>
              <w:t>100%</w:t>
            </w:r>
          </w:p>
        </w:tc>
        <w:tc>
          <w:tcPr>
            <w:tcW w:type="dxa" w:w="2074"/>
            <w:tcBorders>
              <w:bottom w:val="single" w:sz="12" w:color="000000"/>
            </w:tcBorders>
          </w:tcPr>
          <w:p>
            <w:pPr>
              <w:jc w:val="center"/>
            </w:pPr>
            <w:r/>
            <w:r>
              <w:rPr>
                <w:rFonts w:ascii="Times New Roman" w:hAnsi="Times New Roman"/>
                <w:b w:val="0"/>
                <w:sz w:val="16"/>
              </w:rPr>
              <w:t>676.6</w:t>
            </w:r>
          </w:p>
        </w:tc>
        <w:tc>
          <w:tcPr>
            <w:tcW w:type="dxa" w:w="2074"/>
            <w:tcBorders>
              <w:bottom w:val="single" w:sz="12" w:color="000000"/>
            </w:tcBorders>
          </w:tcPr>
          <w:p>
            <w:pPr>
              <w:jc w:val="center"/>
            </w:pPr>
            <w:r/>
            <w:r>
              <w:rPr>
                <w:rFonts w:ascii="Times New Roman" w:hAnsi="Times New Roman"/>
                <w:b w:val="0"/>
                <w:sz w:val="16"/>
              </w:rPr>
              <w:t>676.6</w:t>
            </w:r>
          </w:p>
        </w:tc>
        <w:tc>
          <w:tcPr>
            <w:tcW w:type="dxa" w:w="2074"/>
            <w:tcBorders>
              <w:bottom w:val="single" w:sz="12" w:color="000000"/>
            </w:tcBorders>
          </w:tcPr>
          <w:p>
            <w:pPr>
              <w:jc w:val="center"/>
            </w:pPr>
            <w:r/>
            <w:r>
              <w:rPr>
                <w:rFonts w:ascii="Times New Roman" w:hAnsi="Times New Roman"/>
                <w:b w:val="0"/>
                <w:sz w:val="16"/>
              </w:rPr>
              <w:t>676.6</w:t>
            </w:r>
          </w:p>
        </w:tc>
        <w:tc>
          <w:tcPr>
            <w:tcW w:type="dxa" w:w="2074"/>
            <w:tcBorders>
              <w:bottom w:val="single" w:sz="12" w:color="000000"/>
            </w:tcBorders>
          </w:tcPr>
          <w:p>
            <w:pPr>
              <w:jc w:val="center"/>
            </w:pPr>
            <w:r/>
            <w:r>
              <w:rPr>
                <w:rFonts w:ascii="Times New Roman" w:hAnsi="Times New Roman"/>
                <w:b w:val="0"/>
                <w:sz w:val="16"/>
              </w:rPr>
              <w:t>100</w:t>
            </w:r>
          </w:p>
        </w:tc>
      </w:tr>
    </w:tbl>
    <w:p>
      <w:pPr>
        <w:spacing w:after="40"/>
      </w:pPr>
    </w:p>
    <w:p>
      <w:pPr>
        <w:pStyle w:val="Heading2"/>
      </w:pPr>
      <w:r>
        <w:t>D. The key negative result: screening is not deciding</w:t>
      </w:r>
    </w:p>
    <w:p>
      <w:pPr>
        <w:spacing w:after="0"/>
        <w:ind w:firstLine="204"/>
        <w:jc w:val="both"/>
      </w:pPr>
      <w:r>
        <w:t>On the hard-negative pools, the tolerant screen alone produces a 93% fragment-level false-positive rate, and raising the threshold cannot repair it: recall falls below 80% before the false-positive rate reaches 43%. Verbatim counts alone rank well (donor in top-20: 93.7%) but still flag 22% of fragments. Fig. 7 and Table VI break the phenomenon down by donor-margin distribution and fragment length. This is a property of item-level encodings—pop repertoire shares large amounts of grid-quantized material—and it motivates the confirmation layer. Sample sizes are small (238 fragments; 95% half-width ≈ 1.8 pp near 2% incidence and ≈ 6.3 pp near 50%), so we treat single-percentage-point differences as ties and rely on margins larger than the half-width.</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5760000" cy="1984491"/>
          <wp:effectExtent l="0" t="0" r="0" b="0"/>
          <wp:docPr id="107" name="fig_e13_margins.emf"/>
          <wp:cNvGraphicFramePr/>
          <a:graphic>
            <a:graphicData uri="http://schemas.openxmlformats.org/drawingml/2006/picture">
              <pic:pic>
                <pic:nvPicPr>
                  <pic:cNvPr id="0" name="fig_e13_margins.emf"/>
                  <pic:cNvPicPr/>
                </pic:nvPicPr>
                <pic:blipFill>
                  <a:blip r:embed="rId39"/>
                  <a:stretch>
                    <a:fillRect/>
                  </a:stretch>
                </pic:blipFill>
                <pic:spPr>
                  <a:xfrm>
                    <a:off x="0" y="0"/>
                    <a:ext cx="5760000" cy="1984491"/>
                  </a:xfrm>
                  <a:prstGeom prst="rect">
                    <a:avLst/>
                  </a:prstGeom>
                </pic:spPr>
              </pic:pic>
            </a:graphicData>
          </a:graphic>
        </wp:inline>
      </w:drawing>
    </w:p>
    <w:p>
      <w:pPr>
        <w:pStyle w:val="FigureCaption"/>
      </w:pPr>
      <w:r>
        <w:rPr>
          <w:sz w:val="19"/>
        </w:rPr>
        <w:t>Fig. 7. Donor score margin (donor minus best non-donor) on 238 hard-negative fragments; the annotated rate is the fragment-level flag rate of each layer.</w:t>
      </w:r>
    </w:p>
    <w:p>
      <w:pPr>
        <w:sectPr w:rsidR="007E713A" w:rsidSect="00002FAF">
          <w:headerReference w:type="default" r:id="rId9"/>
          <w:type w:val="continuous"/>
          <w:pgSz w:w="12240" w:h="15840"/>
          <w:pgMar w:top="1008" w:right="936" w:bottom="1008" w:left="936" w:header="432" w:footer="432" w:gutter="0"/>
          <w:cols w:space="288"/>
        </w:sectPr>
      </w:pPr>
    </w:p>
    <w:p>
      <w:pPr>
        <w:pStyle w:val="TableTitle"/>
        <w:keepNext/>
      </w:pPr>
      <w:r>
        <w:t>TABLE VI.</w:t>
      </w:r>
    </w:p>
    <w:p>
      <w:pPr>
        <w:pStyle w:val="TableTitle"/>
        <w:keepNext/>
      </w:pPr>
      <w:r>
        <w:t>Single-layer screening on style-similar hard negatives (80 donors, transcribed fragments), by fragment length.</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tcBorders>
              <w:top w:val="single" w:sz="12" w:color="000000"/>
              <w:bottom w:val="single" w:sz="6" w:color="000000"/>
            </w:tcBorders>
          </w:tcPr>
          <w:p>
            <w:pPr>
              <w:keepNext/>
              <w:jc w:val="left"/>
            </w:pPr>
            <w:r/>
            <w:r>
              <w:rPr>
                <w:rFonts w:ascii="Times New Roman" w:hAnsi="Times New Roman"/>
                <w:b/>
                <w:sz w:val="16"/>
              </w:rPr>
              <w:t>Span (s)</w:t>
            </w:r>
          </w:p>
        </w:tc>
        <w:tc>
          <w:tcPr>
            <w:tcW w:type="dxa" w:w="2074"/>
            <w:tcBorders>
              <w:top w:val="single" w:sz="12" w:color="000000"/>
              <w:bottom w:val="single" w:sz="6" w:color="000000"/>
            </w:tcBorders>
          </w:tcPr>
          <w:p>
            <w:pPr>
              <w:keepNext/>
              <w:jc w:val="center"/>
            </w:pPr>
            <w:r/>
            <w:r>
              <w:rPr>
                <w:rFonts w:ascii="Times New Roman" w:hAnsi="Times New Roman"/>
                <w:b/>
                <w:sz w:val="16"/>
              </w:rPr>
              <w:t>Fragments</w:t>
            </w:r>
          </w:p>
        </w:tc>
        <w:tc>
          <w:tcPr>
            <w:tcW w:type="dxa" w:w="2074"/>
            <w:tcBorders>
              <w:top w:val="single" w:sz="12" w:color="000000"/>
              <w:bottom w:val="single" w:sz="6" w:color="000000"/>
            </w:tcBorders>
          </w:tcPr>
          <w:p>
            <w:pPr>
              <w:keepNext/>
              <w:jc w:val="center"/>
            </w:pPr>
            <w:r/>
            <w:r>
              <w:rPr>
                <w:rFonts w:ascii="Times New Roman" w:hAnsi="Times New Roman"/>
                <w:b/>
                <w:sz w:val="16"/>
              </w:rPr>
              <w:t>L1 tolerant FP (%)</w:t>
            </w:r>
          </w:p>
        </w:tc>
        <w:tc>
          <w:tcPr>
            <w:tcW w:type="dxa" w:w="2074"/>
            <w:tcBorders>
              <w:top w:val="single" w:sz="12" w:color="000000"/>
              <w:bottom w:val="single" w:sz="6" w:color="000000"/>
            </w:tcBorders>
          </w:tcPr>
          <w:p>
            <w:pPr>
              <w:keepNext/>
              <w:jc w:val="center"/>
            </w:pPr>
            <w:r/>
            <w:r>
              <w:rPr>
                <w:rFonts w:ascii="Times New Roman" w:hAnsi="Times New Roman"/>
                <w:b/>
                <w:sz w:val="16"/>
              </w:rPr>
              <w:t>L2 verbatim FP (%)</w:t>
            </w:r>
          </w:p>
        </w:tc>
        <w:tc>
          <w:tcPr>
            <w:tcW w:type="dxa" w:w="2074"/>
            <w:tcBorders>
              <w:top w:val="single" w:sz="12" w:color="000000"/>
              <w:bottom w:val="single" w:sz="6" w:color="000000"/>
            </w:tcBorders>
          </w:tcPr>
          <w:p>
            <w:pPr>
              <w:keepNext/>
              <w:jc w:val="center"/>
            </w:pPr>
            <w:r/>
            <w:r>
              <w:rPr>
                <w:rFonts w:ascii="Times New Roman" w:hAnsi="Times New Roman"/>
                <w:b/>
                <w:sz w:val="16"/>
              </w:rPr>
              <w:t>L2 donor in top-20 (%)</w:t>
            </w:r>
          </w:p>
        </w:tc>
      </w:tr>
      <w:tr>
        <w:trPr>
          <w:cantSplit/>
        </w:trPr>
        <w:tc>
          <w:tcPr>
            <w:tcW w:type="dxa" w:w="2074"/>
          </w:tcPr>
          <w:p>
            <w:pPr>
              <w:keepNext/>
              <w:jc w:val="left"/>
            </w:pPr>
            <w:r/>
            <w:r>
              <w:rPr>
                <w:rFonts w:ascii="Times New Roman" w:hAnsi="Times New Roman"/>
                <w:b w:val="0"/>
                <w:sz w:val="16"/>
              </w:rPr>
              <w:t>4</w:t>
            </w:r>
          </w:p>
        </w:tc>
        <w:tc>
          <w:tcPr>
            <w:tcW w:type="dxa" w:w="2074"/>
          </w:tcPr>
          <w:p>
            <w:pPr>
              <w:keepNext/>
              <w:jc w:val="center"/>
            </w:pPr>
            <w:r/>
            <w:r>
              <w:rPr>
                <w:rFonts w:ascii="Times New Roman" w:hAnsi="Times New Roman"/>
                <w:b w:val="0"/>
                <w:sz w:val="16"/>
              </w:rPr>
              <w:t>79</w:t>
            </w:r>
          </w:p>
        </w:tc>
        <w:tc>
          <w:tcPr>
            <w:tcW w:type="dxa" w:w="2074"/>
          </w:tcPr>
          <w:p>
            <w:pPr>
              <w:keepNext/>
              <w:jc w:val="center"/>
            </w:pPr>
            <w:r/>
            <w:r>
              <w:rPr>
                <w:rFonts w:ascii="Times New Roman" w:hAnsi="Times New Roman"/>
                <w:b w:val="0"/>
                <w:sz w:val="16"/>
              </w:rPr>
              <w:t>93.7</w:t>
            </w:r>
          </w:p>
        </w:tc>
        <w:tc>
          <w:tcPr>
            <w:tcW w:type="dxa" w:w="2074"/>
          </w:tcPr>
          <w:p>
            <w:pPr>
              <w:keepNext/>
              <w:jc w:val="center"/>
            </w:pPr>
            <w:r/>
            <w:r>
              <w:rPr>
                <w:rFonts w:ascii="Times New Roman" w:hAnsi="Times New Roman"/>
                <w:b w:val="0"/>
                <w:sz w:val="16"/>
              </w:rPr>
              <w:t>31.6</w:t>
            </w:r>
          </w:p>
        </w:tc>
        <w:tc>
          <w:tcPr>
            <w:tcW w:type="dxa" w:w="2074"/>
          </w:tcPr>
          <w:p>
            <w:pPr>
              <w:keepNext/>
              <w:jc w:val="center"/>
            </w:pPr>
            <w:r/>
            <w:r>
              <w:rPr>
                <w:rFonts w:ascii="Times New Roman" w:hAnsi="Times New Roman"/>
                <w:b w:val="0"/>
                <w:sz w:val="16"/>
              </w:rPr>
              <w:t>94.9</w:t>
            </w:r>
          </w:p>
        </w:tc>
      </w:tr>
      <w:tr>
        <w:trPr>
          <w:cantSplit/>
        </w:trPr>
        <w:tc>
          <w:tcPr>
            <w:tcW w:type="dxa" w:w="2074"/>
          </w:tcPr>
          <w:p>
            <w:pPr>
              <w:keepNext/>
              <w:jc w:val="left"/>
            </w:pPr>
            <w:r/>
            <w:r>
              <w:rPr>
                <w:rFonts w:ascii="Times New Roman" w:hAnsi="Times New Roman"/>
                <w:b w:val="0"/>
                <w:sz w:val="16"/>
              </w:rPr>
              <w:t>8</w:t>
            </w:r>
          </w:p>
        </w:tc>
        <w:tc>
          <w:tcPr>
            <w:tcW w:type="dxa" w:w="2074"/>
          </w:tcPr>
          <w:p>
            <w:pPr>
              <w:keepNext/>
              <w:jc w:val="center"/>
            </w:pPr>
            <w:r/>
            <w:r>
              <w:rPr>
                <w:rFonts w:ascii="Times New Roman" w:hAnsi="Times New Roman"/>
                <w:b w:val="0"/>
                <w:sz w:val="16"/>
              </w:rPr>
              <w:t>79</w:t>
            </w:r>
          </w:p>
        </w:tc>
        <w:tc>
          <w:tcPr>
            <w:tcW w:type="dxa" w:w="2074"/>
          </w:tcPr>
          <w:p>
            <w:pPr>
              <w:keepNext/>
              <w:jc w:val="center"/>
            </w:pPr>
            <w:r/>
            <w:r>
              <w:rPr>
                <w:rFonts w:ascii="Times New Roman" w:hAnsi="Times New Roman"/>
                <w:b w:val="0"/>
                <w:sz w:val="16"/>
              </w:rPr>
              <w:t>93.7</w:t>
            </w:r>
          </w:p>
        </w:tc>
        <w:tc>
          <w:tcPr>
            <w:tcW w:type="dxa" w:w="2074"/>
          </w:tcPr>
          <w:p>
            <w:pPr>
              <w:keepNext/>
              <w:jc w:val="center"/>
            </w:pPr>
            <w:r/>
            <w:r>
              <w:rPr>
                <w:rFonts w:ascii="Times New Roman" w:hAnsi="Times New Roman"/>
                <w:b w:val="0"/>
                <w:sz w:val="16"/>
              </w:rPr>
              <w:t>22.8</w:t>
            </w:r>
          </w:p>
        </w:tc>
        <w:tc>
          <w:tcPr>
            <w:tcW w:type="dxa" w:w="2074"/>
          </w:tcPr>
          <w:p>
            <w:pPr>
              <w:keepNext/>
              <w:jc w:val="center"/>
            </w:pPr>
            <w:r/>
            <w:r>
              <w:rPr>
                <w:rFonts w:ascii="Times New Roman" w:hAnsi="Times New Roman"/>
                <w:b w:val="0"/>
                <w:sz w:val="16"/>
              </w:rPr>
              <w:t>92.4</w:t>
            </w:r>
          </w:p>
        </w:tc>
      </w:tr>
      <w:tr>
        <w:trPr>
          <w:cantSplit/>
        </w:trPr>
        <w:tc>
          <w:tcPr>
            <w:tcW w:type="dxa" w:w="2074"/>
          </w:tcPr>
          <w:p>
            <w:pPr>
              <w:keepNext/>
              <w:jc w:val="left"/>
            </w:pPr>
            <w:r/>
            <w:r>
              <w:rPr>
                <w:rFonts w:ascii="Times New Roman" w:hAnsi="Times New Roman"/>
                <w:b w:val="0"/>
                <w:sz w:val="16"/>
              </w:rPr>
              <w:t>16</w:t>
            </w:r>
          </w:p>
        </w:tc>
        <w:tc>
          <w:tcPr>
            <w:tcW w:type="dxa" w:w="2074"/>
          </w:tcPr>
          <w:p>
            <w:pPr>
              <w:keepNext/>
              <w:jc w:val="center"/>
            </w:pPr>
            <w:r/>
            <w:r>
              <w:rPr>
                <w:rFonts w:ascii="Times New Roman" w:hAnsi="Times New Roman"/>
                <w:b w:val="0"/>
                <w:sz w:val="16"/>
              </w:rPr>
              <w:t>80</w:t>
            </w:r>
          </w:p>
        </w:tc>
        <w:tc>
          <w:tcPr>
            <w:tcW w:type="dxa" w:w="2074"/>
          </w:tcPr>
          <w:p>
            <w:pPr>
              <w:keepNext/>
              <w:jc w:val="center"/>
            </w:pPr>
            <w:r/>
            <w:r>
              <w:rPr>
                <w:rFonts w:ascii="Times New Roman" w:hAnsi="Times New Roman"/>
                <w:b w:val="0"/>
                <w:sz w:val="16"/>
              </w:rPr>
              <w:t>92.5</w:t>
            </w:r>
          </w:p>
        </w:tc>
        <w:tc>
          <w:tcPr>
            <w:tcW w:type="dxa" w:w="2074"/>
          </w:tcPr>
          <w:p>
            <w:pPr>
              <w:keepNext/>
              <w:jc w:val="center"/>
            </w:pPr>
            <w:r/>
            <w:r>
              <w:rPr>
                <w:rFonts w:ascii="Times New Roman" w:hAnsi="Times New Roman"/>
                <w:b w:val="0"/>
                <w:sz w:val="16"/>
              </w:rPr>
              <w:t>12.5</w:t>
            </w:r>
          </w:p>
        </w:tc>
        <w:tc>
          <w:tcPr>
            <w:tcW w:type="dxa" w:w="2074"/>
          </w:tcPr>
          <w:p>
            <w:pPr>
              <w:keepNext/>
              <w:jc w:val="center"/>
            </w:pPr>
            <w:r/>
            <w:r>
              <w:rPr>
                <w:rFonts w:ascii="Times New Roman" w:hAnsi="Times New Roman"/>
                <w:b w:val="0"/>
                <w:sz w:val="16"/>
              </w:rPr>
              <w:t>93.8</w:t>
            </w:r>
          </w:p>
        </w:tc>
      </w:tr>
      <w:tr>
        <w:trPr>
          <w:cantSplit/>
        </w:trPr>
        <w:tc>
          <w:tcPr>
            <w:tcW w:type="dxa" w:w="2074"/>
            <w:tcBorders>
              <w:bottom w:val="single" w:sz="12" w:color="000000"/>
            </w:tcBorders>
          </w:tcPr>
          <w:p>
            <w:pPr>
              <w:jc w:val="left"/>
            </w:pPr>
            <w:r/>
            <w:r>
              <w:rPr>
                <w:rFonts w:ascii="Times New Roman" w:hAnsi="Times New Roman"/>
                <w:b w:val="0"/>
                <w:sz w:val="16"/>
              </w:rPr>
              <w:t>All</w:t>
            </w:r>
          </w:p>
        </w:tc>
        <w:tc>
          <w:tcPr>
            <w:tcW w:type="dxa" w:w="2074"/>
            <w:tcBorders>
              <w:bottom w:val="single" w:sz="12" w:color="000000"/>
            </w:tcBorders>
          </w:tcPr>
          <w:p>
            <w:pPr>
              <w:jc w:val="center"/>
            </w:pPr>
            <w:r/>
            <w:r>
              <w:rPr>
                <w:rFonts w:ascii="Times New Roman" w:hAnsi="Times New Roman"/>
                <w:b w:val="0"/>
                <w:sz w:val="16"/>
              </w:rPr>
              <w:t>238</w:t>
            </w:r>
          </w:p>
        </w:tc>
        <w:tc>
          <w:tcPr>
            <w:tcW w:type="dxa" w:w="2074"/>
            <w:tcBorders>
              <w:bottom w:val="single" w:sz="12" w:color="000000"/>
            </w:tcBorders>
          </w:tcPr>
          <w:p>
            <w:pPr>
              <w:jc w:val="center"/>
            </w:pPr>
            <w:r/>
            <w:r>
              <w:rPr>
                <w:rFonts w:ascii="Times New Roman" w:hAnsi="Times New Roman"/>
                <w:b w:val="0"/>
                <w:sz w:val="16"/>
              </w:rPr>
              <w:t>93.3</w:t>
            </w:r>
          </w:p>
        </w:tc>
        <w:tc>
          <w:tcPr>
            <w:tcW w:type="dxa" w:w="2074"/>
            <w:tcBorders>
              <w:bottom w:val="single" w:sz="12" w:color="000000"/>
            </w:tcBorders>
          </w:tcPr>
          <w:p>
            <w:pPr>
              <w:jc w:val="center"/>
            </w:pPr>
            <w:r/>
            <w:r>
              <w:rPr>
                <w:rFonts w:ascii="Times New Roman" w:hAnsi="Times New Roman"/>
                <w:b w:val="0"/>
                <w:sz w:val="16"/>
              </w:rPr>
              <w:t>22.3</w:t>
            </w:r>
          </w:p>
        </w:tc>
        <w:tc>
          <w:tcPr>
            <w:tcW w:type="dxa" w:w="2074"/>
            <w:tcBorders>
              <w:bottom w:val="single" w:sz="12" w:color="000000"/>
            </w:tcBorders>
          </w:tcPr>
          <w:p>
            <w:pPr>
              <w:jc w:val="center"/>
            </w:pPr>
            <w:r/>
            <w:r>
              <w:rPr>
                <w:rFonts w:ascii="Times New Roman" w:hAnsi="Times New Roman"/>
                <w:b w:val="0"/>
                <w:sz w:val="16"/>
              </w:rPr>
              <w:t>93.7</w:t>
            </w:r>
          </w:p>
        </w:tc>
      </w:tr>
    </w:tbl>
    <w:p>
      <w:pPr>
        <w:spacing w:after="40"/>
      </w:pPr>
    </w:p>
    <w:p>
      <w:pPr>
        <w:pStyle w:val="Heading2"/>
      </w:pPr>
      <w:r>
        <w:t>E. Confirmation precision and the cascade</w:t>
      </w:r>
    </w:p>
    <w:p>
      <w:pPr>
        <w:spacing w:after="0"/>
        <w:ind w:firstLine="204"/>
        <w:jc w:val="both"/>
      </w:pPr>
      <w:r>
        <w:t>Strict-tolerance chain confirmation reaches a 2.1% fragment-level false-positive rate at 83.9% recall (ρ=0.5), and 7.2% at 98.3% recall (ρ=0.4); Table VII and Fig. 8 map the full recall/FP trade-off over three anchor-tolerance regimes and four contiguity thresholds. Table VIII places the full cascade against its single-layer ablations. The cascade's remaining bottleneck is candidate retention: verbatim top-C keeps 93.1% (C=20) and 96.6% (C=50) of donors; the union of tolerant and verbatim top-C feeds—adopted in the final system—lifts retention above 99%.</w:t>
      </w:r>
    </w:p>
    <w:p>
      <w:pPr>
        <w:pStyle w:val="TableTitle"/>
        <w:keepNext/>
      </w:pPr>
      <w:r>
        <w:t>TABLE VII.</w:t>
      </w:r>
    </w:p>
    <w:p>
      <w:pPr>
        <w:pStyle w:val="TableTitle"/>
        <w:keepNext/>
      </w:pPr>
      <w:r>
        <w:t>Confirmation recall / fragment-level FP (%) by anchor-tolerance regime and contiguity threshold ρ (236 hard-negative fragments).</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tcBorders>
              <w:top w:val="single" w:sz="12" w:color="000000"/>
              <w:bottom w:val="single" w:sz="6" w:color="000000"/>
            </w:tcBorders>
          </w:tcPr>
          <w:p>
            <w:pPr>
              <w:keepNext/>
              <w:jc w:val="left"/>
            </w:pPr>
            <w:r/>
            <w:r>
              <w:rPr>
                <w:rFonts w:ascii="Times New Roman" w:hAnsi="Times New Roman"/>
                <w:b/>
                <w:sz w:val="16"/>
              </w:rPr>
              <w:t>Anchor tolerance</w:t>
            </w:r>
          </w:p>
        </w:tc>
        <w:tc>
          <w:tcPr>
            <w:tcW w:type="dxa" w:w="2074"/>
            <w:tcBorders>
              <w:top w:val="single" w:sz="12" w:color="000000"/>
              <w:bottom w:val="single" w:sz="6" w:color="000000"/>
            </w:tcBorders>
          </w:tcPr>
          <w:p>
            <w:pPr>
              <w:keepNext/>
              <w:jc w:val="center"/>
            </w:pPr>
            <w:r/>
            <w:r>
              <w:rPr>
                <w:rFonts w:ascii="Times New Roman" w:hAnsi="Times New Roman"/>
                <w:b/>
                <w:sz w:val="16"/>
              </w:rPr>
              <w:t>ρ = 0.3</w:t>
            </w:r>
          </w:p>
        </w:tc>
        <w:tc>
          <w:tcPr>
            <w:tcW w:type="dxa" w:w="2074"/>
            <w:tcBorders>
              <w:top w:val="single" w:sz="12" w:color="000000"/>
              <w:bottom w:val="single" w:sz="6" w:color="000000"/>
            </w:tcBorders>
          </w:tcPr>
          <w:p>
            <w:pPr>
              <w:keepNext/>
              <w:jc w:val="center"/>
            </w:pPr>
            <w:r/>
            <w:r>
              <w:rPr>
                <w:rFonts w:ascii="Times New Roman" w:hAnsi="Times New Roman"/>
                <w:b/>
                <w:sz w:val="16"/>
              </w:rPr>
              <w:t>ρ = 0.4</w:t>
            </w:r>
          </w:p>
        </w:tc>
        <w:tc>
          <w:tcPr>
            <w:tcW w:type="dxa" w:w="2074"/>
            <w:tcBorders>
              <w:top w:val="single" w:sz="12" w:color="000000"/>
              <w:bottom w:val="single" w:sz="6" w:color="000000"/>
            </w:tcBorders>
          </w:tcPr>
          <w:p>
            <w:pPr>
              <w:keepNext/>
              <w:jc w:val="center"/>
            </w:pPr>
            <w:r/>
            <w:r>
              <w:rPr>
                <w:rFonts w:ascii="Times New Roman" w:hAnsi="Times New Roman"/>
                <w:b/>
                <w:sz w:val="16"/>
              </w:rPr>
              <w:t>ρ = 0.5</w:t>
            </w:r>
          </w:p>
        </w:tc>
        <w:tc>
          <w:tcPr>
            <w:tcW w:type="dxa" w:w="2074"/>
            <w:tcBorders>
              <w:top w:val="single" w:sz="12" w:color="000000"/>
              <w:bottom w:val="single" w:sz="6" w:color="000000"/>
            </w:tcBorders>
          </w:tcPr>
          <w:p>
            <w:pPr>
              <w:keepNext/>
              <w:jc w:val="center"/>
            </w:pPr>
            <w:r/>
            <w:r>
              <w:rPr>
                <w:rFonts w:ascii="Times New Roman" w:hAnsi="Times New Roman"/>
                <w:b/>
                <w:sz w:val="16"/>
              </w:rPr>
              <w:t>ρ = 0.6</w:t>
            </w:r>
          </w:p>
        </w:tc>
      </w:tr>
      <w:tr>
        <w:trPr>
          <w:cantSplit/>
        </w:trPr>
        <w:tc>
          <w:tcPr>
            <w:tcW w:type="dxa" w:w="2074"/>
          </w:tcPr>
          <w:p>
            <w:pPr>
              <w:keepNext/>
              <w:jc w:val="left"/>
            </w:pPr>
            <w:r/>
            <w:r>
              <w:rPr>
                <w:rFonts w:ascii="Times New Roman" w:hAnsi="Times New Roman"/>
                <w:b w:val="0"/>
                <w:sz w:val="16"/>
              </w:rPr>
              <w:t>Strict anchors</w:t>
            </w:r>
          </w:p>
        </w:tc>
        <w:tc>
          <w:tcPr>
            <w:tcW w:type="dxa" w:w="2074"/>
          </w:tcPr>
          <w:p>
            <w:pPr>
              <w:keepNext/>
              <w:jc w:val="center"/>
            </w:pPr>
            <w:r/>
            <w:r>
              <w:rPr>
                <w:rFonts w:ascii="Times New Roman" w:hAnsi="Times New Roman"/>
                <w:b w:val="0"/>
                <w:sz w:val="16"/>
              </w:rPr>
              <w:t>100.0 / 13.6</w:t>
            </w:r>
          </w:p>
        </w:tc>
        <w:tc>
          <w:tcPr>
            <w:tcW w:type="dxa" w:w="2074"/>
          </w:tcPr>
          <w:p>
            <w:pPr>
              <w:keepNext/>
              <w:jc w:val="center"/>
            </w:pPr>
            <w:r/>
            <w:r>
              <w:rPr>
                <w:rFonts w:ascii="Times New Roman" w:hAnsi="Times New Roman"/>
                <w:b w:val="0"/>
                <w:sz w:val="16"/>
              </w:rPr>
              <w:t>98.3 / 7.2</w:t>
            </w:r>
          </w:p>
        </w:tc>
        <w:tc>
          <w:tcPr>
            <w:tcW w:type="dxa" w:w="2074"/>
          </w:tcPr>
          <w:p>
            <w:pPr>
              <w:keepNext/>
              <w:jc w:val="center"/>
            </w:pPr>
            <w:r/>
            <w:r>
              <w:rPr>
                <w:rFonts w:ascii="Times New Roman" w:hAnsi="Times New Roman"/>
                <w:b w:val="0"/>
                <w:sz w:val="16"/>
              </w:rPr>
              <w:t>83.9 / 2.1</w:t>
            </w:r>
          </w:p>
        </w:tc>
        <w:tc>
          <w:tcPr>
            <w:tcW w:type="dxa" w:w="2074"/>
          </w:tcPr>
          <w:p>
            <w:pPr>
              <w:keepNext/>
              <w:jc w:val="center"/>
            </w:pPr>
            <w:r/>
            <w:r>
              <w:rPr>
                <w:rFonts w:ascii="Times New Roman" w:hAnsi="Times New Roman"/>
                <w:b w:val="0"/>
                <w:sz w:val="16"/>
              </w:rPr>
              <w:t>43.2 / 0.4</w:t>
            </w:r>
          </w:p>
        </w:tc>
      </w:tr>
      <w:tr>
        <w:trPr>
          <w:cantSplit/>
        </w:trPr>
        <w:tc>
          <w:tcPr>
            <w:tcW w:type="dxa" w:w="2074"/>
          </w:tcPr>
          <w:p>
            <w:pPr>
              <w:keepNext/>
              <w:jc w:val="left"/>
            </w:pPr>
            <w:r/>
            <w:r>
              <w:rPr>
                <w:rFonts w:ascii="Times New Roman" w:hAnsi="Times New Roman"/>
                <w:b w:val="0"/>
                <w:sz w:val="16"/>
              </w:rPr>
              <w:t>Mid tolerance</w:t>
            </w:r>
          </w:p>
        </w:tc>
        <w:tc>
          <w:tcPr>
            <w:tcW w:type="dxa" w:w="2074"/>
          </w:tcPr>
          <w:p>
            <w:pPr>
              <w:keepNext/>
              <w:jc w:val="center"/>
            </w:pPr>
            <w:r/>
            <w:r>
              <w:rPr>
                <w:rFonts w:ascii="Times New Roman" w:hAnsi="Times New Roman"/>
                <w:b w:val="0"/>
                <w:sz w:val="16"/>
              </w:rPr>
              <w:t>100.0 / 88.6</w:t>
            </w:r>
          </w:p>
        </w:tc>
        <w:tc>
          <w:tcPr>
            <w:tcW w:type="dxa" w:w="2074"/>
          </w:tcPr>
          <w:p>
            <w:pPr>
              <w:keepNext/>
              <w:jc w:val="center"/>
            </w:pPr>
            <w:r/>
            <w:r>
              <w:rPr>
                <w:rFonts w:ascii="Times New Roman" w:hAnsi="Times New Roman"/>
                <w:b w:val="0"/>
                <w:sz w:val="16"/>
              </w:rPr>
              <w:t>100.0 / 66.5</w:t>
            </w:r>
          </w:p>
        </w:tc>
        <w:tc>
          <w:tcPr>
            <w:tcW w:type="dxa" w:w="2074"/>
          </w:tcPr>
          <w:p>
            <w:pPr>
              <w:keepNext/>
              <w:jc w:val="center"/>
            </w:pPr>
            <w:r/>
            <w:r>
              <w:rPr>
                <w:rFonts w:ascii="Times New Roman" w:hAnsi="Times New Roman"/>
                <w:b w:val="0"/>
                <w:sz w:val="16"/>
              </w:rPr>
              <w:t>99.6 / 50.4</w:t>
            </w:r>
          </w:p>
        </w:tc>
        <w:tc>
          <w:tcPr>
            <w:tcW w:type="dxa" w:w="2074"/>
          </w:tcPr>
          <w:p>
            <w:pPr>
              <w:keepNext/>
              <w:jc w:val="center"/>
            </w:pPr>
            <w:r/>
            <w:r>
              <w:rPr>
                <w:rFonts w:ascii="Times New Roman" w:hAnsi="Times New Roman"/>
                <w:b w:val="0"/>
                <w:sz w:val="16"/>
              </w:rPr>
              <w:t>97.5 / 36.0</w:t>
            </w:r>
          </w:p>
        </w:tc>
      </w:tr>
      <w:tr>
        <w:trPr>
          <w:cantSplit/>
        </w:trPr>
        <w:tc>
          <w:tcPr>
            <w:tcW w:type="dxa" w:w="2074"/>
            <w:tcBorders>
              <w:bottom w:val="single" w:sz="12" w:color="000000"/>
            </w:tcBorders>
          </w:tcPr>
          <w:p>
            <w:pPr>
              <w:jc w:val="left"/>
            </w:pPr>
            <w:r/>
            <w:r>
              <w:rPr>
                <w:rFonts w:ascii="Times New Roman" w:hAnsi="Times New Roman"/>
                <w:b w:val="0"/>
                <w:sz w:val="16"/>
              </w:rPr>
              <w:t>Loose tolerance</w:t>
            </w:r>
          </w:p>
        </w:tc>
        <w:tc>
          <w:tcPr>
            <w:tcW w:type="dxa" w:w="2074"/>
            <w:tcBorders>
              <w:bottom w:val="single" w:sz="12" w:color="000000"/>
            </w:tcBorders>
          </w:tcPr>
          <w:p>
            <w:pPr>
              <w:jc w:val="center"/>
            </w:pPr>
            <w:r/>
            <w:r>
              <w:rPr>
                <w:rFonts w:ascii="Times New Roman" w:hAnsi="Times New Roman"/>
                <w:b w:val="0"/>
                <w:sz w:val="16"/>
              </w:rPr>
              <w:t>100.0 / 97.5</w:t>
            </w:r>
          </w:p>
        </w:tc>
        <w:tc>
          <w:tcPr>
            <w:tcW w:type="dxa" w:w="2074"/>
            <w:tcBorders>
              <w:bottom w:val="single" w:sz="12" w:color="000000"/>
            </w:tcBorders>
          </w:tcPr>
          <w:p>
            <w:pPr>
              <w:jc w:val="center"/>
            </w:pPr>
            <w:r/>
            <w:r>
              <w:rPr>
                <w:rFonts w:ascii="Times New Roman" w:hAnsi="Times New Roman"/>
                <w:b w:val="0"/>
                <w:sz w:val="16"/>
              </w:rPr>
              <w:t>100.0 / 80.5</w:t>
            </w:r>
          </w:p>
        </w:tc>
        <w:tc>
          <w:tcPr>
            <w:tcW w:type="dxa" w:w="2074"/>
            <w:tcBorders>
              <w:bottom w:val="single" w:sz="12" w:color="000000"/>
            </w:tcBorders>
          </w:tcPr>
          <w:p>
            <w:pPr>
              <w:jc w:val="center"/>
            </w:pPr>
            <w:r/>
            <w:r>
              <w:rPr>
                <w:rFonts w:ascii="Times New Roman" w:hAnsi="Times New Roman"/>
                <w:b w:val="0"/>
                <w:sz w:val="16"/>
              </w:rPr>
              <w:t>100.0 / 63.1</w:t>
            </w:r>
          </w:p>
        </w:tc>
        <w:tc>
          <w:tcPr>
            <w:tcW w:type="dxa" w:w="2074"/>
            <w:tcBorders>
              <w:bottom w:val="single" w:sz="12" w:color="000000"/>
            </w:tcBorders>
          </w:tcPr>
          <w:p>
            <w:pPr>
              <w:jc w:val="center"/>
            </w:pPr>
            <w:r/>
            <w:r>
              <w:rPr>
                <w:rFonts w:ascii="Times New Roman" w:hAnsi="Times New Roman"/>
                <w:b w:val="0"/>
                <w:sz w:val="16"/>
              </w:rPr>
              <w:t>98.3 / 49.2</w:t>
            </w:r>
          </w:p>
        </w:tc>
      </w:tr>
    </w:tbl>
    <w:p>
      <w:pPr>
        <w:spacing w:after="40"/>
      </w:pPr>
    </w:p>
    <w:p>
      <w:pPr>
        <w:keepNext/>
        <w:jc w:val="center"/>
      </w:pPr>
      <w:drawing xmlns:a="http://schemas.openxmlformats.org/drawingml/2006/main" xmlns:pic="http://schemas.openxmlformats.org/drawingml/2006/picture">
        <wp:inline distT="0" distB="0" distL="0" distR="0">
          <wp:extent cx="2880000" cy="1797657"/>
          <wp:effectExtent l="0" t="0" r="0" b="0"/>
          <wp:docPr id="108" name="fig_e14_rho.emf"/>
          <wp:cNvGraphicFramePr/>
          <a:graphic>
            <a:graphicData uri="http://schemas.openxmlformats.org/drawingml/2006/picture">
              <pic:pic>
                <pic:nvPicPr>
                  <pic:cNvPr id="0" name="fig_e14_rho.emf"/>
                  <pic:cNvPicPr/>
                </pic:nvPicPr>
                <pic:blipFill>
                  <a:blip r:embed="rId40"/>
                  <a:stretch>
                    <a:fillRect/>
                  </a:stretch>
                </pic:blipFill>
                <pic:spPr>
                  <a:xfrm>
                    <a:off x="0" y="0"/>
                    <a:ext cx="2880000" cy="1797657"/>
                  </a:xfrm>
                  <a:prstGeom prst="rect">
                    <a:avLst/>
                  </a:prstGeom>
                </pic:spPr>
              </pic:pic>
            </a:graphicData>
          </a:graphic>
        </wp:inline>
      </w:drawing>
    </w:p>
    <w:p>
      <w:pPr>
        <w:pStyle w:val="FigureCaption"/>
      </w:pPr>
      <w:r>
        <w:rPr>
          <w:sz w:val="19"/>
        </w:rPr>
        <w:t>Fig. 8. Confirmation operating curves: donor recall versus fragment-level FP over ρ, labelled by threshold, for three anchor-tolerance regimes.</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5760000" cy="1714301"/>
          <wp:effectExtent l="0" t="0" r="0" b="0"/>
          <wp:docPr id="109" name="fig5_cascade.emf"/>
          <wp:cNvGraphicFramePr/>
          <a:graphic>
            <a:graphicData uri="http://schemas.openxmlformats.org/drawingml/2006/picture">
              <pic:pic>
                <pic:nvPicPr>
                  <pic:cNvPr id="0" name="fig5_cascade.emf"/>
                  <pic:cNvPicPr/>
                </pic:nvPicPr>
                <pic:blipFill>
                  <a:blip r:embed="rId41"/>
                  <a:stretch>
                    <a:fillRect/>
                  </a:stretch>
                </pic:blipFill>
                <pic:spPr>
                  <a:xfrm>
                    <a:off x="0" y="0"/>
                    <a:ext cx="5760000" cy="1714301"/>
                  </a:xfrm>
                  <a:prstGeom prst="rect">
                    <a:avLst/>
                  </a:prstGeom>
                </pic:spPr>
              </pic:pic>
            </a:graphicData>
          </a:graphic>
        </wp:inline>
      </w:drawing>
    </w:p>
    <w:p>
      <w:pPr>
        <w:pStyle w:val="FigureCaption"/>
      </w:pPr>
      <w:r>
        <w:rPr>
          <w:sz w:val="19"/>
        </w:rPr>
        <w:t>Fig. 9. (a) Operating points of the three systems on hard negatives; (b) donor retention in the top-C candidate feed.</w:t>
      </w:r>
    </w:p>
    <w:p>
      <w:pPr>
        <w:sectPr w:rsidR="007E713A" w:rsidSect="00002FAF">
          <w:headerReference w:type="default" r:id="rId9"/>
          <w:type w:val="continuous"/>
          <w:pgSz w:w="12240" w:h="15840"/>
          <w:pgMar w:top="1008" w:right="936" w:bottom="1008" w:left="936" w:header="432" w:footer="432" w:gutter="0"/>
          <w:cols w:space="288"/>
        </w:sectPr>
      </w:pPr>
    </w:p>
    <w:p>
      <w:pPr>
        <w:pStyle w:val="TableTitle"/>
        <w:keepNext/>
      </w:pPr>
      <w:r>
        <w:t>TABLE VIII.</w:t>
      </w:r>
    </w:p>
    <w:p>
      <w:pPr>
        <w:pStyle w:val="TableTitle"/>
        <w:keepNext/>
      </w:pPr>
      <w:r>
        <w:t>Layer comparison on style-similar hard negatives (233 transcribed fragments, 80 donors).</w:t>
      </w:r>
    </w:p>
    <w:tbl>
      <w:tblPr>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tcBorders>
              <w:top w:val="single" w:sz="12" w:color="000000"/>
              <w:bottom w:val="single" w:sz="6" w:color="000000"/>
            </w:tcBorders>
          </w:tcPr>
          <w:p>
            <w:pPr>
              <w:keepNext/>
              <w:jc w:val="left"/>
            </w:pPr>
            <w:r/>
            <w:r>
              <w:rPr>
                <w:rFonts w:ascii="Times New Roman" w:hAnsi="Times New Roman"/>
                <w:b/>
                <w:sz w:val="16"/>
              </w:rPr>
              <w:t>Layer / system</w:t>
            </w:r>
          </w:p>
        </w:tc>
        <w:tc>
          <w:tcPr>
            <w:tcW w:type="dxa" w:w="2592"/>
            <w:tcBorders>
              <w:top w:val="single" w:sz="12" w:color="000000"/>
              <w:bottom w:val="single" w:sz="6" w:color="000000"/>
            </w:tcBorders>
          </w:tcPr>
          <w:p>
            <w:pPr>
              <w:keepNext/>
              <w:jc w:val="center"/>
            </w:pPr>
            <w:r/>
            <w:r>
              <w:rPr>
                <w:rFonts w:ascii="Times New Roman" w:hAnsi="Times New Roman"/>
                <w:b/>
                <w:sz w:val="16"/>
              </w:rPr>
              <w:t>Recall</w:t>
            </w:r>
          </w:p>
        </w:tc>
        <w:tc>
          <w:tcPr>
            <w:tcW w:type="dxa" w:w="2592"/>
            <w:tcBorders>
              <w:top w:val="single" w:sz="12" w:color="000000"/>
              <w:bottom w:val="single" w:sz="6" w:color="000000"/>
            </w:tcBorders>
          </w:tcPr>
          <w:p>
            <w:pPr>
              <w:keepNext/>
              <w:jc w:val="center"/>
            </w:pPr>
            <w:r/>
            <w:r>
              <w:rPr>
                <w:rFonts w:ascii="Times New Roman" w:hAnsi="Times New Roman"/>
                <w:b/>
                <w:sz w:val="16"/>
              </w:rPr>
              <w:t>Fragment-level FP</w:t>
            </w:r>
          </w:p>
        </w:tc>
        <w:tc>
          <w:tcPr>
            <w:tcW w:type="dxa" w:w="2592"/>
            <w:tcBorders>
              <w:top w:val="single" w:sz="12" w:color="000000"/>
              <w:bottom w:val="single" w:sz="6" w:color="000000"/>
            </w:tcBorders>
          </w:tcPr>
          <w:p>
            <w:pPr>
              <w:keepNext/>
              <w:jc w:val="center"/>
            </w:pPr>
            <w:r/>
            <w:r>
              <w:rPr>
                <w:rFonts w:ascii="Times New Roman" w:hAnsi="Times New Roman"/>
                <w:b/>
                <w:sz w:val="16"/>
              </w:rPr>
              <w:t>Contract</w:t>
            </w:r>
          </w:p>
        </w:tc>
      </w:tr>
      <w:tr>
        <w:trPr>
          <w:cantSplit/>
        </w:trPr>
        <w:tc>
          <w:tcPr>
            <w:tcW w:type="dxa" w:w="2592"/>
          </w:tcPr>
          <w:p>
            <w:pPr>
              <w:keepNext/>
              <w:jc w:val="left"/>
            </w:pPr>
            <w:r/>
            <w:r>
              <w:rPr>
                <w:rFonts w:ascii="Times New Roman" w:hAnsi="Times New Roman"/>
                <w:b w:val="0"/>
                <w:sz w:val="16"/>
              </w:rPr>
              <w:t>L1 tolerant screen</w:t>
            </w:r>
          </w:p>
        </w:tc>
        <w:tc>
          <w:tcPr>
            <w:tcW w:type="dxa" w:w="2592"/>
          </w:tcPr>
          <w:p>
            <w:pPr>
              <w:keepNext/>
              <w:jc w:val="center"/>
            </w:pPr>
            <w:r/>
            <w:r>
              <w:rPr>
                <w:rFonts w:ascii="Times New Roman" w:hAnsi="Times New Roman"/>
                <w:b w:val="0"/>
                <w:sz w:val="16"/>
              </w:rPr>
              <w:t>100%</w:t>
            </w:r>
          </w:p>
        </w:tc>
        <w:tc>
          <w:tcPr>
            <w:tcW w:type="dxa" w:w="2592"/>
          </w:tcPr>
          <w:p>
            <w:pPr>
              <w:keepNext/>
              <w:jc w:val="center"/>
            </w:pPr>
            <w:r/>
            <w:r>
              <w:rPr>
                <w:rFonts w:ascii="Times New Roman" w:hAnsi="Times New Roman"/>
                <w:b w:val="0"/>
                <w:sz w:val="16"/>
              </w:rPr>
              <w:t>92.7% (τ = ⌊0.5·|S(q)|⌋); no threshold reaches &lt;50%</w:t>
            </w:r>
          </w:p>
        </w:tc>
        <w:tc>
          <w:tcPr>
            <w:tcW w:type="dxa" w:w="2592"/>
          </w:tcPr>
          <w:p>
            <w:pPr>
              <w:keepNext/>
              <w:jc w:val="center"/>
            </w:pPr>
            <w:r/>
            <w:r>
              <w:rPr>
                <w:rFonts w:ascii="Times New Roman" w:hAnsi="Times New Roman"/>
                <w:b w:val="0"/>
                <w:sz w:val="16"/>
              </w:rPr>
              <w:t>provable recall + anytime bound</w:t>
            </w:r>
          </w:p>
        </w:tc>
      </w:tr>
      <w:tr>
        <w:trPr>
          <w:cantSplit/>
        </w:trPr>
        <w:tc>
          <w:tcPr>
            <w:tcW w:type="dxa" w:w="2592"/>
          </w:tcPr>
          <w:p>
            <w:pPr>
              <w:keepNext/>
              <w:jc w:val="left"/>
            </w:pPr>
            <w:r/>
            <w:r>
              <w:rPr>
                <w:rFonts w:ascii="Times New Roman" w:hAnsi="Times New Roman"/>
                <w:b w:val="0"/>
                <w:sz w:val="16"/>
              </w:rPr>
              <w:t>L2 verbatim rank (top-1)</w:t>
            </w:r>
          </w:p>
        </w:tc>
        <w:tc>
          <w:tcPr>
            <w:tcW w:type="dxa" w:w="2592"/>
          </w:tcPr>
          <w:p>
            <w:pPr>
              <w:keepNext/>
              <w:jc w:val="center"/>
            </w:pPr>
            <w:r/>
            <w:r>
              <w:rPr>
                <w:rFonts w:ascii="Times New Roman" w:hAnsi="Times New Roman"/>
                <w:b w:val="0"/>
                <w:sz w:val="16"/>
              </w:rPr>
              <w:t>58.8% top-1 / 93.7% top-20</w:t>
            </w:r>
          </w:p>
        </w:tc>
        <w:tc>
          <w:tcPr>
            <w:tcW w:type="dxa" w:w="2592"/>
          </w:tcPr>
          <w:p>
            <w:pPr>
              <w:keepNext/>
              <w:jc w:val="center"/>
            </w:pPr>
            <w:r/>
            <w:r>
              <w:rPr>
                <w:rFonts w:ascii="Times New Roman" w:hAnsi="Times New Roman"/>
                <w:b w:val="0"/>
                <w:sz w:val="16"/>
              </w:rPr>
              <w:t>22.3%</w:t>
            </w:r>
          </w:p>
        </w:tc>
        <w:tc>
          <w:tcPr>
            <w:tcW w:type="dxa" w:w="2592"/>
          </w:tcPr>
          <w:p>
            <w:pPr>
              <w:keepNext/>
              <w:jc w:val="center"/>
            </w:pPr>
            <w:r/>
            <w:r>
              <w:rPr>
                <w:rFonts w:ascii="Times New Roman" w:hAnsi="Times New Roman"/>
                <w:b w:val="0"/>
                <w:sz w:val="16"/>
              </w:rPr>
              <w:t>no guarantee; per-corpus tuning</w:t>
            </w:r>
          </w:p>
        </w:tc>
      </w:tr>
      <w:tr>
        <w:trPr>
          <w:cantSplit/>
        </w:trPr>
        <w:tc>
          <w:tcPr>
            <w:tcW w:type="dxa" w:w="2592"/>
          </w:tcPr>
          <w:p>
            <w:pPr>
              <w:keepNext/>
              <w:jc w:val="left"/>
            </w:pPr>
            <w:r/>
            <w:r>
              <w:rPr>
                <w:rFonts w:ascii="Times New Roman" w:hAnsi="Times New Roman"/>
                <w:b w:val="0"/>
                <w:sz w:val="16"/>
              </w:rPr>
              <w:t>Screen + confirm (ρ=0.5)</w:t>
            </w:r>
          </w:p>
        </w:tc>
        <w:tc>
          <w:tcPr>
            <w:tcW w:type="dxa" w:w="2592"/>
          </w:tcPr>
          <w:p>
            <w:pPr>
              <w:keepNext/>
              <w:jc w:val="center"/>
            </w:pPr>
            <w:r/>
            <w:r>
              <w:rPr>
                <w:rFonts w:ascii="Times New Roman" w:hAnsi="Times New Roman"/>
                <w:b w:val="0"/>
                <w:sz w:val="16"/>
              </w:rPr>
              <w:t>80.7%</w:t>
            </w:r>
          </w:p>
        </w:tc>
        <w:tc>
          <w:tcPr>
            <w:tcW w:type="dxa" w:w="2592"/>
          </w:tcPr>
          <w:p>
            <w:pPr>
              <w:keepNext/>
              <w:jc w:val="center"/>
            </w:pPr>
            <w:r/>
            <w:r>
              <w:rPr>
                <w:rFonts w:ascii="Times New Roman" w:hAnsi="Times New Roman"/>
                <w:b w:val="0"/>
                <w:sz w:val="16"/>
              </w:rPr>
              <w:t>2.6%</w:t>
            </w:r>
          </w:p>
        </w:tc>
        <w:tc>
          <w:tcPr>
            <w:tcW w:type="dxa" w:w="2592"/>
          </w:tcPr>
          <w:p>
            <w:pPr>
              <w:keepNext/>
              <w:jc w:val="center"/>
            </w:pPr>
            <w:r/>
            <w:r>
              <w:rPr>
                <w:rFonts w:ascii="Times New Roman" w:hAnsi="Times New Roman"/>
                <w:b w:val="0"/>
                <w:sz w:val="16"/>
              </w:rPr>
              <w:t>decision-grade</w:t>
            </w:r>
          </w:p>
        </w:tc>
      </w:tr>
      <w:tr>
        <w:trPr>
          <w:cantSplit/>
        </w:trPr>
        <w:tc>
          <w:tcPr>
            <w:tcW w:type="dxa" w:w="2592"/>
            <w:tcBorders>
              <w:bottom w:val="single" w:sz="12" w:color="000000"/>
            </w:tcBorders>
          </w:tcPr>
          <w:p>
            <w:pPr>
              <w:jc w:val="left"/>
            </w:pPr>
            <w:r/>
            <w:r>
              <w:rPr>
                <w:rFonts w:ascii="Times New Roman" w:hAnsi="Times New Roman"/>
                <w:b w:val="0"/>
                <w:sz w:val="16"/>
              </w:rPr>
              <w:t>Screen + confirm (ρ=0.4)</w:t>
            </w:r>
          </w:p>
        </w:tc>
        <w:tc>
          <w:tcPr>
            <w:tcW w:type="dxa" w:w="2592"/>
            <w:tcBorders>
              <w:bottom w:val="single" w:sz="12" w:color="000000"/>
            </w:tcBorders>
          </w:tcPr>
          <w:p>
            <w:pPr>
              <w:jc w:val="center"/>
            </w:pPr>
            <w:r/>
            <w:r>
              <w:rPr>
                <w:rFonts w:ascii="Times New Roman" w:hAnsi="Times New Roman"/>
                <w:b w:val="0"/>
                <w:sz w:val="16"/>
              </w:rPr>
              <w:t>95.7%</w:t>
            </w:r>
          </w:p>
        </w:tc>
        <w:tc>
          <w:tcPr>
            <w:tcW w:type="dxa" w:w="2592"/>
            <w:tcBorders>
              <w:bottom w:val="single" w:sz="12" w:color="000000"/>
            </w:tcBorders>
          </w:tcPr>
          <w:p>
            <w:pPr>
              <w:jc w:val="center"/>
            </w:pPr>
            <w:r/>
            <w:r>
              <w:rPr>
                <w:rFonts w:ascii="Times New Roman" w:hAnsi="Times New Roman"/>
                <w:b w:val="0"/>
                <w:sz w:val="16"/>
              </w:rPr>
              <w:t>8.2%</w:t>
            </w:r>
          </w:p>
        </w:tc>
        <w:tc>
          <w:tcPr>
            <w:tcW w:type="dxa" w:w="2592"/>
            <w:tcBorders>
              <w:bottom w:val="single" w:sz="12" w:color="000000"/>
            </w:tcBorders>
          </w:tcPr>
          <w:p>
            <w:pPr>
              <w:jc w:val="center"/>
            </w:pPr>
            <w:r/>
            <w:r>
              <w:rPr>
                <w:rFonts w:ascii="Times New Roman" w:hAnsi="Times New Roman"/>
                <w:b w:val="0"/>
                <w:sz w:val="16"/>
              </w:rPr>
              <w:t>high-recall operating point</w:t>
            </w:r>
          </w:p>
        </w:tc>
      </w:tr>
    </w:tbl>
    <w:p>
      <w:pPr>
        <w:spacing w:after="40"/>
      </w:pPr>
    </w:p>
    <w:p>
      <w:pPr>
        <w:pStyle w:val="Heading2"/>
      </w:pPr>
      <w:r>
        <w:t>F. Component ablations</w:t>
      </w:r>
    </w:p>
    <w:p>
      <w:pPr>
        <w:spacing w:after="0"/>
        <w:ind w:firstLine="204"/>
        <w:jc w:val="both"/>
      </w:pPr>
      <w:r>
        <w:t>Ablations over the confirmation and screening components (threshold level, tolerance vector, grid granularity) are consistent: recall is flat at 100% wherever the guarantee applies; false positives and latency trade off along the tolerance vector exactly as the bound predicts; and finer grids monotonically reduce false positives at sub-linear vocabulary growth. Fig. 10 plots the three ablation families and Table IX tabulates them.</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5760000" cy="1966431"/>
          <wp:effectExtent l="0" t="0" r="0" b="0"/>
          <wp:docPr id="110" name="fig_e5_ablation.emf"/>
          <wp:cNvGraphicFramePr/>
          <a:graphic>
            <a:graphicData uri="http://schemas.openxmlformats.org/drawingml/2006/picture">
              <pic:pic>
                <pic:nvPicPr>
                  <pic:cNvPr id="0" name="fig_e5_ablation.emf"/>
                  <pic:cNvPicPr/>
                </pic:nvPicPr>
                <pic:blipFill>
                  <a:blip r:embed="rId42"/>
                  <a:stretch>
                    <a:fillRect/>
                  </a:stretch>
                </pic:blipFill>
                <pic:spPr>
                  <a:xfrm>
                    <a:off x="0" y="0"/>
                    <a:ext cx="5760000" cy="1966431"/>
                  </a:xfrm>
                  <a:prstGeom prst="rect">
                    <a:avLst/>
                  </a:prstGeom>
                </pic:spPr>
              </pic:pic>
            </a:graphicData>
          </a:graphic>
        </wp:inline>
      </w:drawing>
    </w:p>
    <w:p>
      <w:pPr>
        <w:pStyle w:val="FigureCaption"/>
      </w:pPr>
      <w:r>
        <w:rPr>
          <w:sz w:val="19"/>
        </w:rPr>
        <w:t>Fig. 10. Component ablations: (a) evidence span length; (b) tolerance vector (bars: false candidates, log scale; dashed: recall, right axis); (c) quantization grid granularity.</w:t>
      </w:r>
    </w:p>
    <w:p>
      <w:pPr>
        <w:sectPr w:rsidR="007E713A" w:rsidSect="00002FAF">
          <w:headerReference w:type="default" r:id="rId9"/>
          <w:type w:val="continuous"/>
          <w:pgSz w:w="12240" w:h="15840"/>
          <w:pgMar w:top="1008" w:right="936" w:bottom="1008" w:left="936" w:header="432" w:footer="432" w:gutter="0"/>
          <w:cols w:space="288"/>
        </w:sectPr>
      </w:pPr>
    </w:p>
    <w:p>
      <w:pPr>
        <w:pStyle w:val="TableTitle"/>
        <w:keepNext/>
      </w:pPr>
      <w:r>
        <w:t>TABLE IX.</w:t>
      </w:r>
    </w:p>
    <w:p>
      <w:pPr>
        <w:pStyle w:val="TableTitle"/>
        <w:keepNext/>
      </w:pPr>
      <w:r>
        <w:t>Component ablations on the 29-cell planted audit; false candidates measured on the hard-negative pool.</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tcBorders>
              <w:top w:val="single" w:sz="12" w:color="000000"/>
              <w:bottom w:val="single" w:sz="6" w:color="000000"/>
            </w:tcBorders>
          </w:tcPr>
          <w:p>
            <w:pPr>
              <w:keepNext/>
              <w:jc w:val="left"/>
            </w:pPr>
            <w:r/>
            <w:r>
              <w:rPr>
                <w:rFonts w:ascii="Times New Roman" w:hAnsi="Times New Roman"/>
                <w:b/>
                <w:sz w:val="16"/>
              </w:rPr>
              <w:t>Ablation</w:t>
            </w:r>
          </w:p>
        </w:tc>
        <w:tc>
          <w:tcPr>
            <w:tcW w:type="dxa" w:w="2074"/>
            <w:tcBorders>
              <w:top w:val="single" w:sz="12" w:color="000000"/>
              <w:bottom w:val="single" w:sz="6" w:color="000000"/>
            </w:tcBorders>
          </w:tcPr>
          <w:p>
            <w:pPr>
              <w:keepNext/>
              <w:jc w:val="center"/>
            </w:pPr>
            <w:r/>
            <w:r>
              <w:rPr>
                <w:rFonts w:ascii="Times New Roman" w:hAnsi="Times New Roman"/>
                <w:b/>
                <w:sz w:val="16"/>
              </w:rPr>
              <w:t>Setting</w:t>
            </w:r>
          </w:p>
        </w:tc>
        <w:tc>
          <w:tcPr>
            <w:tcW w:type="dxa" w:w="2074"/>
            <w:tcBorders>
              <w:top w:val="single" w:sz="12" w:color="000000"/>
              <w:bottom w:val="single" w:sz="6" w:color="000000"/>
            </w:tcBorders>
          </w:tcPr>
          <w:p>
            <w:pPr>
              <w:keepNext/>
              <w:jc w:val="center"/>
            </w:pPr>
            <w:r/>
            <w:r>
              <w:rPr>
                <w:rFonts w:ascii="Times New Roman" w:hAnsi="Times New Roman"/>
                <w:b/>
                <w:sz w:val="16"/>
              </w:rPr>
              <w:t>Recall</w:t>
            </w:r>
          </w:p>
        </w:tc>
        <w:tc>
          <w:tcPr>
            <w:tcW w:type="dxa" w:w="2074"/>
            <w:tcBorders>
              <w:top w:val="single" w:sz="12" w:color="000000"/>
              <w:bottom w:val="single" w:sz="6" w:color="000000"/>
            </w:tcBorders>
          </w:tcPr>
          <w:p>
            <w:pPr>
              <w:keepNext/>
              <w:jc w:val="center"/>
            </w:pPr>
            <w:r/>
            <w:r>
              <w:rPr>
                <w:rFonts w:ascii="Times New Roman" w:hAnsi="Times New Roman"/>
                <w:b/>
                <w:sz w:val="16"/>
              </w:rPr>
              <w:t>False candidates</w:t>
            </w:r>
          </w:p>
        </w:tc>
        <w:tc>
          <w:tcPr>
            <w:tcW w:type="dxa" w:w="2074"/>
            <w:tcBorders>
              <w:top w:val="single" w:sz="12" w:color="000000"/>
              <w:bottom w:val="single" w:sz="6" w:color="000000"/>
            </w:tcBorders>
          </w:tcPr>
          <w:p>
            <w:pPr>
              <w:keepNext/>
              <w:jc w:val="center"/>
            </w:pPr>
            <w:r/>
            <w:r>
              <w:rPr>
                <w:rFonts w:ascii="Times New Roman" w:hAnsi="Times New Roman"/>
                <w:b/>
                <w:sz w:val="16"/>
              </w:rPr>
              <w:t>Query p50 (ms)</w:t>
            </w:r>
          </w:p>
        </w:tc>
      </w:tr>
      <w:tr>
        <w:trPr>
          <w:cantSplit/>
        </w:trPr>
        <w:tc>
          <w:tcPr>
            <w:tcW w:type="dxa" w:w="2074"/>
          </w:tcPr>
          <w:p>
            <w:pPr>
              <w:keepNext/>
              <w:jc w:val="left"/>
            </w:pPr>
            <w:r/>
            <w:r>
              <w:rPr>
                <w:rFonts w:ascii="Times New Roman" w:hAnsi="Times New Roman"/>
                <w:b w:val="0"/>
                <w:sz w:val="16"/>
              </w:rPr>
              <w:t>E5.4_L</w:t>
            </w:r>
          </w:p>
        </w:tc>
        <w:tc>
          <w:tcPr>
            <w:tcW w:type="dxa" w:w="2074"/>
          </w:tcPr>
          <w:p>
            <w:pPr>
              <w:keepNext/>
              <w:jc w:val="center"/>
            </w:pPr>
            <w:r/>
            <w:r>
              <w:rPr>
                <w:rFonts w:ascii="Times New Roman" w:hAnsi="Times New Roman"/>
                <w:b w:val="0"/>
                <w:sz w:val="16"/>
              </w:rPr>
              <w:t>span factor 0.75×</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21,467</w:t>
            </w:r>
          </w:p>
        </w:tc>
        <w:tc>
          <w:tcPr>
            <w:tcW w:type="dxa" w:w="2074"/>
          </w:tcPr>
          <w:p>
            <w:pPr>
              <w:keepNext/>
              <w:jc w:val="center"/>
            </w:pPr>
            <w:r/>
            <w:r>
              <w:rPr>
                <w:rFonts w:ascii="Times New Roman" w:hAnsi="Times New Roman"/>
                <w:b w:val="0"/>
                <w:sz w:val="16"/>
              </w:rPr>
              <w:t>—</w:t>
            </w:r>
          </w:p>
        </w:tc>
      </w:tr>
      <w:tr>
        <w:trPr>
          <w:cantSplit/>
        </w:trPr>
        <w:tc>
          <w:tcPr>
            <w:tcW w:type="dxa" w:w="2074"/>
          </w:tcPr>
          <w:p>
            <w:pPr>
              <w:keepNext/>
              <w:jc w:val="left"/>
            </w:pPr>
            <w:r/>
            <w:r>
              <w:rPr>
                <w:rFonts w:ascii="Times New Roman" w:hAnsi="Times New Roman"/>
                <w:b w:val="0"/>
                <w:sz w:val="16"/>
              </w:rPr>
              <w:t>E5.4_L</w:t>
            </w:r>
          </w:p>
        </w:tc>
        <w:tc>
          <w:tcPr>
            <w:tcW w:type="dxa" w:w="2074"/>
          </w:tcPr>
          <w:p>
            <w:pPr>
              <w:keepNext/>
              <w:jc w:val="center"/>
            </w:pPr>
            <w:r/>
            <w:r>
              <w:rPr>
                <w:rFonts w:ascii="Times New Roman" w:hAnsi="Times New Roman"/>
                <w:b w:val="0"/>
                <w:sz w:val="16"/>
              </w:rPr>
              <w:t>span factor 1.00×</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18,887</w:t>
            </w:r>
          </w:p>
        </w:tc>
        <w:tc>
          <w:tcPr>
            <w:tcW w:type="dxa" w:w="2074"/>
          </w:tcPr>
          <w:p>
            <w:pPr>
              <w:keepNext/>
              <w:jc w:val="center"/>
            </w:pPr>
            <w:r/>
            <w:r>
              <w:rPr>
                <w:rFonts w:ascii="Times New Roman" w:hAnsi="Times New Roman"/>
                <w:b w:val="0"/>
                <w:sz w:val="16"/>
              </w:rPr>
              <w:t>—</w:t>
            </w:r>
          </w:p>
        </w:tc>
      </w:tr>
      <w:tr>
        <w:trPr>
          <w:cantSplit/>
        </w:trPr>
        <w:tc>
          <w:tcPr>
            <w:tcW w:type="dxa" w:w="2074"/>
          </w:tcPr>
          <w:p>
            <w:pPr>
              <w:keepNext/>
              <w:jc w:val="left"/>
            </w:pPr>
            <w:r/>
            <w:r>
              <w:rPr>
                <w:rFonts w:ascii="Times New Roman" w:hAnsi="Times New Roman"/>
                <w:b w:val="0"/>
                <w:sz w:val="16"/>
              </w:rPr>
              <w:t>E5.4_L</w:t>
            </w:r>
          </w:p>
        </w:tc>
        <w:tc>
          <w:tcPr>
            <w:tcW w:type="dxa" w:w="2074"/>
          </w:tcPr>
          <w:p>
            <w:pPr>
              <w:keepNext/>
              <w:jc w:val="center"/>
            </w:pPr>
            <w:r/>
            <w:r>
              <w:rPr>
                <w:rFonts w:ascii="Times New Roman" w:hAnsi="Times New Roman"/>
                <w:b w:val="0"/>
                <w:sz w:val="16"/>
              </w:rPr>
              <w:t>span factor 1.25×</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15,952</w:t>
            </w:r>
          </w:p>
        </w:tc>
        <w:tc>
          <w:tcPr>
            <w:tcW w:type="dxa" w:w="2074"/>
          </w:tcPr>
          <w:p>
            <w:pPr>
              <w:keepNext/>
              <w:jc w:val="center"/>
            </w:pPr>
            <w:r/>
            <w:r>
              <w:rPr>
                <w:rFonts w:ascii="Times New Roman" w:hAnsi="Times New Roman"/>
                <w:b w:val="0"/>
                <w:sz w:val="16"/>
              </w:rPr>
              <w:t>—</w:t>
            </w:r>
          </w:p>
        </w:tc>
      </w:tr>
      <w:tr>
        <w:trPr>
          <w:cantSplit/>
        </w:trPr>
        <w:tc>
          <w:tcPr>
            <w:tcW w:type="dxa" w:w="2074"/>
          </w:tcPr>
          <w:p>
            <w:pPr>
              <w:keepNext/>
              <w:jc w:val="left"/>
            </w:pPr>
            <w:r/>
            <w:r>
              <w:rPr>
                <w:rFonts w:ascii="Times New Roman" w:hAnsi="Times New Roman"/>
                <w:b w:val="0"/>
                <w:sz w:val="16"/>
              </w:rPr>
              <w:t>E5.4_L</w:t>
            </w:r>
          </w:p>
        </w:tc>
        <w:tc>
          <w:tcPr>
            <w:tcW w:type="dxa" w:w="2074"/>
          </w:tcPr>
          <w:p>
            <w:pPr>
              <w:keepNext/>
              <w:jc w:val="center"/>
            </w:pPr>
            <w:r/>
            <w:r>
              <w:rPr>
                <w:rFonts w:ascii="Times New Roman" w:hAnsi="Times New Roman"/>
                <w:b w:val="0"/>
                <w:sz w:val="16"/>
              </w:rPr>
              <w:t>span factor 1.50×</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12,061</w:t>
            </w:r>
          </w:p>
        </w:tc>
        <w:tc>
          <w:tcPr>
            <w:tcW w:type="dxa" w:w="2074"/>
          </w:tcPr>
          <w:p>
            <w:pPr>
              <w:keepNext/>
              <w:jc w:val="center"/>
            </w:pPr>
            <w:r/>
            <w:r>
              <w:rPr>
                <w:rFonts w:ascii="Times New Roman" w:hAnsi="Times New Roman"/>
                <w:b w:val="0"/>
                <w:sz w:val="16"/>
              </w:rPr>
              <w:t>—</w:t>
            </w:r>
          </w:p>
        </w:tc>
      </w:tr>
      <w:tr>
        <w:trPr>
          <w:cantSplit/>
        </w:trPr>
        <w:tc>
          <w:tcPr>
            <w:tcW w:type="dxa" w:w="2074"/>
          </w:tcPr>
          <w:p>
            <w:pPr>
              <w:keepNext/>
              <w:jc w:val="left"/>
            </w:pPr>
            <w:r/>
            <w:r>
              <w:rPr>
                <w:rFonts w:ascii="Times New Roman" w:hAnsi="Times New Roman"/>
                <w:b w:val="0"/>
                <w:sz w:val="16"/>
              </w:rPr>
              <w:t>E5.5_k</w:t>
            </w:r>
          </w:p>
        </w:tc>
        <w:tc>
          <w:tcPr>
            <w:tcW w:type="dxa" w:w="2074"/>
          </w:tcPr>
          <w:p>
            <w:pPr>
              <w:keepNext/>
              <w:jc w:val="center"/>
            </w:pPr>
            <w:r/>
            <w:r>
              <w:rPr>
                <w:rFonts w:ascii="Times New Roman" w:hAnsi="Times New Roman"/>
                <w:b w:val="0"/>
                <w:sz w:val="16"/>
              </w:rPr>
              <w:t>k = (0, 0, 0)</w:t>
            </w:r>
          </w:p>
        </w:tc>
        <w:tc>
          <w:tcPr>
            <w:tcW w:type="dxa" w:w="2074"/>
          </w:tcPr>
          <w:p>
            <w:pPr>
              <w:keepNext/>
              <w:jc w:val="center"/>
            </w:pPr>
            <w:r/>
            <w:r>
              <w:rPr>
                <w:rFonts w:ascii="Times New Roman" w:hAnsi="Times New Roman"/>
                <w:b w:val="0"/>
                <w:sz w:val="16"/>
              </w:rPr>
              <w:t>23/29</w:t>
            </w:r>
          </w:p>
        </w:tc>
        <w:tc>
          <w:tcPr>
            <w:tcW w:type="dxa" w:w="2074"/>
          </w:tcPr>
          <w:p>
            <w:pPr>
              <w:keepNext/>
              <w:jc w:val="center"/>
            </w:pPr>
            <w:r/>
            <w:r>
              <w:rPr>
                <w:rFonts w:ascii="Times New Roman" w:hAnsi="Times New Roman"/>
                <w:b w:val="0"/>
                <w:sz w:val="16"/>
              </w:rPr>
              <w:t>338</w:t>
            </w:r>
          </w:p>
        </w:tc>
        <w:tc>
          <w:tcPr>
            <w:tcW w:type="dxa" w:w="2074"/>
          </w:tcPr>
          <w:p>
            <w:pPr>
              <w:keepNext/>
              <w:jc w:val="center"/>
            </w:pPr>
            <w:r/>
            <w:r>
              <w:rPr>
                <w:rFonts w:ascii="Times New Roman" w:hAnsi="Times New Roman"/>
                <w:b w:val="0"/>
                <w:sz w:val="16"/>
              </w:rPr>
              <w:t>1.0</w:t>
            </w:r>
          </w:p>
        </w:tc>
      </w:tr>
      <w:tr>
        <w:trPr>
          <w:cantSplit/>
        </w:trPr>
        <w:tc>
          <w:tcPr>
            <w:tcW w:type="dxa" w:w="2074"/>
          </w:tcPr>
          <w:p>
            <w:pPr>
              <w:keepNext/>
              <w:jc w:val="left"/>
            </w:pPr>
            <w:r/>
            <w:r>
              <w:rPr>
                <w:rFonts w:ascii="Times New Roman" w:hAnsi="Times New Roman"/>
                <w:b w:val="0"/>
                <w:sz w:val="16"/>
              </w:rPr>
              <w:t>E5.5_k</w:t>
            </w:r>
          </w:p>
        </w:tc>
        <w:tc>
          <w:tcPr>
            <w:tcW w:type="dxa" w:w="2074"/>
          </w:tcPr>
          <w:p>
            <w:pPr>
              <w:keepNext/>
              <w:jc w:val="center"/>
            </w:pPr>
            <w:r/>
            <w:r>
              <w:rPr>
                <w:rFonts w:ascii="Times New Roman" w:hAnsi="Times New Roman"/>
                <w:b w:val="0"/>
                <w:sz w:val="16"/>
              </w:rPr>
              <w:t>k = (1, 0, 0)</w:t>
            </w:r>
          </w:p>
        </w:tc>
        <w:tc>
          <w:tcPr>
            <w:tcW w:type="dxa" w:w="2074"/>
          </w:tcPr>
          <w:p>
            <w:pPr>
              <w:keepNext/>
              <w:jc w:val="center"/>
            </w:pPr>
            <w:r/>
            <w:r>
              <w:rPr>
                <w:rFonts w:ascii="Times New Roman" w:hAnsi="Times New Roman"/>
                <w:b w:val="0"/>
                <w:sz w:val="16"/>
              </w:rPr>
              <w:t>25/29</w:t>
            </w:r>
          </w:p>
        </w:tc>
        <w:tc>
          <w:tcPr>
            <w:tcW w:type="dxa" w:w="2074"/>
          </w:tcPr>
          <w:p>
            <w:pPr>
              <w:keepNext/>
              <w:jc w:val="center"/>
            </w:pPr>
            <w:r/>
            <w:r>
              <w:rPr>
                <w:rFonts w:ascii="Times New Roman" w:hAnsi="Times New Roman"/>
                <w:b w:val="0"/>
                <w:sz w:val="16"/>
              </w:rPr>
              <w:t>2,099</w:t>
            </w:r>
          </w:p>
        </w:tc>
        <w:tc>
          <w:tcPr>
            <w:tcW w:type="dxa" w:w="2074"/>
          </w:tcPr>
          <w:p>
            <w:pPr>
              <w:keepNext/>
              <w:jc w:val="center"/>
            </w:pPr>
            <w:r/>
            <w:r>
              <w:rPr>
                <w:rFonts w:ascii="Times New Roman" w:hAnsi="Times New Roman"/>
                <w:b w:val="0"/>
                <w:sz w:val="16"/>
              </w:rPr>
              <w:t>2.0</w:t>
            </w:r>
          </w:p>
        </w:tc>
      </w:tr>
      <w:tr>
        <w:trPr>
          <w:cantSplit/>
        </w:trPr>
        <w:tc>
          <w:tcPr>
            <w:tcW w:type="dxa" w:w="2074"/>
          </w:tcPr>
          <w:p>
            <w:pPr>
              <w:keepNext/>
              <w:jc w:val="left"/>
            </w:pPr>
            <w:r/>
            <w:r>
              <w:rPr>
                <w:rFonts w:ascii="Times New Roman" w:hAnsi="Times New Roman"/>
                <w:b w:val="0"/>
                <w:sz w:val="16"/>
              </w:rPr>
              <w:t>E5.5_k</w:t>
            </w:r>
          </w:p>
        </w:tc>
        <w:tc>
          <w:tcPr>
            <w:tcW w:type="dxa" w:w="2074"/>
          </w:tcPr>
          <w:p>
            <w:pPr>
              <w:keepNext/>
              <w:jc w:val="center"/>
            </w:pPr>
            <w:r/>
            <w:r>
              <w:rPr>
                <w:rFonts w:ascii="Times New Roman" w:hAnsi="Times New Roman"/>
                <w:b w:val="0"/>
                <w:sz w:val="16"/>
              </w:rPr>
              <w:t>k = (2, 0, 0)</w:t>
            </w:r>
          </w:p>
        </w:tc>
        <w:tc>
          <w:tcPr>
            <w:tcW w:type="dxa" w:w="2074"/>
          </w:tcPr>
          <w:p>
            <w:pPr>
              <w:keepNext/>
              <w:jc w:val="center"/>
            </w:pPr>
            <w:r/>
            <w:r>
              <w:rPr>
                <w:rFonts w:ascii="Times New Roman" w:hAnsi="Times New Roman"/>
                <w:b w:val="0"/>
                <w:sz w:val="16"/>
              </w:rPr>
              <w:t>26/29</w:t>
            </w:r>
          </w:p>
        </w:tc>
        <w:tc>
          <w:tcPr>
            <w:tcW w:type="dxa" w:w="2074"/>
          </w:tcPr>
          <w:p>
            <w:pPr>
              <w:keepNext/>
              <w:jc w:val="center"/>
            </w:pPr>
            <w:r/>
            <w:r>
              <w:rPr>
                <w:rFonts w:ascii="Times New Roman" w:hAnsi="Times New Roman"/>
                <w:b w:val="0"/>
                <w:sz w:val="16"/>
              </w:rPr>
              <w:t>3,906</w:t>
            </w:r>
          </w:p>
        </w:tc>
        <w:tc>
          <w:tcPr>
            <w:tcW w:type="dxa" w:w="2074"/>
          </w:tcPr>
          <w:p>
            <w:pPr>
              <w:keepNext/>
              <w:jc w:val="center"/>
            </w:pPr>
            <w:r/>
            <w:r>
              <w:rPr>
                <w:rFonts w:ascii="Times New Roman" w:hAnsi="Times New Roman"/>
                <w:b w:val="0"/>
                <w:sz w:val="16"/>
              </w:rPr>
              <w:t>3.0</w:t>
            </w:r>
          </w:p>
        </w:tc>
      </w:tr>
      <w:tr>
        <w:trPr>
          <w:cantSplit/>
        </w:trPr>
        <w:tc>
          <w:tcPr>
            <w:tcW w:type="dxa" w:w="2074"/>
          </w:tcPr>
          <w:p>
            <w:pPr>
              <w:keepNext/>
              <w:jc w:val="left"/>
            </w:pPr>
            <w:r/>
            <w:r>
              <w:rPr>
                <w:rFonts w:ascii="Times New Roman" w:hAnsi="Times New Roman"/>
                <w:b w:val="0"/>
                <w:sz w:val="16"/>
              </w:rPr>
              <w:t>E5.5_k</w:t>
            </w:r>
          </w:p>
        </w:tc>
        <w:tc>
          <w:tcPr>
            <w:tcW w:type="dxa" w:w="2074"/>
          </w:tcPr>
          <w:p>
            <w:pPr>
              <w:keepNext/>
              <w:jc w:val="center"/>
            </w:pPr>
            <w:r/>
            <w:r>
              <w:rPr>
                <w:rFonts w:ascii="Times New Roman" w:hAnsi="Times New Roman"/>
                <w:b w:val="0"/>
                <w:sz w:val="16"/>
              </w:rPr>
              <w:t>k = (2, 1, 0)</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12,110</w:t>
            </w:r>
          </w:p>
        </w:tc>
        <w:tc>
          <w:tcPr>
            <w:tcW w:type="dxa" w:w="2074"/>
          </w:tcPr>
          <w:p>
            <w:pPr>
              <w:keepNext/>
              <w:jc w:val="center"/>
            </w:pPr>
            <w:r/>
            <w:r>
              <w:rPr>
                <w:rFonts w:ascii="Times New Roman" w:hAnsi="Times New Roman"/>
                <w:b w:val="0"/>
                <w:sz w:val="16"/>
              </w:rPr>
              <w:t>7.5</w:t>
            </w:r>
          </w:p>
        </w:tc>
      </w:tr>
      <w:tr>
        <w:trPr>
          <w:cantSplit/>
        </w:trPr>
        <w:tc>
          <w:tcPr>
            <w:tcW w:type="dxa" w:w="2074"/>
          </w:tcPr>
          <w:p>
            <w:pPr>
              <w:keepNext/>
              <w:jc w:val="left"/>
            </w:pPr>
            <w:r/>
            <w:r>
              <w:rPr>
                <w:rFonts w:ascii="Times New Roman" w:hAnsi="Times New Roman"/>
                <w:b w:val="0"/>
                <w:sz w:val="16"/>
              </w:rPr>
              <w:t>E5.5_k</w:t>
            </w:r>
          </w:p>
        </w:tc>
        <w:tc>
          <w:tcPr>
            <w:tcW w:type="dxa" w:w="2074"/>
          </w:tcPr>
          <w:p>
            <w:pPr>
              <w:keepNext/>
              <w:jc w:val="center"/>
            </w:pPr>
            <w:r/>
            <w:r>
              <w:rPr>
                <w:rFonts w:ascii="Times New Roman" w:hAnsi="Times New Roman"/>
                <w:b w:val="0"/>
                <w:sz w:val="16"/>
              </w:rPr>
              <w:t>k = (2, 1, 1)</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18,887</w:t>
            </w:r>
          </w:p>
        </w:tc>
        <w:tc>
          <w:tcPr>
            <w:tcW w:type="dxa" w:w="2074"/>
          </w:tcPr>
          <w:p>
            <w:pPr>
              <w:keepNext/>
              <w:jc w:val="center"/>
            </w:pPr>
            <w:r/>
            <w:r>
              <w:rPr>
                <w:rFonts w:ascii="Times New Roman" w:hAnsi="Times New Roman"/>
                <w:b w:val="0"/>
                <w:sz w:val="16"/>
              </w:rPr>
              <w:t>13.0</w:t>
            </w:r>
          </w:p>
        </w:tc>
      </w:tr>
      <w:tr>
        <w:trPr>
          <w:cantSplit/>
        </w:trPr>
        <w:tc>
          <w:tcPr>
            <w:tcW w:type="dxa" w:w="2074"/>
          </w:tcPr>
          <w:p>
            <w:pPr>
              <w:keepNext/>
              <w:jc w:val="left"/>
            </w:pPr>
            <w:r/>
            <w:r>
              <w:rPr>
                <w:rFonts w:ascii="Times New Roman" w:hAnsi="Times New Roman"/>
                <w:b w:val="0"/>
                <w:sz w:val="16"/>
              </w:rPr>
              <w:t>E5.5_k</w:t>
            </w:r>
          </w:p>
        </w:tc>
        <w:tc>
          <w:tcPr>
            <w:tcW w:type="dxa" w:w="2074"/>
          </w:tcPr>
          <w:p>
            <w:pPr>
              <w:keepNext/>
              <w:jc w:val="center"/>
            </w:pPr>
            <w:r/>
            <w:r>
              <w:rPr>
                <w:rFonts w:ascii="Times New Roman" w:hAnsi="Times New Roman"/>
                <w:b w:val="0"/>
                <w:sz w:val="16"/>
              </w:rPr>
              <w:t>k = (3, 1, 1)</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19,815</w:t>
            </w:r>
          </w:p>
        </w:tc>
        <w:tc>
          <w:tcPr>
            <w:tcW w:type="dxa" w:w="2074"/>
          </w:tcPr>
          <w:p>
            <w:pPr>
              <w:keepNext/>
              <w:jc w:val="center"/>
            </w:pPr>
            <w:r/>
            <w:r>
              <w:rPr>
                <w:rFonts w:ascii="Times New Roman" w:hAnsi="Times New Roman"/>
                <w:b w:val="0"/>
                <w:sz w:val="16"/>
              </w:rPr>
              <w:t>16.0</w:t>
            </w:r>
          </w:p>
        </w:tc>
      </w:tr>
      <w:tr>
        <w:trPr>
          <w:cantSplit/>
        </w:trPr>
        <w:tc>
          <w:tcPr>
            <w:tcW w:type="dxa" w:w="2074"/>
          </w:tcPr>
          <w:p>
            <w:pPr>
              <w:keepNext/>
              <w:jc w:val="left"/>
            </w:pPr>
            <w:r/>
            <w:r>
              <w:rPr>
                <w:rFonts w:ascii="Times New Roman" w:hAnsi="Times New Roman"/>
                <w:b w:val="0"/>
                <w:sz w:val="16"/>
              </w:rPr>
              <w:t>E5.7_grid</w:t>
            </w:r>
          </w:p>
        </w:tc>
        <w:tc>
          <w:tcPr>
            <w:tcW w:type="dxa" w:w="2074"/>
          </w:tcPr>
          <w:p>
            <w:pPr>
              <w:keepNext/>
              <w:jc w:val="center"/>
            </w:pPr>
            <w:r/>
            <w:r>
              <w:rPr>
                <w:rFonts w:ascii="Times New Roman" w:hAnsi="Times New Roman"/>
                <w:b w:val="0"/>
                <w:sz w:val="16"/>
              </w:rPr>
              <w:t>250 ms grid</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21,043</w:t>
            </w:r>
          </w:p>
        </w:tc>
        <w:tc>
          <w:tcPr>
            <w:tcW w:type="dxa" w:w="2074"/>
          </w:tcPr>
          <w:p>
            <w:pPr>
              <w:keepNext/>
              <w:jc w:val="center"/>
            </w:pPr>
            <w:r/>
            <w:r>
              <w:rPr>
                <w:rFonts w:ascii="Times New Roman" w:hAnsi="Times New Roman"/>
                <w:b w:val="0"/>
                <w:sz w:val="16"/>
              </w:rPr>
              <w:t>13.0</w:t>
            </w:r>
          </w:p>
        </w:tc>
      </w:tr>
      <w:tr>
        <w:trPr>
          <w:cantSplit/>
        </w:trPr>
        <w:tc>
          <w:tcPr>
            <w:tcW w:type="dxa" w:w="2074"/>
          </w:tcPr>
          <w:p>
            <w:pPr>
              <w:keepNext/>
              <w:jc w:val="left"/>
            </w:pPr>
            <w:r/>
            <w:r>
              <w:rPr>
                <w:rFonts w:ascii="Times New Roman" w:hAnsi="Times New Roman"/>
                <w:b w:val="0"/>
                <w:sz w:val="16"/>
              </w:rPr>
              <w:t>E5.7_grid</w:t>
            </w:r>
          </w:p>
        </w:tc>
        <w:tc>
          <w:tcPr>
            <w:tcW w:type="dxa" w:w="2074"/>
          </w:tcPr>
          <w:p>
            <w:pPr>
              <w:keepNext/>
              <w:jc w:val="center"/>
            </w:pPr>
            <w:r/>
            <w:r>
              <w:rPr>
                <w:rFonts w:ascii="Times New Roman" w:hAnsi="Times New Roman"/>
                <w:b w:val="0"/>
                <w:sz w:val="16"/>
              </w:rPr>
              <w:t>125 ms grid</w:t>
            </w:r>
          </w:p>
        </w:tc>
        <w:tc>
          <w:tcPr>
            <w:tcW w:type="dxa" w:w="2074"/>
          </w:tcPr>
          <w:p>
            <w:pPr>
              <w:keepNext/>
              <w:jc w:val="center"/>
            </w:pPr>
            <w:r/>
            <w:r>
              <w:rPr>
                <w:rFonts w:ascii="Times New Roman" w:hAnsi="Times New Roman"/>
                <w:b w:val="0"/>
                <w:sz w:val="16"/>
              </w:rPr>
              <w:t>29/29</w:t>
            </w:r>
          </w:p>
        </w:tc>
        <w:tc>
          <w:tcPr>
            <w:tcW w:type="dxa" w:w="2074"/>
          </w:tcPr>
          <w:p>
            <w:pPr>
              <w:keepNext/>
              <w:jc w:val="center"/>
            </w:pPr>
            <w:r/>
            <w:r>
              <w:rPr>
                <w:rFonts w:ascii="Times New Roman" w:hAnsi="Times New Roman"/>
                <w:b w:val="0"/>
                <w:sz w:val="16"/>
              </w:rPr>
              <w:t>18,887</w:t>
            </w:r>
          </w:p>
        </w:tc>
        <w:tc>
          <w:tcPr>
            <w:tcW w:type="dxa" w:w="2074"/>
          </w:tcPr>
          <w:p>
            <w:pPr>
              <w:keepNext/>
              <w:jc w:val="center"/>
            </w:pPr>
            <w:r/>
            <w:r>
              <w:rPr>
                <w:rFonts w:ascii="Times New Roman" w:hAnsi="Times New Roman"/>
                <w:b w:val="0"/>
                <w:sz w:val="16"/>
              </w:rPr>
              <w:t>25.6</w:t>
            </w:r>
          </w:p>
        </w:tc>
      </w:tr>
      <w:tr>
        <w:trPr>
          <w:cantSplit/>
        </w:trPr>
        <w:tc>
          <w:tcPr>
            <w:tcW w:type="dxa" w:w="2074"/>
            <w:tcBorders>
              <w:bottom w:val="single" w:sz="12" w:color="000000"/>
            </w:tcBorders>
          </w:tcPr>
          <w:p>
            <w:pPr>
              <w:jc w:val="left"/>
            </w:pPr>
            <w:r/>
            <w:r>
              <w:rPr>
                <w:rFonts w:ascii="Times New Roman" w:hAnsi="Times New Roman"/>
                <w:b w:val="0"/>
                <w:sz w:val="16"/>
              </w:rPr>
              <w:t>E5.7_grid</w:t>
            </w:r>
          </w:p>
        </w:tc>
        <w:tc>
          <w:tcPr>
            <w:tcW w:type="dxa" w:w="2074"/>
            <w:tcBorders>
              <w:bottom w:val="single" w:sz="12" w:color="000000"/>
            </w:tcBorders>
          </w:tcPr>
          <w:p>
            <w:pPr>
              <w:jc w:val="center"/>
            </w:pPr>
            <w:r/>
            <w:r>
              <w:rPr>
                <w:rFonts w:ascii="Times New Roman" w:hAnsi="Times New Roman"/>
                <w:b w:val="0"/>
                <w:sz w:val="16"/>
              </w:rPr>
              <w:t>62 ms grid</w:t>
            </w:r>
          </w:p>
        </w:tc>
        <w:tc>
          <w:tcPr>
            <w:tcW w:type="dxa" w:w="2074"/>
            <w:tcBorders>
              <w:bottom w:val="single" w:sz="12" w:color="000000"/>
            </w:tcBorders>
          </w:tcPr>
          <w:p>
            <w:pPr>
              <w:jc w:val="center"/>
            </w:pPr>
            <w:r/>
            <w:r>
              <w:rPr>
                <w:rFonts w:ascii="Times New Roman" w:hAnsi="Times New Roman"/>
                <w:b w:val="0"/>
                <w:sz w:val="16"/>
              </w:rPr>
              <w:t>29/29</w:t>
            </w:r>
          </w:p>
        </w:tc>
        <w:tc>
          <w:tcPr>
            <w:tcW w:type="dxa" w:w="2074"/>
            <w:tcBorders>
              <w:bottom w:val="single" w:sz="12" w:color="000000"/>
            </w:tcBorders>
          </w:tcPr>
          <w:p>
            <w:pPr>
              <w:jc w:val="center"/>
            </w:pPr>
            <w:r/>
            <w:r>
              <w:rPr>
                <w:rFonts w:ascii="Times New Roman" w:hAnsi="Times New Roman"/>
                <w:b w:val="0"/>
                <w:sz w:val="16"/>
              </w:rPr>
              <w:t>15,918</w:t>
            </w:r>
          </w:p>
        </w:tc>
        <w:tc>
          <w:tcPr>
            <w:tcW w:type="dxa" w:w="2074"/>
            <w:tcBorders>
              <w:bottom w:val="single" w:sz="12" w:color="000000"/>
            </w:tcBorders>
          </w:tcPr>
          <w:p>
            <w:pPr>
              <w:jc w:val="center"/>
            </w:pPr>
            <w:r/>
            <w:r>
              <w:rPr>
                <w:rFonts w:ascii="Times New Roman" w:hAnsi="Times New Roman"/>
                <w:b w:val="0"/>
                <w:sz w:val="16"/>
              </w:rPr>
              <w:t>12.0</w:t>
            </w:r>
          </w:p>
        </w:tc>
      </w:tr>
    </w:tbl>
    <w:p>
      <w:pPr>
        <w:spacing w:after="40"/>
      </w:pPr>
    </w:p>
    <w:p>
      <w:pPr>
        <w:pStyle w:val="Heading2"/>
      </w:pPr>
      <w:r>
        <w:t>G. Set-similarity retrieval: the MinHash-LSH baseline</w:t>
      </w:r>
    </w:p>
    <w:p>
      <w:pPr>
        <w:spacing w:after="0"/>
        <w:ind w:firstLine="204"/>
        <w:jc w:val="both"/>
      </w:pPr>
      <w:r>
        <w:t>Why does the LSH index return nothing? The reason is geometric, not engineering. A planted query of the recall matrix embeds a 40-item span in 300 noise items and probes a corpus of pieces of ~700 items each, so even a perfect set-Jaccard oracle scores the donor at only 0.04 / 0.10 / 0.20 (quartiles over the 337 cells; Fig. 11(a)); just 168 of 337 donors reach Jaccard 0.10. Jaccard measures relative overlap, so a contained copy is structurally invisible to it no matter how faithfully the 40 shared items are preserved. Tuning the band configuration moves the operating point along a recall-versus-candidate-volume trade-off, not past it (Table X): with the standard 16 x 8 bands at tau = 0.10 the donor survives screening in 0.6% of cells; re-tuning to 2 rows x 64 bands—an S-curve threshold near 0.12, the textbook choice for this regime—raises donor survival to 51.9% but still confirms only 43.6%, because the remaining donors fall below the threshold by construction; dropping to 1 row x 128 bands at tau = 0.05 recovers the donor in 95.8% of cells, at the price of returning a median of 518 of 1,000 candidates per query, of which a median of 9 pass tau = 0.05 by chance. Either way the screen that certifies 99.1% recall on the same 337 cells is unreachable: set-similarity semantics, accelerated or not, do not express containment.</w:t>
      </w:r>
    </w:p>
    <w:p>
      <w:pPr>
        <w:pStyle w:val="TableTitle"/>
        <w:keepNext/>
      </w:pPr>
      <w:r>
        <w:t>TABLE X.</w:t>
      </w:r>
    </w:p>
    <w:p>
      <w:pPr>
        <w:pStyle w:val="TableTitle"/>
        <w:keepNext/>
      </w:pPr>
      <w:r>
        <w:t>MinHash-LSH on the 337-cell recall-matrix protocol (1,000-piece corpus, 128 permutations); containment-hitting configurations flood candidates, discriminating configurations starve the donor.</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rPr>
        <w:tc>
          <w:tcPr>
            <w:tcW w:type="dxa" w:w="1728"/>
            <w:tcBorders>
              <w:top w:val="single" w:sz="12" w:color="000000"/>
              <w:bottom w:val="single" w:sz="6" w:color="000000"/>
            </w:tcBorders>
          </w:tcPr>
          <w:p>
            <w:pPr>
              <w:keepNext/>
              <w:jc w:val="left"/>
            </w:pPr>
            <w:r/>
            <w:r>
              <w:rPr>
                <w:rFonts w:ascii="Times New Roman" w:hAnsi="Times New Roman"/>
                <w:b/>
                <w:sz w:val="16"/>
              </w:rPr>
              <w:t>LSH configuration</w:t>
            </w:r>
          </w:p>
        </w:tc>
        <w:tc>
          <w:tcPr>
            <w:tcW w:type="dxa" w:w="1728"/>
            <w:tcBorders>
              <w:top w:val="single" w:sz="12" w:color="000000"/>
              <w:bottom w:val="single" w:sz="6" w:color="000000"/>
            </w:tcBorders>
          </w:tcPr>
          <w:p>
            <w:pPr>
              <w:keepNext/>
              <w:jc w:val="center"/>
            </w:pPr>
            <w:r/>
            <w:r>
              <w:rPr>
                <w:rFonts w:ascii="Times New Roman" w:hAnsi="Times New Roman"/>
                <w:b/>
                <w:sz w:val="16"/>
              </w:rPr>
              <w:t>tau</w:t>
            </w:r>
          </w:p>
        </w:tc>
        <w:tc>
          <w:tcPr>
            <w:tcW w:type="dxa" w:w="1728"/>
            <w:tcBorders>
              <w:top w:val="single" w:sz="12" w:color="000000"/>
              <w:bottom w:val="single" w:sz="6" w:color="000000"/>
            </w:tcBorders>
          </w:tcPr>
          <w:p>
            <w:pPr>
              <w:keepNext/>
              <w:jc w:val="center"/>
            </w:pPr>
            <w:r/>
            <w:r>
              <w:rPr>
                <w:rFonts w:ascii="Times New Roman" w:hAnsi="Times New Roman"/>
                <w:b/>
                <w:sz w:val="16"/>
              </w:rPr>
              <w:t>Donor in candidates (%)</w:t>
            </w:r>
          </w:p>
        </w:tc>
        <w:tc>
          <w:tcPr>
            <w:tcW w:type="dxa" w:w="1728"/>
            <w:tcBorders>
              <w:top w:val="single" w:sz="12" w:color="000000"/>
              <w:bottom w:val="single" w:sz="6" w:color="000000"/>
            </w:tcBorders>
          </w:tcPr>
          <w:p>
            <w:pPr>
              <w:keepNext/>
              <w:jc w:val="center"/>
            </w:pPr>
            <w:r/>
            <w:r>
              <w:rPr>
                <w:rFonts w:ascii="Times New Roman" w:hAnsi="Times New Roman"/>
                <w:b/>
                <w:sz w:val="16"/>
              </w:rPr>
              <w:t>Donor confirmed (%)</w:t>
            </w:r>
          </w:p>
        </w:tc>
        <w:tc>
          <w:tcPr>
            <w:tcW w:type="dxa" w:w="1728"/>
            <w:tcBorders>
              <w:top w:val="single" w:sz="12" w:color="000000"/>
              <w:bottom w:val="single" w:sz="6" w:color="000000"/>
            </w:tcBorders>
          </w:tcPr>
          <w:p>
            <w:pPr>
              <w:keepNext/>
              <w:jc w:val="center"/>
            </w:pPr>
            <w:r/>
            <w:r>
              <w:rPr>
                <w:rFonts w:ascii="Times New Roman" w:hAnsi="Times New Roman"/>
                <w:b/>
                <w:sz w:val="16"/>
              </w:rPr>
              <w:t>Median candidates</w:t>
            </w:r>
          </w:p>
        </w:tc>
        <w:tc>
          <w:tcPr>
            <w:tcW w:type="dxa" w:w="1728"/>
            <w:tcBorders>
              <w:top w:val="single" w:sz="12" w:color="000000"/>
              <w:bottom w:val="single" w:sz="6" w:color="000000"/>
            </w:tcBorders>
          </w:tcPr>
          <w:p>
            <w:pPr>
              <w:keepNext/>
              <w:jc w:val="center"/>
            </w:pPr>
            <w:r/>
            <w:r>
              <w:rPr>
                <w:rFonts w:ascii="Times New Roman" w:hAnsi="Times New Roman"/>
                <w:b/>
                <w:sz w:val="16"/>
              </w:rPr>
              <w:t>Median passing tau</w:t>
            </w:r>
          </w:p>
        </w:tc>
      </w:tr>
      <w:tr>
        <w:trPr>
          <w:cantSplit/>
        </w:trPr>
        <w:tc>
          <w:tcPr>
            <w:tcW w:type="dxa" w:w="1728"/>
          </w:tcPr>
          <w:p>
            <w:pPr>
              <w:keepNext/>
              <w:jc w:val="left"/>
            </w:pPr>
            <w:r/>
            <w:r>
              <w:rPr>
                <w:rFonts w:ascii="Times New Roman" w:hAnsi="Times New Roman"/>
                <w:b w:val="0"/>
                <w:sz w:val="16"/>
              </w:rPr>
              <w:t>16 bands x 8 rows</w:t>
            </w:r>
          </w:p>
        </w:tc>
        <w:tc>
          <w:tcPr>
            <w:tcW w:type="dxa" w:w="1728"/>
          </w:tcPr>
          <w:p>
            <w:pPr>
              <w:keepNext/>
              <w:jc w:val="center"/>
            </w:pPr>
            <w:r/>
            <w:r>
              <w:rPr>
                <w:rFonts w:ascii="Times New Roman" w:hAnsi="Times New Roman"/>
                <w:b w:val="0"/>
                <w:sz w:val="16"/>
              </w:rPr>
              <w:t>0.10</w:t>
            </w:r>
          </w:p>
        </w:tc>
        <w:tc>
          <w:tcPr>
            <w:tcW w:type="dxa" w:w="1728"/>
          </w:tcPr>
          <w:p>
            <w:pPr>
              <w:keepNext/>
              <w:jc w:val="center"/>
            </w:pPr>
            <w:r/>
            <w:r>
              <w:rPr>
                <w:rFonts w:ascii="Times New Roman" w:hAnsi="Times New Roman"/>
                <w:b w:val="0"/>
                <w:sz w:val="16"/>
              </w:rPr>
              <w:t>0.6</w:t>
            </w:r>
          </w:p>
        </w:tc>
        <w:tc>
          <w:tcPr>
            <w:tcW w:type="dxa" w:w="1728"/>
          </w:tcPr>
          <w:p>
            <w:pPr>
              <w:keepNext/>
              <w:jc w:val="center"/>
            </w:pPr>
            <w:r/>
            <w:r>
              <w:rPr>
                <w:rFonts w:ascii="Times New Roman" w:hAnsi="Times New Roman"/>
                <w:b w:val="0"/>
                <w:sz w:val="16"/>
              </w:rPr>
              <w:t>0.6</w:t>
            </w:r>
          </w:p>
        </w:tc>
        <w:tc>
          <w:tcPr>
            <w:tcW w:type="dxa" w:w="1728"/>
          </w:tcPr>
          <w:p>
            <w:pPr>
              <w:keepNext/>
              <w:jc w:val="center"/>
            </w:pPr>
            <w:r/>
            <w:r>
              <w:rPr>
                <w:rFonts w:ascii="Times New Roman" w:hAnsi="Times New Roman"/>
                <w:b w:val="0"/>
                <w:sz w:val="16"/>
              </w:rPr>
              <w:t>0</w:t>
            </w:r>
          </w:p>
        </w:tc>
        <w:tc>
          <w:tcPr>
            <w:tcW w:type="dxa" w:w="1728"/>
          </w:tcPr>
          <w:p>
            <w:pPr>
              <w:keepNext/>
              <w:jc w:val="center"/>
            </w:pPr>
            <w:r/>
            <w:r>
              <w:rPr>
                <w:rFonts w:ascii="Times New Roman" w:hAnsi="Times New Roman"/>
                <w:b w:val="0"/>
                <w:sz w:val="16"/>
              </w:rPr>
              <w:t>0</w:t>
            </w:r>
          </w:p>
        </w:tc>
      </w:tr>
      <w:tr>
        <w:trPr>
          <w:cantSplit/>
        </w:trPr>
        <w:tc>
          <w:tcPr>
            <w:tcW w:type="dxa" w:w="1728"/>
          </w:tcPr>
          <w:p>
            <w:pPr>
              <w:keepNext/>
              <w:jc w:val="left"/>
            </w:pPr>
            <w:r/>
            <w:r>
              <w:rPr>
                <w:rFonts w:ascii="Times New Roman" w:hAnsi="Times New Roman"/>
                <w:b w:val="0"/>
                <w:sz w:val="16"/>
              </w:rPr>
              <w:t>2 rows x 64 bands</w:t>
            </w:r>
          </w:p>
        </w:tc>
        <w:tc>
          <w:tcPr>
            <w:tcW w:type="dxa" w:w="1728"/>
          </w:tcPr>
          <w:p>
            <w:pPr>
              <w:keepNext/>
              <w:jc w:val="center"/>
            </w:pPr>
            <w:r/>
            <w:r>
              <w:rPr>
                <w:rFonts w:ascii="Times New Roman" w:hAnsi="Times New Roman"/>
                <w:b w:val="0"/>
                <w:sz w:val="16"/>
              </w:rPr>
              <w:t>0.10</w:t>
            </w:r>
          </w:p>
        </w:tc>
        <w:tc>
          <w:tcPr>
            <w:tcW w:type="dxa" w:w="1728"/>
          </w:tcPr>
          <w:p>
            <w:pPr>
              <w:keepNext/>
              <w:jc w:val="center"/>
            </w:pPr>
            <w:r/>
            <w:r>
              <w:rPr>
                <w:rFonts w:ascii="Times New Roman" w:hAnsi="Times New Roman"/>
                <w:b w:val="0"/>
                <w:sz w:val="16"/>
              </w:rPr>
              <w:t>51.9</w:t>
            </w:r>
          </w:p>
        </w:tc>
        <w:tc>
          <w:tcPr>
            <w:tcW w:type="dxa" w:w="1728"/>
          </w:tcPr>
          <w:p>
            <w:pPr>
              <w:keepNext/>
              <w:jc w:val="center"/>
            </w:pPr>
            <w:r/>
            <w:r>
              <w:rPr>
                <w:rFonts w:ascii="Times New Roman" w:hAnsi="Times New Roman"/>
                <w:b w:val="0"/>
                <w:sz w:val="16"/>
              </w:rPr>
              <w:t>43.6</w:t>
            </w:r>
          </w:p>
        </w:tc>
        <w:tc>
          <w:tcPr>
            <w:tcW w:type="dxa" w:w="1728"/>
          </w:tcPr>
          <w:p>
            <w:pPr>
              <w:keepNext/>
              <w:jc w:val="center"/>
            </w:pPr>
            <w:r/>
            <w:r>
              <w:rPr>
                <w:rFonts w:ascii="Times New Roman" w:hAnsi="Times New Roman"/>
                <w:b w:val="0"/>
                <w:sz w:val="16"/>
              </w:rPr>
              <w:t>11</w:t>
            </w:r>
          </w:p>
        </w:tc>
        <w:tc>
          <w:tcPr>
            <w:tcW w:type="dxa" w:w="1728"/>
          </w:tcPr>
          <w:p>
            <w:pPr>
              <w:keepNext/>
              <w:jc w:val="center"/>
            </w:pPr>
            <w:r/>
            <w:r>
              <w:rPr>
                <w:rFonts w:ascii="Times New Roman" w:hAnsi="Times New Roman"/>
                <w:b w:val="0"/>
                <w:sz w:val="16"/>
              </w:rPr>
              <w:t>0</w:t>
            </w:r>
          </w:p>
        </w:tc>
      </w:tr>
      <w:tr>
        <w:trPr>
          <w:cantSplit/>
        </w:trPr>
        <w:tc>
          <w:tcPr>
            <w:tcW w:type="dxa" w:w="1728"/>
            <w:tcBorders>
              <w:bottom w:val="single" w:sz="12" w:color="000000"/>
            </w:tcBorders>
          </w:tcPr>
          <w:p>
            <w:pPr>
              <w:jc w:val="left"/>
            </w:pPr>
            <w:r/>
            <w:r>
              <w:rPr>
                <w:rFonts w:ascii="Times New Roman" w:hAnsi="Times New Roman"/>
                <w:b w:val="0"/>
                <w:sz w:val="16"/>
              </w:rPr>
              <w:t>1 row x 128 bands</w:t>
            </w:r>
          </w:p>
        </w:tc>
        <w:tc>
          <w:tcPr>
            <w:tcW w:type="dxa" w:w="1728"/>
            <w:tcBorders>
              <w:bottom w:val="single" w:sz="12" w:color="000000"/>
            </w:tcBorders>
          </w:tcPr>
          <w:p>
            <w:pPr>
              <w:jc w:val="center"/>
            </w:pPr>
            <w:r/>
            <w:r>
              <w:rPr>
                <w:rFonts w:ascii="Times New Roman" w:hAnsi="Times New Roman"/>
                <w:b w:val="0"/>
                <w:sz w:val="16"/>
              </w:rPr>
              <w:t>0.05</w:t>
            </w:r>
          </w:p>
        </w:tc>
        <w:tc>
          <w:tcPr>
            <w:tcW w:type="dxa" w:w="1728"/>
            <w:tcBorders>
              <w:bottom w:val="single" w:sz="12" w:color="000000"/>
            </w:tcBorders>
          </w:tcPr>
          <w:p>
            <w:pPr>
              <w:jc w:val="center"/>
            </w:pPr>
            <w:r/>
            <w:r>
              <w:rPr>
                <w:rFonts w:ascii="Times New Roman" w:hAnsi="Times New Roman"/>
                <w:b w:val="0"/>
                <w:sz w:val="16"/>
              </w:rPr>
              <w:t>95.8</w:t>
            </w:r>
          </w:p>
        </w:tc>
        <w:tc>
          <w:tcPr>
            <w:tcW w:type="dxa" w:w="1728"/>
            <w:tcBorders>
              <w:bottom w:val="single" w:sz="12" w:color="000000"/>
            </w:tcBorders>
          </w:tcPr>
          <w:p>
            <w:pPr>
              <w:jc w:val="center"/>
            </w:pPr>
            <w:r/>
            <w:r>
              <w:rPr>
                <w:rFonts w:ascii="Times New Roman" w:hAnsi="Times New Roman"/>
                <w:b w:val="0"/>
                <w:sz w:val="16"/>
              </w:rPr>
              <w:t>72.1</w:t>
            </w:r>
          </w:p>
        </w:tc>
        <w:tc>
          <w:tcPr>
            <w:tcW w:type="dxa" w:w="1728"/>
            <w:tcBorders>
              <w:bottom w:val="single" w:sz="12" w:color="000000"/>
            </w:tcBorders>
          </w:tcPr>
          <w:p>
            <w:pPr>
              <w:jc w:val="center"/>
            </w:pPr>
            <w:r/>
            <w:r>
              <w:rPr>
                <w:rFonts w:ascii="Times New Roman" w:hAnsi="Times New Roman"/>
                <w:b w:val="0"/>
                <w:sz w:val="16"/>
              </w:rPr>
              <w:t>518</w:t>
            </w:r>
          </w:p>
        </w:tc>
        <w:tc>
          <w:tcPr>
            <w:tcW w:type="dxa" w:w="1728"/>
            <w:tcBorders>
              <w:bottom w:val="single" w:sz="12" w:color="000000"/>
            </w:tcBorders>
          </w:tcPr>
          <w:p>
            <w:pPr>
              <w:jc w:val="center"/>
            </w:pPr>
            <w:r/>
            <w:r>
              <w:rPr>
                <w:rFonts w:ascii="Times New Roman" w:hAnsi="Times New Roman"/>
                <w:b w:val="0"/>
                <w:sz w:val="16"/>
              </w:rPr>
              <w:t>9</w:t>
            </w:r>
          </w:p>
        </w:tc>
      </w:tr>
    </w:tbl>
    <w:p>
      <w:pPr>
        <w:spacing w:after="40"/>
      </w:pP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5760000" cy="1876345"/>
          <wp:effectExtent l="0" t="0" r="0" b="0"/>
          <wp:docPr id="111" name="fig_e20_lsh.emf"/>
          <wp:cNvGraphicFramePr/>
          <a:graphic>
            <a:graphicData uri="http://schemas.openxmlformats.org/drawingml/2006/picture">
              <pic:pic>
                <pic:nvPicPr>
                  <pic:cNvPr id="0" name="fig_e20_lsh.emf"/>
                  <pic:cNvPicPr/>
                </pic:nvPicPr>
                <pic:blipFill>
                  <a:blip r:embed="rId43"/>
                  <a:stretch>
                    <a:fillRect/>
                  </a:stretch>
                </pic:blipFill>
                <pic:spPr>
                  <a:xfrm>
                    <a:off x="0" y="0"/>
                    <a:ext cx="5760000" cy="1876345"/>
                  </a:xfrm>
                  <a:prstGeom prst="rect">
                    <a:avLst/>
                  </a:prstGeom>
                </pic:spPr>
              </pic:pic>
            </a:graphicData>
          </a:graphic>
        </wp:inline>
      </w:drawing>
    </w:p>
    <w:p>
      <w:pPr>
        <w:pStyle w:val="FigureCaption"/>
      </w:pPr>
      <w:r>
        <w:rPr>
          <w:sz w:val="19"/>
        </w:rPr>
        <w:t>Fig. 11. The containment-versus-Jaccard geometry behind Table X. (a) donor Jaccard distribution over the 337 planted cells (quartiles 0.045/0.099/0.201) with the two operating thresholds marked; (b) recall of the three LSH configurations versus the tolerant screen on the same cells.</w:t>
      </w:r>
    </w:p>
    <w:p>
      <w:pPr>
        <w:sectPr w:rsidR="007E713A" w:rsidSect="00002FAF">
          <w:headerReference w:type="default" r:id="rId9"/>
          <w:type w:val="continuous"/>
          <w:pgSz w:w="12240" w:h="15840"/>
          <w:pgMar w:top="1008" w:right="936" w:bottom="1008" w:left="936" w:header="432" w:footer="432" w:gutter="0"/>
          <w:cols w:space="288"/>
        </w:sectPr>
      </w:pPr>
    </w:p>
    <w:p>
      <w:pPr>
        <w:pStyle w:val="Heading1"/>
      </w:pPr>
      <w:r>
        <w:t>VI. REAL-WORLD STUDIES</w:t>
      </w:r>
    </w:p>
    <w:p>
      <w:pPr>
        <w:pStyle w:val="Heading2"/>
      </w:pPr>
      <w:r>
        <w:t>A. Controlled memorization screening</w:t>
      </w:r>
    </w:p>
    <w:p>
      <w:pPr>
        <w:spacing w:after="0"/>
        <w:ind w:firstLine="204"/>
        <w:jc w:val="both"/>
      </w:pPr>
      <w:r>
        <w:t>We emulate generative-model memorization with an order-m pitch n-gram model mixed with a per-note copy operator at probability λ, sweeping m∈{2,4,8} and λ∈{0, 0.25, ..., 1}; 750 generated pieces are screened with the production cascade. Detection (Fig. 12, Table XI) rises monotonically: 26-34% at λ=0—these residual hits are style-level shared structures, attributed to the source piece in only 2-4% of cases—through 44-56% at λ=0.5, to 100% at λ=1 with 96-100% correct source attribution. Fragmented partial memorization (λ=0.25, per-note Bernoulli copies) escapes the contiguity threshold: an honest boundary of chain-based confirmation that mirrors the distributed-memorization blind spot of sequential detectors.  Section VI-D replaces the emulator with an actually trained transformer and asks whether real overfitting reproduces this spectrum.</w:t>
      </w:r>
    </w:p>
    <w:p>
      <w:pPr>
        <w:keepNext/>
        <w:jc w:val="center"/>
      </w:pPr>
      <w:drawing xmlns:a="http://schemas.openxmlformats.org/drawingml/2006/main" xmlns:pic="http://schemas.openxmlformats.org/drawingml/2006/picture">
        <wp:inline distT="0" distB="0" distL="0" distR="0">
          <wp:extent cx="2880000" cy="2176510"/>
          <wp:effectExtent l="0" t="0" r="0" b="0"/>
          <wp:docPr id="112" name="fig6_memorization.emf"/>
          <wp:cNvGraphicFramePr/>
          <a:graphic>
            <a:graphicData uri="http://schemas.openxmlformats.org/drawingml/2006/picture">
              <pic:pic>
                <pic:nvPicPr>
                  <pic:cNvPr id="0" name="fig6_memorization.emf"/>
                  <pic:cNvPicPr/>
                </pic:nvPicPr>
                <pic:blipFill>
                  <a:blip r:embed="rId44"/>
                  <a:stretch>
                    <a:fillRect/>
                  </a:stretch>
                </pic:blipFill>
                <pic:spPr>
                  <a:xfrm>
                    <a:off x="0" y="0"/>
                    <a:ext cx="2880000" cy="2176510"/>
                  </a:xfrm>
                  <a:prstGeom prst="rect">
                    <a:avLst/>
                  </a:prstGeom>
                </pic:spPr>
              </pic:pic>
            </a:graphicData>
          </a:graphic>
        </wp:inline>
      </w:drawing>
    </w:p>
    <w:p>
      <w:pPr>
        <w:pStyle w:val="FigureCaption"/>
      </w:pPr>
      <w:r>
        <w:rPr>
          <w:sz w:val="19"/>
        </w:rPr>
        <w:t>Fig. 12. Detection rate (bars) and source attribution (ticks) over the memorization spectrum, by n-gram order.</w:t>
      </w:r>
    </w:p>
    <w:p>
      <w:pPr>
        <w:pStyle w:val="TableTitle"/>
        <w:keepNext/>
      </w:pPr>
      <w:r>
        <w:t>TABLE XI.</w:t>
      </w:r>
    </w:p>
    <w:p>
      <w:pPr>
        <w:pStyle w:val="TableTitle"/>
        <w:keepNext/>
      </w:pPr>
      <w:r>
        <w:t>Memorization spectrum: detection % / correct source-attribution % per cell (50 generated pieces per cell; order-m pitch n-gram mixed with per-note copy at probability λ).</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rPr>
        <w:tc>
          <w:tcPr>
            <w:tcW w:type="dxa" w:w="1728"/>
            <w:tcBorders>
              <w:top w:val="single" w:sz="12" w:color="000000"/>
              <w:bottom w:val="single" w:sz="6" w:color="000000"/>
            </w:tcBorders>
          </w:tcPr>
          <w:p>
            <w:pPr>
              <w:keepNext/>
              <w:jc w:val="left"/>
            </w:pPr>
            <w:r/>
            <w:r>
              <w:rPr>
                <w:rFonts w:ascii="Times New Roman" w:hAnsi="Times New Roman"/>
                <w:b/>
                <w:sz w:val="16"/>
              </w:rPr>
              <w:t>m</w:t>
            </w:r>
          </w:p>
        </w:tc>
        <w:tc>
          <w:tcPr>
            <w:tcW w:type="dxa" w:w="1728"/>
            <w:tcBorders>
              <w:top w:val="single" w:sz="12" w:color="000000"/>
              <w:bottom w:val="single" w:sz="6" w:color="000000"/>
            </w:tcBorders>
          </w:tcPr>
          <w:p>
            <w:pPr>
              <w:keepNext/>
              <w:jc w:val="center"/>
            </w:pPr>
            <w:r/>
            <w:r>
              <w:rPr>
                <w:rFonts w:ascii="Times New Roman" w:hAnsi="Times New Roman"/>
                <w:b/>
                <w:sz w:val="16"/>
              </w:rPr>
              <w:t>λ = 0</w:t>
            </w:r>
          </w:p>
        </w:tc>
        <w:tc>
          <w:tcPr>
            <w:tcW w:type="dxa" w:w="1728"/>
            <w:tcBorders>
              <w:top w:val="single" w:sz="12" w:color="000000"/>
              <w:bottom w:val="single" w:sz="6" w:color="000000"/>
            </w:tcBorders>
          </w:tcPr>
          <w:p>
            <w:pPr>
              <w:keepNext/>
              <w:jc w:val="center"/>
            </w:pPr>
            <w:r/>
            <w:r>
              <w:rPr>
                <w:rFonts w:ascii="Times New Roman" w:hAnsi="Times New Roman"/>
                <w:b/>
                <w:sz w:val="16"/>
              </w:rPr>
              <w:t>λ = 0.25</w:t>
            </w:r>
          </w:p>
        </w:tc>
        <w:tc>
          <w:tcPr>
            <w:tcW w:type="dxa" w:w="1728"/>
            <w:tcBorders>
              <w:top w:val="single" w:sz="12" w:color="000000"/>
              <w:bottom w:val="single" w:sz="6" w:color="000000"/>
            </w:tcBorders>
          </w:tcPr>
          <w:p>
            <w:pPr>
              <w:keepNext/>
              <w:jc w:val="center"/>
            </w:pPr>
            <w:r/>
            <w:r>
              <w:rPr>
                <w:rFonts w:ascii="Times New Roman" w:hAnsi="Times New Roman"/>
                <w:b/>
                <w:sz w:val="16"/>
              </w:rPr>
              <w:t>λ = 0.5</w:t>
            </w:r>
          </w:p>
        </w:tc>
        <w:tc>
          <w:tcPr>
            <w:tcW w:type="dxa" w:w="1728"/>
            <w:tcBorders>
              <w:top w:val="single" w:sz="12" w:color="000000"/>
              <w:bottom w:val="single" w:sz="6" w:color="000000"/>
            </w:tcBorders>
          </w:tcPr>
          <w:p>
            <w:pPr>
              <w:keepNext/>
              <w:jc w:val="center"/>
            </w:pPr>
            <w:r/>
            <w:r>
              <w:rPr>
                <w:rFonts w:ascii="Times New Roman" w:hAnsi="Times New Roman"/>
                <w:b/>
                <w:sz w:val="16"/>
              </w:rPr>
              <w:t>λ = 0.75</w:t>
            </w:r>
          </w:p>
        </w:tc>
        <w:tc>
          <w:tcPr>
            <w:tcW w:type="dxa" w:w="1728"/>
            <w:tcBorders>
              <w:top w:val="single" w:sz="12" w:color="000000"/>
              <w:bottom w:val="single" w:sz="6" w:color="000000"/>
            </w:tcBorders>
          </w:tcPr>
          <w:p>
            <w:pPr>
              <w:keepNext/>
              <w:jc w:val="center"/>
            </w:pPr>
            <w:r/>
            <w:r>
              <w:rPr>
                <w:rFonts w:ascii="Times New Roman" w:hAnsi="Times New Roman"/>
                <w:b/>
                <w:sz w:val="16"/>
              </w:rPr>
              <w:t>λ = 1</w:t>
            </w:r>
          </w:p>
        </w:tc>
      </w:tr>
      <w:tr>
        <w:trPr>
          <w:cantSplit/>
        </w:trPr>
        <w:tc>
          <w:tcPr>
            <w:tcW w:type="dxa" w:w="1728"/>
          </w:tcPr>
          <w:p>
            <w:pPr>
              <w:keepNext/>
              <w:jc w:val="left"/>
            </w:pPr>
            <w:r/>
            <w:r>
              <w:rPr>
                <w:rFonts w:ascii="Times New Roman" w:hAnsi="Times New Roman"/>
                <w:b w:val="0"/>
                <w:sz w:val="16"/>
              </w:rPr>
              <w:t>2</w:t>
            </w:r>
          </w:p>
        </w:tc>
        <w:tc>
          <w:tcPr>
            <w:tcW w:type="dxa" w:w="1728"/>
          </w:tcPr>
          <w:p>
            <w:pPr>
              <w:keepNext/>
              <w:jc w:val="center"/>
            </w:pPr>
            <w:r/>
            <w:r>
              <w:rPr>
                <w:rFonts w:ascii="Times New Roman" w:hAnsi="Times New Roman"/>
                <w:b w:val="0"/>
                <w:sz w:val="16"/>
              </w:rPr>
              <w:t>26 / 4</w:t>
            </w:r>
          </w:p>
        </w:tc>
        <w:tc>
          <w:tcPr>
            <w:tcW w:type="dxa" w:w="1728"/>
          </w:tcPr>
          <w:p>
            <w:pPr>
              <w:keepNext/>
              <w:jc w:val="center"/>
            </w:pPr>
            <w:r/>
            <w:r>
              <w:rPr>
                <w:rFonts w:ascii="Times New Roman" w:hAnsi="Times New Roman"/>
                <w:b w:val="0"/>
                <w:sz w:val="16"/>
              </w:rPr>
              <w:t>30 / 0</w:t>
            </w:r>
          </w:p>
        </w:tc>
        <w:tc>
          <w:tcPr>
            <w:tcW w:type="dxa" w:w="1728"/>
          </w:tcPr>
          <w:p>
            <w:pPr>
              <w:keepNext/>
              <w:jc w:val="center"/>
            </w:pPr>
            <w:r/>
            <w:r>
              <w:rPr>
                <w:rFonts w:ascii="Times New Roman" w:hAnsi="Times New Roman"/>
                <w:b w:val="0"/>
                <w:sz w:val="16"/>
              </w:rPr>
              <w:t>44 / 18</w:t>
            </w:r>
          </w:p>
        </w:tc>
        <w:tc>
          <w:tcPr>
            <w:tcW w:type="dxa" w:w="1728"/>
          </w:tcPr>
          <w:p>
            <w:pPr>
              <w:keepNext/>
              <w:jc w:val="center"/>
            </w:pPr>
            <w:r/>
            <w:r>
              <w:rPr>
                <w:rFonts w:ascii="Times New Roman" w:hAnsi="Times New Roman"/>
                <w:b w:val="0"/>
                <w:sz w:val="16"/>
              </w:rPr>
              <w:t>96 / 90</w:t>
            </w:r>
          </w:p>
        </w:tc>
        <w:tc>
          <w:tcPr>
            <w:tcW w:type="dxa" w:w="1728"/>
          </w:tcPr>
          <w:p>
            <w:pPr>
              <w:keepNext/>
              <w:jc w:val="center"/>
            </w:pPr>
            <w:r/>
            <w:r>
              <w:rPr>
                <w:rFonts w:ascii="Times New Roman" w:hAnsi="Times New Roman"/>
                <w:b w:val="0"/>
                <w:sz w:val="16"/>
              </w:rPr>
              <w:t>100 / 100</w:t>
            </w:r>
          </w:p>
        </w:tc>
      </w:tr>
      <w:tr>
        <w:trPr>
          <w:cantSplit/>
        </w:trPr>
        <w:tc>
          <w:tcPr>
            <w:tcW w:type="dxa" w:w="1728"/>
          </w:tcPr>
          <w:p>
            <w:pPr>
              <w:keepNext/>
              <w:jc w:val="left"/>
            </w:pPr>
            <w:r/>
            <w:r>
              <w:rPr>
                <w:rFonts w:ascii="Times New Roman" w:hAnsi="Times New Roman"/>
                <w:b w:val="0"/>
                <w:sz w:val="16"/>
              </w:rPr>
              <w:t>4</w:t>
            </w:r>
          </w:p>
        </w:tc>
        <w:tc>
          <w:tcPr>
            <w:tcW w:type="dxa" w:w="1728"/>
          </w:tcPr>
          <w:p>
            <w:pPr>
              <w:keepNext/>
              <w:jc w:val="center"/>
            </w:pPr>
            <w:r/>
            <w:r>
              <w:rPr>
                <w:rFonts w:ascii="Times New Roman" w:hAnsi="Times New Roman"/>
                <w:b w:val="0"/>
                <w:sz w:val="16"/>
              </w:rPr>
              <w:t>34 / 2</w:t>
            </w:r>
          </w:p>
        </w:tc>
        <w:tc>
          <w:tcPr>
            <w:tcW w:type="dxa" w:w="1728"/>
          </w:tcPr>
          <w:p>
            <w:pPr>
              <w:keepNext/>
              <w:jc w:val="center"/>
            </w:pPr>
            <w:r/>
            <w:r>
              <w:rPr>
                <w:rFonts w:ascii="Times New Roman" w:hAnsi="Times New Roman"/>
                <w:b w:val="0"/>
                <w:sz w:val="16"/>
              </w:rPr>
              <w:t>24 / 0</w:t>
            </w:r>
          </w:p>
        </w:tc>
        <w:tc>
          <w:tcPr>
            <w:tcW w:type="dxa" w:w="1728"/>
          </w:tcPr>
          <w:p>
            <w:pPr>
              <w:keepNext/>
              <w:jc w:val="center"/>
            </w:pPr>
            <w:r/>
            <w:r>
              <w:rPr>
                <w:rFonts w:ascii="Times New Roman" w:hAnsi="Times New Roman"/>
                <w:b w:val="0"/>
                <w:sz w:val="16"/>
              </w:rPr>
              <w:t>54 / 36</w:t>
            </w:r>
          </w:p>
        </w:tc>
        <w:tc>
          <w:tcPr>
            <w:tcW w:type="dxa" w:w="1728"/>
          </w:tcPr>
          <w:p>
            <w:pPr>
              <w:keepNext/>
              <w:jc w:val="center"/>
            </w:pPr>
            <w:r/>
            <w:r>
              <w:rPr>
                <w:rFonts w:ascii="Times New Roman" w:hAnsi="Times New Roman"/>
                <w:b w:val="0"/>
                <w:sz w:val="16"/>
              </w:rPr>
              <w:t>100 / 94</w:t>
            </w:r>
          </w:p>
        </w:tc>
        <w:tc>
          <w:tcPr>
            <w:tcW w:type="dxa" w:w="1728"/>
          </w:tcPr>
          <w:p>
            <w:pPr>
              <w:keepNext/>
              <w:jc w:val="center"/>
            </w:pPr>
            <w:r/>
            <w:r>
              <w:rPr>
                <w:rFonts w:ascii="Times New Roman" w:hAnsi="Times New Roman"/>
                <w:b w:val="0"/>
                <w:sz w:val="16"/>
              </w:rPr>
              <w:t>100 / 96</w:t>
            </w:r>
          </w:p>
        </w:tc>
      </w:tr>
      <w:tr>
        <w:trPr>
          <w:cantSplit/>
        </w:trPr>
        <w:tc>
          <w:tcPr>
            <w:tcW w:type="dxa" w:w="1728"/>
            <w:tcBorders>
              <w:bottom w:val="single" w:sz="12" w:color="000000"/>
            </w:tcBorders>
          </w:tcPr>
          <w:p>
            <w:pPr>
              <w:jc w:val="left"/>
            </w:pPr>
            <w:r/>
            <w:r>
              <w:rPr>
                <w:rFonts w:ascii="Times New Roman" w:hAnsi="Times New Roman"/>
                <w:b w:val="0"/>
                <w:sz w:val="16"/>
              </w:rPr>
              <w:t>8</w:t>
            </w:r>
          </w:p>
        </w:tc>
        <w:tc>
          <w:tcPr>
            <w:tcW w:type="dxa" w:w="1728"/>
            <w:tcBorders>
              <w:bottom w:val="single" w:sz="12" w:color="000000"/>
            </w:tcBorders>
          </w:tcPr>
          <w:p>
            <w:pPr>
              <w:jc w:val="center"/>
            </w:pPr>
            <w:r/>
            <w:r>
              <w:rPr>
                <w:rFonts w:ascii="Times New Roman" w:hAnsi="Times New Roman"/>
                <w:b w:val="0"/>
                <w:sz w:val="16"/>
              </w:rPr>
              <w:t>32 / 2</w:t>
            </w:r>
          </w:p>
        </w:tc>
        <w:tc>
          <w:tcPr>
            <w:tcW w:type="dxa" w:w="1728"/>
            <w:tcBorders>
              <w:bottom w:val="single" w:sz="12" w:color="000000"/>
            </w:tcBorders>
          </w:tcPr>
          <w:p>
            <w:pPr>
              <w:jc w:val="center"/>
            </w:pPr>
            <w:r/>
            <w:r>
              <w:rPr>
                <w:rFonts w:ascii="Times New Roman" w:hAnsi="Times New Roman"/>
                <w:b w:val="0"/>
                <w:sz w:val="16"/>
              </w:rPr>
              <w:t>38 / 4</w:t>
            </w:r>
          </w:p>
        </w:tc>
        <w:tc>
          <w:tcPr>
            <w:tcW w:type="dxa" w:w="1728"/>
            <w:tcBorders>
              <w:bottom w:val="single" w:sz="12" w:color="000000"/>
            </w:tcBorders>
          </w:tcPr>
          <w:p>
            <w:pPr>
              <w:jc w:val="center"/>
            </w:pPr>
            <w:r/>
            <w:r>
              <w:rPr>
                <w:rFonts w:ascii="Times New Roman" w:hAnsi="Times New Roman"/>
                <w:b w:val="0"/>
                <w:sz w:val="16"/>
              </w:rPr>
              <w:t>56 / 38</w:t>
            </w:r>
          </w:p>
        </w:tc>
        <w:tc>
          <w:tcPr>
            <w:tcW w:type="dxa" w:w="1728"/>
            <w:tcBorders>
              <w:bottom w:val="single" w:sz="12" w:color="000000"/>
            </w:tcBorders>
          </w:tcPr>
          <w:p>
            <w:pPr>
              <w:jc w:val="center"/>
            </w:pPr>
            <w:r/>
            <w:r>
              <w:rPr>
                <w:rFonts w:ascii="Times New Roman" w:hAnsi="Times New Roman"/>
                <w:b w:val="0"/>
                <w:sz w:val="16"/>
              </w:rPr>
              <w:t>100 / 96</w:t>
            </w:r>
          </w:p>
        </w:tc>
        <w:tc>
          <w:tcPr>
            <w:tcW w:type="dxa" w:w="1728"/>
            <w:tcBorders>
              <w:bottom w:val="single" w:sz="12" w:color="000000"/>
            </w:tcBorders>
          </w:tcPr>
          <w:p>
            <w:pPr>
              <w:jc w:val="center"/>
            </w:pPr>
            <w:r/>
            <w:r>
              <w:rPr>
                <w:rFonts w:ascii="Times New Roman" w:hAnsi="Times New Roman"/>
                <w:b w:val="0"/>
                <w:sz w:val="16"/>
              </w:rPr>
              <w:t>100 / 98</w:t>
            </w:r>
          </w:p>
        </w:tc>
      </w:tr>
    </w:tbl>
    <w:p>
      <w:pPr>
        <w:spacing w:after="40"/>
      </w:pPr>
    </w:p>
    <w:p>
      <w:pPr>
        <w:pStyle w:val="Heading2"/>
      </w:pPr>
      <w:r>
        <w:t>B. Case studies in the wild</w:t>
      </w:r>
    </w:p>
    <w:p>
      <w:pPr>
        <w:spacing w:after="0"/>
        <w:ind w:firstLine="204"/>
        <w:jc w:val="both"/>
      </w:pPr>
      <w:r>
        <w:t>Screening all 3,000 corpus pieces against each other (exact and interval-sketch dual index) surfaces 1,658,993 candidate duplicate pairs—Lakh is, in large part, many transcriptions of the same commercial repertoire. Four publisher-style cases (Table XII) show the evidence a human adjudicator receives: an identical transcription pair aligns note-for-note (3,200/3,200); a +3-semitone transposed cover is fully recovered with the transposition correctly estimated at −3; a piece with a 30-second span of another work spliced into its middle is localized to the exact segment (Fig. 13); and a style-similar negative is correctly rejected.</w:t>
      </w:r>
    </w:p>
    <w:p>
      <w:pPr>
        <w:keepNext/>
        <w:jc w:val="center"/>
      </w:pPr>
      <w:drawing xmlns:a="http://schemas.openxmlformats.org/drawingml/2006/main" xmlns:pic="http://schemas.openxmlformats.org/drawingml/2006/picture">
        <wp:inline distT="0" distB="0" distL="0" distR="0">
          <wp:extent cx="2880000" cy="1752212"/>
          <wp:effectExtent l="0" t="0" r="0" b="0"/>
          <wp:docPr id="113" name="fig7_case.emf"/>
          <wp:cNvGraphicFramePr/>
          <a:graphic>
            <a:graphicData uri="http://schemas.openxmlformats.org/drawingml/2006/picture">
              <pic:pic>
                <pic:nvPicPr>
                  <pic:cNvPr id="0" name="fig7_case.emf"/>
                  <pic:cNvPicPr/>
                </pic:nvPicPr>
                <pic:blipFill>
                  <a:blip r:embed="rId45"/>
                  <a:stretch>
                    <a:fillRect/>
                  </a:stretch>
                </pic:blipFill>
                <pic:spPr>
                  <a:xfrm>
                    <a:off x="0" y="0"/>
                    <a:ext cx="2880000" cy="1752212"/>
                  </a:xfrm>
                  <a:prstGeom prst="rect">
                    <a:avLst/>
                  </a:prstGeom>
                </pic:spPr>
              </pic:pic>
            </a:graphicData>
          </a:graphic>
        </wp:inline>
      </w:drawing>
    </w:p>
    <w:p>
      <w:pPr>
        <w:pStyle w:val="FigureCaption"/>
      </w:pPr>
      <w:r>
        <w:rPr>
          <w:sz w:val="19"/>
        </w:rPr>
        <w:t>Fig. 13. Alignment map for the spliced-span case: query note index versus corpus piece note index; the diagonal band is the copied 30 s segment.</w:t>
      </w:r>
    </w:p>
    <w:p>
      <w:pPr>
        <w:pStyle w:val="TableTitle"/>
        <w:keepNext/>
      </w:pPr>
      <w:r>
        <w:t>TABLE XII.</w:t>
      </w:r>
    </w:p>
    <w:p>
      <w:pPr>
        <w:pStyle w:val="TableTitle"/>
        <w:keepNext/>
      </w:pPr>
      <w:r>
        <w:t>Case-study evidence summary (E6.3).</w:t>
      </w:r>
    </w:p>
    <w:tbl>
      <w:tblPr>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tcBorders>
              <w:top w:val="single" w:sz="12" w:color="000000"/>
              <w:bottom w:val="single" w:sz="6" w:color="000000"/>
            </w:tcBorders>
          </w:tcPr>
          <w:p>
            <w:pPr>
              <w:keepNext/>
              <w:jc w:val="left"/>
            </w:pPr>
            <w:r/>
            <w:r>
              <w:rPr>
                <w:rFonts w:ascii="Times New Roman" w:hAnsi="Times New Roman"/>
                <w:b/>
                <w:sz w:val="16"/>
              </w:rPr>
              <w:t>Case</w:t>
            </w:r>
          </w:p>
        </w:tc>
        <w:tc>
          <w:tcPr>
            <w:tcW w:type="dxa" w:w="2592"/>
            <w:tcBorders>
              <w:top w:val="single" w:sz="12" w:color="000000"/>
              <w:bottom w:val="single" w:sz="6" w:color="000000"/>
            </w:tcBorders>
          </w:tcPr>
          <w:p>
            <w:pPr>
              <w:keepNext/>
              <w:jc w:val="center"/>
            </w:pPr>
            <w:r/>
            <w:r>
              <w:rPr>
                <w:rFonts w:ascii="Times New Roman" w:hAnsi="Times New Roman"/>
                <w:b/>
                <w:sz w:val="16"/>
              </w:rPr>
              <w:t>Aligned</w:t>
            </w:r>
          </w:p>
        </w:tc>
        <w:tc>
          <w:tcPr>
            <w:tcW w:type="dxa" w:w="2592"/>
            <w:tcBorders>
              <w:top w:val="single" w:sz="12" w:color="000000"/>
              <w:bottom w:val="single" w:sz="6" w:color="000000"/>
            </w:tcBorders>
          </w:tcPr>
          <w:p>
            <w:pPr>
              <w:keepNext/>
              <w:jc w:val="center"/>
            </w:pPr>
            <w:r/>
            <w:r>
              <w:rPr>
                <w:rFonts w:ascii="Times New Roman" w:hAnsi="Times New Roman"/>
                <w:b/>
                <w:sz w:val="16"/>
              </w:rPr>
              <w:t>Longest segment</w:t>
            </w:r>
          </w:p>
        </w:tc>
        <w:tc>
          <w:tcPr>
            <w:tcW w:type="dxa" w:w="2592"/>
            <w:tcBorders>
              <w:top w:val="single" w:sz="12" w:color="000000"/>
              <w:bottom w:val="single" w:sz="6" w:color="000000"/>
            </w:tcBorders>
          </w:tcPr>
          <w:p>
            <w:pPr>
              <w:keepNext/>
              <w:jc w:val="center"/>
            </w:pPr>
            <w:r/>
            <w:r>
              <w:rPr>
                <w:rFonts w:ascii="Times New Roman" w:hAnsi="Times New Roman"/>
                <w:b/>
                <w:sz w:val="16"/>
              </w:rPr>
              <w:t>Verdict</w:t>
            </w:r>
          </w:p>
        </w:tc>
      </w:tr>
      <w:tr>
        <w:trPr>
          <w:cantSplit/>
        </w:trPr>
        <w:tc>
          <w:tcPr>
            <w:tcW w:type="dxa" w:w="2592"/>
          </w:tcPr>
          <w:p>
            <w:pPr>
              <w:keepNext/>
              <w:jc w:val="left"/>
            </w:pPr>
            <w:r/>
            <w:r>
              <w:rPr>
                <w:rFonts w:ascii="Times New Roman" w:hAnsi="Times New Roman"/>
                <w:b w:val="0"/>
                <w:sz w:val="16"/>
              </w:rPr>
              <w:t>Identical transcription pair</w:t>
            </w:r>
          </w:p>
        </w:tc>
        <w:tc>
          <w:tcPr>
            <w:tcW w:type="dxa" w:w="2592"/>
          </w:tcPr>
          <w:p>
            <w:pPr>
              <w:keepNext/>
              <w:jc w:val="center"/>
            </w:pPr>
            <w:r/>
            <w:r>
              <w:rPr>
                <w:rFonts w:ascii="Times New Roman" w:hAnsi="Times New Roman"/>
                <w:b w:val="0"/>
                <w:sz w:val="16"/>
              </w:rPr>
              <w:t>3,200 / 3,200 notes</w:t>
            </w:r>
          </w:p>
        </w:tc>
        <w:tc>
          <w:tcPr>
            <w:tcW w:type="dxa" w:w="2592"/>
          </w:tcPr>
          <w:p>
            <w:pPr>
              <w:keepNext/>
              <w:jc w:val="center"/>
            </w:pPr>
            <w:r/>
            <w:r>
              <w:rPr>
                <w:rFonts w:ascii="Times New Roman" w:hAnsi="Times New Roman"/>
                <w:b w:val="0"/>
                <w:sz w:val="16"/>
              </w:rPr>
              <w:t>3,200</w:t>
            </w:r>
          </w:p>
        </w:tc>
        <w:tc>
          <w:tcPr>
            <w:tcW w:type="dxa" w:w="2592"/>
          </w:tcPr>
          <w:p>
            <w:pPr>
              <w:keepNext/>
              <w:jc w:val="center"/>
            </w:pPr>
            <w:r/>
            <w:r>
              <w:rPr>
                <w:rFonts w:ascii="Times New Roman" w:hAnsi="Times New Roman"/>
                <w:b w:val="0"/>
                <w:sz w:val="16"/>
              </w:rPr>
              <w:t>confirmed copy</w:t>
            </w:r>
          </w:p>
        </w:tc>
      </w:tr>
      <w:tr>
        <w:trPr>
          <w:cantSplit/>
        </w:trPr>
        <w:tc>
          <w:tcPr>
            <w:tcW w:type="dxa" w:w="2592"/>
          </w:tcPr>
          <w:p>
            <w:pPr>
              <w:keepNext/>
              <w:jc w:val="left"/>
            </w:pPr>
            <w:r/>
            <w:r>
              <w:rPr>
                <w:rFonts w:ascii="Times New Roman" w:hAnsi="Times New Roman"/>
                <w:b w:val="0"/>
                <w:sz w:val="16"/>
              </w:rPr>
              <w:t>Transposed cover (+3 st, synth.)</w:t>
            </w:r>
          </w:p>
        </w:tc>
        <w:tc>
          <w:tcPr>
            <w:tcW w:type="dxa" w:w="2592"/>
          </w:tcPr>
          <w:p>
            <w:pPr>
              <w:keepNext/>
              <w:jc w:val="center"/>
            </w:pPr>
            <w:r/>
            <w:r>
              <w:rPr>
                <w:rFonts w:ascii="Times New Roman" w:hAnsi="Times New Roman"/>
                <w:b w:val="0"/>
                <w:sz w:val="16"/>
              </w:rPr>
              <w:t>3,200 / 3,200</w:t>
            </w:r>
          </w:p>
        </w:tc>
        <w:tc>
          <w:tcPr>
            <w:tcW w:type="dxa" w:w="2592"/>
          </w:tcPr>
          <w:p>
            <w:pPr>
              <w:keepNext/>
              <w:jc w:val="center"/>
            </w:pPr>
            <w:r/>
            <w:r>
              <w:rPr>
                <w:rFonts w:ascii="Times New Roman" w:hAnsi="Times New Roman"/>
                <w:b w:val="0"/>
                <w:sz w:val="16"/>
              </w:rPr>
              <w:t>3,200 (Δ=−3 st)</w:t>
            </w:r>
          </w:p>
        </w:tc>
        <w:tc>
          <w:tcPr>
            <w:tcW w:type="dxa" w:w="2592"/>
          </w:tcPr>
          <w:p>
            <w:pPr>
              <w:keepNext/>
              <w:jc w:val="center"/>
            </w:pPr>
            <w:r/>
            <w:r>
              <w:rPr>
                <w:rFonts w:ascii="Times New Roman" w:hAnsi="Times New Roman"/>
                <w:b w:val="0"/>
                <w:sz w:val="16"/>
              </w:rPr>
              <w:t>confirmed, transposition estimated correctly</w:t>
            </w:r>
          </w:p>
        </w:tc>
      </w:tr>
      <w:tr>
        <w:trPr>
          <w:cantSplit/>
        </w:trPr>
        <w:tc>
          <w:tcPr>
            <w:tcW w:type="dxa" w:w="2592"/>
          </w:tcPr>
          <w:p>
            <w:pPr>
              <w:keepNext/>
              <w:jc w:val="left"/>
            </w:pPr>
            <w:r/>
            <w:r>
              <w:rPr>
                <w:rFonts w:ascii="Times New Roman" w:hAnsi="Times New Roman"/>
                <w:b w:val="0"/>
                <w:sz w:val="16"/>
              </w:rPr>
              <w:t>Spliced 30 s span (synth.)</w:t>
            </w:r>
          </w:p>
        </w:tc>
        <w:tc>
          <w:tcPr>
            <w:tcW w:type="dxa" w:w="2592"/>
          </w:tcPr>
          <w:p>
            <w:pPr>
              <w:keepNext/>
              <w:jc w:val="center"/>
            </w:pPr>
            <w:r/>
            <w:r>
              <w:rPr>
                <w:rFonts w:ascii="Times New Roman" w:hAnsi="Times New Roman"/>
                <w:b w:val="0"/>
                <w:sz w:val="16"/>
              </w:rPr>
              <w:t>1,680</w:t>
            </w:r>
          </w:p>
        </w:tc>
        <w:tc>
          <w:tcPr>
            <w:tcW w:type="dxa" w:w="2592"/>
          </w:tcPr>
          <w:p>
            <w:pPr>
              <w:keepNext/>
              <w:jc w:val="center"/>
            </w:pPr>
            <w:r/>
            <w:r>
              <w:rPr>
                <w:rFonts w:ascii="Times New Roman" w:hAnsi="Times New Roman"/>
                <w:b w:val="0"/>
                <w:sz w:val="16"/>
              </w:rPr>
              <w:t>1,593</w:t>
            </w:r>
          </w:p>
        </w:tc>
        <w:tc>
          <w:tcPr>
            <w:tcW w:type="dxa" w:w="2592"/>
          </w:tcPr>
          <w:p>
            <w:pPr>
              <w:keepNext/>
              <w:jc w:val="center"/>
            </w:pPr>
            <w:r/>
            <w:r>
              <w:rPr>
                <w:rFonts w:ascii="Times New Roman" w:hAnsi="Times New Roman"/>
                <w:b w:val="0"/>
                <w:sz w:val="16"/>
              </w:rPr>
              <w:t>confirmed partial reuse</w:t>
            </w:r>
          </w:p>
        </w:tc>
      </w:tr>
      <w:tr>
        <w:trPr>
          <w:cantSplit/>
        </w:trPr>
        <w:tc>
          <w:tcPr>
            <w:tcW w:type="dxa" w:w="2592"/>
            <w:tcBorders>
              <w:bottom w:val="single" w:sz="12" w:color="000000"/>
            </w:tcBorders>
          </w:tcPr>
          <w:p>
            <w:pPr>
              <w:jc w:val="left"/>
            </w:pPr>
            <w:r/>
            <w:r>
              <w:rPr>
                <w:rFonts w:ascii="Times New Roman" w:hAnsi="Times New Roman"/>
                <w:b w:val="0"/>
                <w:sz w:val="16"/>
              </w:rPr>
              <w:t>Style-similar negative</w:t>
            </w:r>
          </w:p>
        </w:tc>
        <w:tc>
          <w:tcPr>
            <w:tcW w:type="dxa" w:w="2592"/>
            <w:tcBorders>
              <w:bottom w:val="single" w:sz="12" w:color="000000"/>
            </w:tcBorders>
          </w:tcPr>
          <w:p>
            <w:pPr>
              <w:jc w:val="center"/>
            </w:pPr>
            <w:r/>
            <w:r>
              <w:rPr>
                <w:rFonts w:ascii="Times New Roman" w:hAnsi="Times New Roman"/>
                <w:b w:val="0"/>
                <w:sz w:val="16"/>
              </w:rPr>
              <w:t>31</w:t>
            </w:r>
          </w:p>
        </w:tc>
        <w:tc>
          <w:tcPr>
            <w:tcW w:type="dxa" w:w="2592"/>
            <w:tcBorders>
              <w:bottom w:val="single" w:sz="12" w:color="000000"/>
            </w:tcBorders>
          </w:tcPr>
          <w:p>
            <w:pPr>
              <w:jc w:val="center"/>
            </w:pPr>
            <w:r/>
            <w:r>
              <w:rPr>
                <w:rFonts w:ascii="Times New Roman" w:hAnsi="Times New Roman"/>
                <w:b w:val="0"/>
                <w:sz w:val="16"/>
              </w:rPr>
              <w:t>1</w:t>
            </w:r>
          </w:p>
        </w:tc>
        <w:tc>
          <w:tcPr>
            <w:tcW w:type="dxa" w:w="2592"/>
            <w:tcBorders>
              <w:bottom w:val="single" w:sz="12" w:color="000000"/>
            </w:tcBorders>
          </w:tcPr>
          <w:p>
            <w:pPr>
              <w:jc w:val="center"/>
            </w:pPr>
            <w:r/>
            <w:r>
              <w:rPr>
                <w:rFonts w:ascii="Times New Roman" w:hAnsi="Times New Roman"/>
                <w:b w:val="0"/>
                <w:sz w:val="16"/>
              </w:rPr>
              <w:t>rejected</w:t>
            </w:r>
          </w:p>
        </w:tc>
      </w:tr>
    </w:tbl>
    <w:p>
      <w:pPr>
        <w:spacing w:after="40"/>
      </w:pPr>
    </w:p>
    <w:p>
      <w:pPr>
        <w:pStyle w:val="Heading2"/>
      </w:pPr>
      <w:r>
        <w:t>C. Full-corpus duplicate census</w:t>
      </w:r>
    </w:p>
    <w:p>
      <w:pPr>
        <w:spacing w:after="0"/>
        <w:ind w:firstLine="204"/>
        <w:jc w:val="both"/>
      </w:pPr>
      <w:r>
        <w:t>Scaling the case-study protocol to the full corpus (174,300 pieces) turns the candidate flood from anecdote into measurement.  Every eighth piece serves as a query against the whole corpus (20,801 non-trivial queries per channel; all counts extrapolate 8×), under the same dual exact/interval-sketch configuration (min-evidence 40, k=0).  Fig. 14(a) shows the candidate population by relative-score band.  At the absolute ≥40-evidence floor the two channels report 10.0B (exact) and 16.6B (sketch) candidate pairs; at the case-study operating point (relative ≥0.35) the total is 5.63B.  A self-screen of the whole corpus at the observed per-query cost (median 27 ms exact, 56 ms sketch, p95 74/122 ms; one core) completes in roughly four hours.</w:t>
      </w:r>
    </w:p>
    <w:p>
      <w:pPr>
        <w:spacing w:after="0"/>
        <w:ind w:firstLine="204"/>
        <w:jc w:val="both"/>
      </w:pPr>
      <w:r>
        <w:t>How much of this flood is real?  We stored the audit-grade subset—exact pairs with relative score ≥0.70 (284,035 after cross-channel dedup) and sketch pairs with relative score ≥0.90 (525,756)—and adjudicated a stratified random sample (40 pairs per stratum) with the Layer-2 chain criterion, run in both directions with transposition fallback (Table XIII, Fig. 14(b)).  The exact channel is a high-precision instrument at the top of its range: 90% of exact pairs with relative score ≥0.90 are confirmed copies (Wilson 95% CI [77, 96]%), and even its 0.70–0.90 band confirms 48%.  The interval-sketch channel stays recall-oriented: only 40% of its ≥0.90 candidates confirm, so sketch hits should be treated as leads for confirmation, not verdicts—exactly the division of labor the two-layer architecture encodes.</w:t>
      </w:r>
    </w:p>
    <w:p>
      <w:pPr>
        <w:spacing w:after="0"/>
        <w:ind w:firstLine="204"/>
        <w:jc w:val="both"/>
      </w:pPr>
      <w:r>
        <w:t>Weighting each stratum by its precision, Lakh-full contains on the order of 107k verbatim-level duplicate pairs (exact ≥0.90), 1.0M further pairs in the exact 0.70–0.90 band, and 1.7M transposition/arrangement-level pairs reachable through the sketch channel—each a case a publisher would have to adjudicate, and each receiving note-level alignment evidence from the confirmation layer.  These estimates inherit the adjudicator's precision and recall (Section V-C); they are survey estimates from a 1/8 sample, not enumerations.</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4752000" cy="1856480"/>
          <wp:effectExtent l="0" t="0" r="0" b="0"/>
          <wp:docPr id="114" name="fig8_census.emf"/>
          <wp:cNvGraphicFramePr/>
          <a:graphic>
            <a:graphicData uri="http://schemas.openxmlformats.org/drawingml/2006/picture">
              <pic:pic>
                <pic:nvPicPr>
                  <pic:cNvPr id="0" name="fig8_census.emf"/>
                  <pic:cNvPicPr/>
                </pic:nvPicPr>
                <pic:blipFill>
                  <a:blip r:embed="rId46"/>
                  <a:stretch>
                    <a:fillRect/>
                  </a:stretch>
                </pic:blipFill>
                <pic:spPr>
                  <a:xfrm>
                    <a:off x="0" y="0"/>
                    <a:ext cx="4752000" cy="1856480"/>
                  </a:xfrm>
                  <a:prstGeom prst="rect">
                    <a:avLst/>
                  </a:prstGeom>
                </pic:spPr>
              </pic:pic>
            </a:graphicData>
          </a:graphic>
        </wp:inline>
      </w:drawing>
    </w:p>
    <w:p>
      <w:pPr>
        <w:pStyle w:val="FigureCaption"/>
      </w:pPr>
      <w:r>
        <w:rPr>
          <w:sz w:val="19"/>
        </w:rPr>
        <w:t>Fig. 14. Full-corpus census (174,300 pieces, stride-8 survey extrapolated ×8).  (a) Candidate-pair population by relative-score band and channel (log scale).  (b) Confirmed-copy precision of the stored audit-grade strata, Wilson 95% CI; n=40 per stratum.</w:t>
      </w:r>
    </w:p>
    <w:p>
      <w:pPr>
        <w:sectPr w:rsidR="007E713A" w:rsidSect="00002FAF">
          <w:headerReference w:type="default" r:id="rId9"/>
          <w:type w:val="continuous"/>
          <w:pgSz w:w="12240" w:h="15840"/>
          <w:pgMar w:top="1008" w:right="936" w:bottom="1008" w:left="936" w:header="432" w:footer="432" w:gutter="0"/>
          <w:cols w:space="288"/>
        </w:sectPr>
      </w:pPr>
    </w:p>
    <w:p>
      <w:pPr>
        <w:pStyle w:val="TableTitle"/>
        <w:keepNext/>
      </w:pPr>
      <w:r>
        <w:t>TABLE XIII.</w:t>
      </w:r>
    </w:p>
    <w:p>
      <w:pPr>
        <w:pStyle w:val="TableTitle"/>
        <w:keepNext/>
      </w:pPr>
      <w:r>
        <w:t>Precision audit of the full-corpus screen: stratified sample of 40 pairs per stratum, adjudicated by the Layer-2 chain criterion (both directions, transposition-aware); confirmed-copy counts extrapolate the stride-8 survey.</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tcBorders>
              <w:top w:val="single" w:sz="12" w:color="000000"/>
              <w:bottom w:val="single" w:sz="6" w:color="000000"/>
            </w:tcBorders>
          </w:tcPr>
          <w:p>
            <w:pPr>
              <w:keepNext/>
              <w:jc w:val="left"/>
            </w:pPr>
            <w:r/>
            <w:r>
              <w:rPr>
                <w:rFonts w:ascii="Times New Roman" w:hAnsi="Times New Roman"/>
                <w:b/>
                <w:sz w:val="16"/>
              </w:rPr>
              <w:t>Channel</w:t>
            </w:r>
          </w:p>
        </w:tc>
        <w:tc>
          <w:tcPr>
            <w:tcW w:type="dxa" w:w="2074"/>
            <w:tcBorders>
              <w:top w:val="single" w:sz="12" w:color="000000"/>
              <w:bottom w:val="single" w:sz="6" w:color="000000"/>
            </w:tcBorders>
          </w:tcPr>
          <w:p>
            <w:pPr>
              <w:keepNext/>
              <w:jc w:val="center"/>
            </w:pPr>
            <w:r/>
            <w:r>
              <w:rPr>
                <w:rFonts w:ascii="Times New Roman" w:hAnsi="Times New Roman"/>
                <w:b/>
                <w:sz w:val="16"/>
              </w:rPr>
              <w:t>Relative score</w:t>
            </w:r>
          </w:p>
        </w:tc>
        <w:tc>
          <w:tcPr>
            <w:tcW w:type="dxa" w:w="2074"/>
            <w:tcBorders>
              <w:top w:val="single" w:sz="12" w:color="000000"/>
              <w:bottom w:val="single" w:sz="6" w:color="000000"/>
            </w:tcBorders>
          </w:tcPr>
          <w:p>
            <w:pPr>
              <w:keepNext/>
              <w:jc w:val="center"/>
            </w:pPr>
            <w:r/>
            <w:r>
              <w:rPr>
                <w:rFonts w:ascii="Times New Roman" w:hAnsi="Times New Roman"/>
                <w:b/>
                <w:sz w:val="16"/>
              </w:rPr>
              <w:t>Stored pairs</w:t>
            </w:r>
          </w:p>
        </w:tc>
        <w:tc>
          <w:tcPr>
            <w:tcW w:type="dxa" w:w="2074"/>
            <w:tcBorders>
              <w:top w:val="single" w:sz="12" w:color="000000"/>
              <w:bottom w:val="single" w:sz="6" w:color="000000"/>
            </w:tcBorders>
          </w:tcPr>
          <w:p>
            <w:pPr>
              <w:keepNext/>
              <w:jc w:val="center"/>
            </w:pPr>
            <w:r/>
            <w:r>
              <w:rPr>
                <w:rFonts w:ascii="Times New Roman" w:hAnsi="Times New Roman"/>
                <w:b/>
                <w:sz w:val="16"/>
              </w:rPr>
              <w:t>Precision % [95% CI]</w:t>
            </w:r>
          </w:p>
        </w:tc>
        <w:tc>
          <w:tcPr>
            <w:tcW w:type="dxa" w:w="2074"/>
            <w:tcBorders>
              <w:top w:val="single" w:sz="12" w:color="000000"/>
              <w:bottom w:val="single" w:sz="6" w:color="000000"/>
            </w:tcBorders>
          </w:tcPr>
          <w:p>
            <w:pPr>
              <w:keepNext/>
              <w:jc w:val="center"/>
            </w:pPr>
            <w:r/>
            <w:r>
              <w:rPr>
                <w:rFonts w:ascii="Times New Roman" w:hAnsi="Times New Roman"/>
                <w:b/>
                <w:sz w:val="16"/>
              </w:rPr>
              <w:t>Est. confirmed (corpus)</w:t>
            </w:r>
          </w:p>
        </w:tc>
      </w:tr>
      <w:tr>
        <w:trPr>
          <w:cantSplit/>
        </w:trPr>
        <w:tc>
          <w:tcPr>
            <w:tcW w:type="dxa" w:w="2074"/>
          </w:tcPr>
          <w:p>
            <w:pPr>
              <w:keepNext/>
              <w:jc w:val="left"/>
            </w:pPr>
            <w:r/>
            <w:r>
              <w:rPr>
                <w:rFonts w:ascii="Times New Roman" w:hAnsi="Times New Roman"/>
                <w:b w:val="0"/>
                <w:sz w:val="16"/>
              </w:rPr>
              <w:t>exact</w:t>
            </w:r>
          </w:p>
        </w:tc>
        <w:tc>
          <w:tcPr>
            <w:tcW w:type="dxa" w:w="2074"/>
          </w:tcPr>
          <w:p>
            <w:pPr>
              <w:keepNext/>
              <w:jc w:val="center"/>
            </w:pPr>
            <w:r/>
            <w:r>
              <w:rPr>
                <w:rFonts w:ascii="Times New Roman" w:hAnsi="Times New Roman"/>
                <w:b w:val="0"/>
                <w:sz w:val="16"/>
              </w:rPr>
              <w:t>0.70–0.90</w:t>
            </w:r>
          </w:p>
        </w:tc>
        <w:tc>
          <w:tcPr>
            <w:tcW w:type="dxa" w:w="2074"/>
          </w:tcPr>
          <w:p>
            <w:pPr>
              <w:keepNext/>
              <w:jc w:val="center"/>
            </w:pPr>
            <w:r/>
            <w:r>
              <w:rPr>
                <w:rFonts w:ascii="Times New Roman" w:hAnsi="Times New Roman"/>
                <w:b w:val="0"/>
                <w:sz w:val="16"/>
              </w:rPr>
              <w:t>269,109</w:t>
            </w:r>
          </w:p>
        </w:tc>
        <w:tc>
          <w:tcPr>
            <w:tcW w:type="dxa" w:w="2074"/>
          </w:tcPr>
          <w:p>
            <w:pPr>
              <w:keepNext/>
              <w:jc w:val="center"/>
            </w:pPr>
            <w:r/>
            <w:r>
              <w:rPr>
                <w:rFonts w:ascii="Times New Roman" w:hAnsi="Times New Roman"/>
                <w:b w:val="0"/>
                <w:sz w:val="16"/>
              </w:rPr>
              <w:t>47.5 [32.9, 62.5]</w:t>
            </w:r>
          </w:p>
        </w:tc>
        <w:tc>
          <w:tcPr>
            <w:tcW w:type="dxa" w:w="2074"/>
          </w:tcPr>
          <w:p>
            <w:pPr>
              <w:keepNext/>
              <w:jc w:val="center"/>
            </w:pPr>
            <w:r/>
            <w:r>
              <w:rPr>
                <w:rFonts w:ascii="Times New Roman" w:hAnsi="Times New Roman"/>
                <w:b w:val="0"/>
                <w:sz w:val="16"/>
              </w:rPr>
              <w:t>1.02M</w:t>
            </w:r>
          </w:p>
        </w:tc>
      </w:tr>
      <w:tr>
        <w:trPr>
          <w:cantSplit/>
        </w:trPr>
        <w:tc>
          <w:tcPr>
            <w:tcW w:type="dxa" w:w="2074"/>
          </w:tcPr>
          <w:p>
            <w:pPr>
              <w:keepNext/>
              <w:jc w:val="left"/>
            </w:pPr>
            <w:r/>
            <w:r>
              <w:rPr>
                <w:rFonts w:ascii="Times New Roman" w:hAnsi="Times New Roman"/>
                <w:b w:val="0"/>
                <w:sz w:val="16"/>
              </w:rPr>
              <w:t>exact</w:t>
            </w:r>
          </w:p>
        </w:tc>
        <w:tc>
          <w:tcPr>
            <w:tcW w:type="dxa" w:w="2074"/>
          </w:tcPr>
          <w:p>
            <w:pPr>
              <w:keepNext/>
              <w:jc w:val="center"/>
            </w:pPr>
            <w:r/>
            <w:r>
              <w:rPr>
                <w:rFonts w:ascii="Times New Roman" w:hAnsi="Times New Roman"/>
                <w:b w:val="0"/>
                <w:sz w:val="16"/>
              </w:rPr>
              <w:t>≥0.90</w:t>
            </w:r>
          </w:p>
        </w:tc>
        <w:tc>
          <w:tcPr>
            <w:tcW w:type="dxa" w:w="2074"/>
          </w:tcPr>
          <w:p>
            <w:pPr>
              <w:keepNext/>
              <w:jc w:val="center"/>
            </w:pPr>
            <w:r/>
            <w:r>
              <w:rPr>
                <w:rFonts w:ascii="Times New Roman" w:hAnsi="Times New Roman"/>
                <w:b w:val="0"/>
                <w:sz w:val="16"/>
              </w:rPr>
              <w:t>14,926</w:t>
            </w:r>
          </w:p>
        </w:tc>
        <w:tc>
          <w:tcPr>
            <w:tcW w:type="dxa" w:w="2074"/>
          </w:tcPr>
          <w:p>
            <w:pPr>
              <w:keepNext/>
              <w:jc w:val="center"/>
            </w:pPr>
            <w:r/>
            <w:r>
              <w:rPr>
                <w:rFonts w:ascii="Times New Roman" w:hAnsi="Times New Roman"/>
                <w:b w:val="0"/>
                <w:sz w:val="16"/>
              </w:rPr>
              <w:t>90.0 [76.9, 96.0]</w:t>
            </w:r>
          </w:p>
        </w:tc>
        <w:tc>
          <w:tcPr>
            <w:tcW w:type="dxa" w:w="2074"/>
          </w:tcPr>
          <w:p>
            <w:pPr>
              <w:keepNext/>
              <w:jc w:val="center"/>
            </w:pPr>
            <w:r/>
            <w:r>
              <w:rPr>
                <w:rFonts w:ascii="Times New Roman" w:hAnsi="Times New Roman"/>
                <w:b w:val="0"/>
                <w:sz w:val="16"/>
              </w:rPr>
              <w:t>107k</w:t>
            </w:r>
          </w:p>
        </w:tc>
      </w:tr>
      <w:tr>
        <w:trPr>
          <w:cantSplit/>
        </w:trPr>
        <w:tc>
          <w:tcPr>
            <w:tcW w:type="dxa" w:w="2074"/>
            <w:tcBorders>
              <w:bottom w:val="single" w:sz="12" w:color="000000"/>
            </w:tcBorders>
          </w:tcPr>
          <w:p>
            <w:pPr>
              <w:jc w:val="left"/>
            </w:pPr>
            <w:r/>
            <w:r>
              <w:rPr>
                <w:rFonts w:ascii="Times New Roman" w:hAnsi="Times New Roman"/>
                <w:b w:val="0"/>
                <w:sz w:val="16"/>
              </w:rPr>
              <w:t>sketch</w:t>
            </w:r>
          </w:p>
        </w:tc>
        <w:tc>
          <w:tcPr>
            <w:tcW w:type="dxa" w:w="2074"/>
            <w:tcBorders>
              <w:bottom w:val="single" w:sz="12" w:color="000000"/>
            </w:tcBorders>
          </w:tcPr>
          <w:p>
            <w:pPr>
              <w:jc w:val="center"/>
            </w:pPr>
            <w:r/>
            <w:r>
              <w:rPr>
                <w:rFonts w:ascii="Times New Roman" w:hAnsi="Times New Roman"/>
                <w:b w:val="0"/>
                <w:sz w:val="16"/>
              </w:rPr>
              <w:t>≥0.90</w:t>
            </w:r>
          </w:p>
        </w:tc>
        <w:tc>
          <w:tcPr>
            <w:tcW w:type="dxa" w:w="2074"/>
            <w:tcBorders>
              <w:bottom w:val="single" w:sz="12" w:color="000000"/>
            </w:tcBorders>
          </w:tcPr>
          <w:p>
            <w:pPr>
              <w:jc w:val="center"/>
            </w:pPr>
            <w:r/>
            <w:r>
              <w:rPr>
                <w:rFonts w:ascii="Times New Roman" w:hAnsi="Times New Roman"/>
                <w:b w:val="0"/>
                <w:sz w:val="16"/>
              </w:rPr>
              <w:t>525,756</w:t>
            </w:r>
          </w:p>
        </w:tc>
        <w:tc>
          <w:tcPr>
            <w:tcW w:type="dxa" w:w="2074"/>
            <w:tcBorders>
              <w:bottom w:val="single" w:sz="12" w:color="000000"/>
            </w:tcBorders>
          </w:tcPr>
          <w:p>
            <w:pPr>
              <w:jc w:val="center"/>
            </w:pPr>
            <w:r/>
            <w:r>
              <w:rPr>
                <w:rFonts w:ascii="Times New Roman" w:hAnsi="Times New Roman"/>
                <w:b w:val="0"/>
                <w:sz w:val="16"/>
              </w:rPr>
              <w:t>40.0 [26.3, 55.4]</w:t>
            </w:r>
          </w:p>
        </w:tc>
        <w:tc>
          <w:tcPr>
            <w:tcW w:type="dxa" w:w="2074"/>
            <w:tcBorders>
              <w:bottom w:val="single" w:sz="12" w:color="000000"/>
            </w:tcBorders>
          </w:tcPr>
          <w:p>
            <w:pPr>
              <w:jc w:val="center"/>
            </w:pPr>
            <w:r/>
            <w:r>
              <w:rPr>
                <w:rFonts w:ascii="Times New Roman" w:hAnsi="Times New Roman"/>
                <w:b w:val="0"/>
                <w:sz w:val="16"/>
              </w:rPr>
              <w:t>1.68M</w:t>
            </w:r>
          </w:p>
        </w:tc>
      </w:tr>
    </w:tbl>
    <w:p>
      <w:pPr>
        <w:spacing w:after="40"/>
      </w:pPr>
    </w:p>
    <w:p>
      <w:pPr>
        <w:pStyle w:val="Heading2"/>
      </w:pPr>
      <w:r>
        <w:t>D. Memorization audit with a trained generator</w:t>
      </w:r>
    </w:p>
    <w:p>
      <w:pPr>
        <w:spacing w:after="0"/>
        <w:ind w:firstLine="204"/>
        <w:jc w:val="both"/>
      </w:pPr>
      <w:r>
        <w:t>E6.2 emulates a generative model with an n-gram/copy operator; we now replace the emulator with an actual trained one.  A 934,824-parameter decoder-only transformer (520 epochs on 250 Lakh pieces, production tokenization) reaches train loss 3.5 nats against 7.0 held-out—a 3.5-nat generalization gap, i.e., genuine overfitting.  Per-piece held likelihood separates trained from never-trained pieces almost perfectly (3.5 vs. 6.9 nats mean, AUC = 0.94), and the most-memorized pieces sit at 0.31 nats—the model demonstrably knows them.  Yet open-ended sampling does not regurgitate them: across 25 calibration probes seeded from pieces spanning the full memorization range, position-wise pitch agreement with the true continuation averages 4% (max 12%) and 4-gram overlap peaks at 10% (Fig. 15(b)).  Sampling at temperature 0.8 diverges from memorized content almost immediately.</w:t>
      </w:r>
    </w:p>
    <w:p>
      <w:pPr>
        <w:spacing w:after="0"/>
        <w:ind w:firstLine="204"/>
        <w:jc w:val="both"/>
      </w:pPr>
      <w:r>
        <w:t>The production cascade agrees with this reading (Table XIV): 60 continuations—20 seeded from the most-memorized pieces, 20 from never-trained controls, 20 from random trained pieces—confirm at 40% / 40% / 35% with source attribution near chance in every group, the same style-level confirmation band as the copy-free (lambda = 0) cells of Table XI.  In other words, a real overfit transformer at this scale behaves, from the detector's viewpoint, like the lambda = 0 corner of the emulated spectrum—and unlike lambda = 1, which confirms and attributes at 98–100%.  The conclusion cuts both ways: extractive regurgitation, the family that generation-side audits can exhibit to a copy detector, is captured by the n-gram/copy emulation; but memorization that sampling never surfaces—the 0.3-nat pieces—is invisible to output inspection of any kind, and only likelihood ranking exposes it.  Copy detection and memorization auditing are complementary instruments, not substitutes.</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keepNext/>
        <w:jc w:val="center"/>
      </w:pPr>
      <w:drawing xmlns:a="http://schemas.openxmlformats.org/drawingml/2006/main" xmlns:pic="http://schemas.openxmlformats.org/drawingml/2006/picture">
        <wp:inline distT="0" distB="0" distL="0" distR="0">
          <wp:extent cx="5760000" cy="1597256"/>
          <wp:effectExtent l="0" t="0" r="0" b="0"/>
          <wp:docPr id="115" name="fig_e21_memorization.emf"/>
          <wp:cNvGraphicFramePr/>
          <a:graphic>
            <a:graphicData uri="http://schemas.openxmlformats.org/drawingml/2006/picture">
              <pic:pic>
                <pic:nvPicPr>
                  <pic:cNvPr id="0" name="fig_e21_memorization.emf"/>
                  <pic:cNvPicPr/>
                </pic:nvPicPr>
                <pic:blipFill>
                  <a:blip r:embed="rId47"/>
                  <a:stretch>
                    <a:fillRect/>
                  </a:stretch>
                </pic:blipFill>
                <pic:spPr>
                  <a:xfrm>
                    <a:off x="0" y="0"/>
                    <a:ext cx="5760000" cy="1597256"/>
                  </a:xfrm>
                  <a:prstGeom prst="rect">
                    <a:avLst/>
                  </a:prstGeom>
                </pic:spPr>
              </pic:pic>
            </a:graphicData>
          </a:graphic>
        </wp:inline>
      </w:drawing>
    </w:p>
    <w:p>
      <w:pPr>
        <w:pStyle w:val="FigureCaption"/>
      </w:pPr>
      <w:r>
        <w:rPr>
          <w:sz w:val="19"/>
        </w:rPr>
        <w:t>Fig. 15. Trained-generator memorization audit.  (a) Training and held-out loss over 520 epochs; the gap is the memorization.  (b) Sampling calibration: position-wise pitch agreement of sampled continuations versus per-piece held likelihood (memorization); even the most memorized pieces are not regurgitated.  (c) Cascade confirmation and source attribution for the three sampling groups against the lambda = 0 / lambda = 1 anchors of Table XI.</w:t>
      </w:r>
    </w:p>
    <w:p>
      <w:pPr>
        <w:sectPr w:rsidR="007E713A" w:rsidSect="00002FAF">
          <w:headerReference w:type="default" r:id="rId9"/>
          <w:type w:val="continuous"/>
          <w:pgSz w:w="12240" w:h="15840"/>
          <w:pgMar w:top="1008" w:right="936" w:bottom="1008" w:left="936" w:header="432" w:footer="432" w:gutter="0"/>
          <w:cols w:space="288"/>
        </w:sectPr>
      </w:pPr>
    </w:p>
    <w:p>
      <w:pPr>
        <w:pStyle w:val="TableTitle"/>
        <w:keepNext/>
      </w:pPr>
      <w:r>
        <w:t>TABLE XIV.</w:t>
      </w:r>
    </w:p>
    <w:p>
      <w:pPr>
        <w:pStyle w:val="TableTitle"/>
        <w:keepNext/>
      </w:pPr>
      <w:r>
        <w:t>Trained-generator audit against the E6.2 emulation anchors: the overfit transformer confirms in the lambda = 0 band and attributes no better than chance, while per-piece likelihood (AUC = 0.94) exposes the memorization that sampling conceals.</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rPr>
        <w:tc>
          <w:tcPr>
            <w:tcW w:type="dxa" w:w="1728"/>
            <w:tcBorders>
              <w:top w:val="single" w:sz="12" w:color="000000"/>
              <w:bottom w:val="single" w:sz="6" w:color="000000"/>
            </w:tcBorders>
          </w:tcPr>
          <w:p>
            <w:pPr>
              <w:keepNext/>
              <w:jc w:val="left"/>
            </w:pPr>
            <w:r/>
            <w:r>
              <w:rPr>
                <w:rFonts w:ascii="Times New Roman" w:hAnsi="Times New Roman"/>
                <w:b/>
                <w:sz w:val="16"/>
              </w:rPr>
              <w:t>Generator</w:t>
            </w:r>
          </w:p>
        </w:tc>
        <w:tc>
          <w:tcPr>
            <w:tcW w:type="dxa" w:w="1728"/>
            <w:tcBorders>
              <w:top w:val="single" w:sz="12" w:color="000000"/>
              <w:bottom w:val="single" w:sz="6" w:color="000000"/>
            </w:tcBorders>
          </w:tcPr>
          <w:p>
            <w:pPr>
              <w:keepNext/>
              <w:jc w:val="center"/>
            </w:pPr>
            <w:r/>
            <w:r>
              <w:rPr>
                <w:rFonts w:ascii="Times New Roman" w:hAnsi="Times New Roman"/>
                <w:b/>
                <w:sz w:val="16"/>
              </w:rPr>
              <w:t>Group</w:t>
            </w:r>
          </w:p>
        </w:tc>
        <w:tc>
          <w:tcPr>
            <w:tcW w:type="dxa" w:w="1728"/>
            <w:tcBorders>
              <w:top w:val="single" w:sz="12" w:color="000000"/>
              <w:bottom w:val="single" w:sz="6" w:color="000000"/>
            </w:tcBorders>
          </w:tcPr>
          <w:p>
            <w:pPr>
              <w:keepNext/>
              <w:jc w:val="center"/>
            </w:pPr>
            <w:r/>
            <w:r>
              <w:rPr>
                <w:rFonts w:ascii="Times New Roman" w:hAnsi="Times New Roman"/>
                <w:b/>
                <w:sz w:val="16"/>
              </w:rPr>
              <w:t>n</w:t>
            </w:r>
          </w:p>
        </w:tc>
        <w:tc>
          <w:tcPr>
            <w:tcW w:type="dxa" w:w="1728"/>
            <w:tcBorders>
              <w:top w:val="single" w:sz="12" w:color="000000"/>
              <w:bottom w:val="single" w:sz="6" w:color="000000"/>
            </w:tcBorders>
          </w:tcPr>
          <w:p>
            <w:pPr>
              <w:keepNext/>
              <w:jc w:val="center"/>
            </w:pPr>
            <w:r/>
            <w:r>
              <w:rPr>
                <w:rFonts w:ascii="Times New Roman" w:hAnsi="Times New Roman"/>
                <w:b/>
                <w:sz w:val="16"/>
              </w:rPr>
              <w:t>Confirmed %</w:t>
            </w:r>
          </w:p>
        </w:tc>
        <w:tc>
          <w:tcPr>
            <w:tcW w:type="dxa" w:w="1728"/>
            <w:tcBorders>
              <w:top w:val="single" w:sz="12" w:color="000000"/>
              <w:bottom w:val="single" w:sz="6" w:color="000000"/>
            </w:tcBorders>
          </w:tcPr>
          <w:p>
            <w:pPr>
              <w:keepNext/>
              <w:jc w:val="center"/>
            </w:pPr>
            <w:r/>
            <w:r>
              <w:rPr>
                <w:rFonts w:ascii="Times New Roman" w:hAnsi="Times New Roman"/>
                <w:b/>
                <w:sz w:val="16"/>
              </w:rPr>
              <w:t>Source-attributed %</w:t>
            </w:r>
          </w:p>
        </w:tc>
        <w:tc>
          <w:tcPr>
            <w:tcW w:type="dxa" w:w="1728"/>
            <w:tcBorders>
              <w:top w:val="single" w:sz="12" w:color="000000"/>
              <w:bottom w:val="single" w:sz="6" w:color="000000"/>
            </w:tcBorders>
          </w:tcPr>
          <w:p>
            <w:pPr>
              <w:keepNext/>
              <w:jc w:val="center"/>
            </w:pPr>
            <w:r/>
            <w:r>
              <w:rPr>
                <w:rFonts w:ascii="Times New Roman" w:hAnsi="Times New Roman"/>
                <w:b/>
                <w:sz w:val="16"/>
              </w:rPr>
              <w:t>Source in top-C %</w:t>
            </w:r>
          </w:p>
        </w:tc>
      </w:tr>
      <w:tr>
        <w:trPr>
          <w:cantSplit/>
        </w:trPr>
        <w:tc>
          <w:tcPr>
            <w:tcW w:type="dxa" w:w="1728"/>
          </w:tcPr>
          <w:p>
            <w:pPr>
              <w:keepNext/>
              <w:jc w:val="left"/>
            </w:pPr>
            <w:r/>
            <w:r>
              <w:rPr>
                <w:rFonts w:ascii="Times New Roman" w:hAnsi="Times New Roman"/>
                <w:b w:val="0"/>
                <w:sz w:val="16"/>
              </w:rPr>
              <w:t>n-gram/copy (E6.2)</w:t>
            </w:r>
          </w:p>
        </w:tc>
        <w:tc>
          <w:tcPr>
            <w:tcW w:type="dxa" w:w="1728"/>
          </w:tcPr>
          <w:p>
            <w:pPr>
              <w:keepNext/>
              <w:jc w:val="center"/>
            </w:pPr>
            <w:r/>
            <w:r>
              <w:rPr>
                <w:rFonts w:ascii="Times New Roman" w:hAnsi="Times New Roman"/>
                <w:b w:val="0"/>
                <w:sz w:val="16"/>
              </w:rPr>
              <w:t>m=8, lambda=0</w:t>
            </w:r>
          </w:p>
        </w:tc>
        <w:tc>
          <w:tcPr>
            <w:tcW w:type="dxa" w:w="1728"/>
          </w:tcPr>
          <w:p>
            <w:pPr>
              <w:keepNext/>
              <w:jc w:val="center"/>
            </w:pPr>
            <w:r/>
            <w:r>
              <w:rPr>
                <w:rFonts w:ascii="Times New Roman" w:hAnsi="Times New Roman"/>
                <w:b w:val="0"/>
                <w:sz w:val="16"/>
              </w:rPr>
              <w:t>50</w:t>
            </w:r>
          </w:p>
        </w:tc>
        <w:tc>
          <w:tcPr>
            <w:tcW w:type="dxa" w:w="1728"/>
          </w:tcPr>
          <w:p>
            <w:pPr>
              <w:keepNext/>
              <w:jc w:val="center"/>
            </w:pPr>
            <w:r/>
            <w:r>
              <w:rPr>
                <w:rFonts w:ascii="Times New Roman" w:hAnsi="Times New Roman"/>
                <w:b w:val="0"/>
                <w:sz w:val="16"/>
              </w:rPr>
              <w:t>32</w:t>
            </w:r>
          </w:p>
        </w:tc>
        <w:tc>
          <w:tcPr>
            <w:tcW w:type="dxa" w:w="1728"/>
          </w:tcPr>
          <w:p>
            <w:pPr>
              <w:keepNext/>
              <w:jc w:val="center"/>
            </w:pPr>
            <w:r/>
            <w:r>
              <w:rPr>
                <w:rFonts w:ascii="Times New Roman" w:hAnsi="Times New Roman"/>
                <w:b w:val="0"/>
                <w:sz w:val="16"/>
              </w:rPr>
              <w:t>2</w:t>
            </w:r>
          </w:p>
        </w:tc>
        <w:tc>
          <w:tcPr>
            <w:tcW w:type="dxa" w:w="1728"/>
          </w:tcPr>
          <w:p>
            <w:pPr>
              <w:keepNext/>
              <w:jc w:val="center"/>
            </w:pPr>
            <w:r/>
            <w:r>
              <w:rPr>
                <w:rFonts w:ascii="Times New Roman" w:hAnsi="Times New Roman"/>
                <w:b w:val="0"/>
                <w:sz w:val="16"/>
              </w:rPr>
              <w:t>–</w:t>
            </w:r>
          </w:p>
        </w:tc>
      </w:tr>
      <w:tr>
        <w:trPr>
          <w:cantSplit/>
        </w:trPr>
        <w:tc>
          <w:tcPr>
            <w:tcW w:type="dxa" w:w="1728"/>
          </w:tcPr>
          <w:p>
            <w:pPr>
              <w:keepNext/>
              <w:jc w:val="left"/>
            </w:pPr>
            <w:r/>
            <w:r>
              <w:rPr>
                <w:rFonts w:ascii="Times New Roman" w:hAnsi="Times New Roman"/>
                <w:b w:val="0"/>
                <w:sz w:val="16"/>
              </w:rPr>
              <w:t>n-gram/copy (E6.2)</w:t>
            </w:r>
          </w:p>
        </w:tc>
        <w:tc>
          <w:tcPr>
            <w:tcW w:type="dxa" w:w="1728"/>
          </w:tcPr>
          <w:p>
            <w:pPr>
              <w:keepNext/>
              <w:jc w:val="center"/>
            </w:pPr>
            <w:r/>
            <w:r>
              <w:rPr>
                <w:rFonts w:ascii="Times New Roman" w:hAnsi="Times New Roman"/>
                <w:b w:val="0"/>
                <w:sz w:val="16"/>
              </w:rPr>
              <w:t>m=8, lambda=1</w:t>
            </w:r>
          </w:p>
        </w:tc>
        <w:tc>
          <w:tcPr>
            <w:tcW w:type="dxa" w:w="1728"/>
          </w:tcPr>
          <w:p>
            <w:pPr>
              <w:keepNext/>
              <w:jc w:val="center"/>
            </w:pPr>
            <w:r/>
            <w:r>
              <w:rPr>
                <w:rFonts w:ascii="Times New Roman" w:hAnsi="Times New Roman"/>
                <w:b w:val="0"/>
                <w:sz w:val="16"/>
              </w:rPr>
              <w:t>50</w:t>
            </w:r>
          </w:p>
        </w:tc>
        <w:tc>
          <w:tcPr>
            <w:tcW w:type="dxa" w:w="1728"/>
          </w:tcPr>
          <w:p>
            <w:pPr>
              <w:keepNext/>
              <w:jc w:val="center"/>
            </w:pPr>
            <w:r/>
            <w:r>
              <w:rPr>
                <w:rFonts w:ascii="Times New Roman" w:hAnsi="Times New Roman"/>
                <w:b w:val="0"/>
                <w:sz w:val="16"/>
              </w:rPr>
              <w:t>100</w:t>
            </w:r>
          </w:p>
        </w:tc>
        <w:tc>
          <w:tcPr>
            <w:tcW w:type="dxa" w:w="1728"/>
          </w:tcPr>
          <w:p>
            <w:pPr>
              <w:keepNext/>
              <w:jc w:val="center"/>
            </w:pPr>
            <w:r/>
            <w:r>
              <w:rPr>
                <w:rFonts w:ascii="Times New Roman" w:hAnsi="Times New Roman"/>
                <w:b w:val="0"/>
                <w:sz w:val="16"/>
              </w:rPr>
              <w:t>98</w:t>
            </w:r>
          </w:p>
        </w:tc>
        <w:tc>
          <w:tcPr>
            <w:tcW w:type="dxa" w:w="1728"/>
          </w:tcPr>
          <w:p>
            <w:pPr>
              <w:keepNext/>
              <w:jc w:val="center"/>
            </w:pPr>
            <w:r/>
            <w:r>
              <w:rPr>
                <w:rFonts w:ascii="Times New Roman" w:hAnsi="Times New Roman"/>
                <w:b w:val="0"/>
                <w:sz w:val="16"/>
              </w:rPr>
              <w:t>–</w:t>
            </w:r>
          </w:p>
        </w:tc>
      </w:tr>
      <w:tr>
        <w:trPr>
          <w:cantSplit/>
        </w:trPr>
        <w:tc>
          <w:tcPr>
            <w:tcW w:type="dxa" w:w="1728"/>
          </w:tcPr>
          <w:p>
            <w:pPr>
              <w:keepNext/>
              <w:jc w:val="left"/>
            </w:pPr>
            <w:r/>
            <w:r>
              <w:rPr>
                <w:rFonts w:ascii="Times New Roman" w:hAnsi="Times New Roman"/>
                <w:b w:val="0"/>
                <w:sz w:val="16"/>
              </w:rPr>
              <w:t>transformer (E6.4)</w:t>
            </w:r>
          </w:p>
        </w:tc>
        <w:tc>
          <w:tcPr>
            <w:tcW w:type="dxa" w:w="1728"/>
          </w:tcPr>
          <w:p>
            <w:pPr>
              <w:keepNext/>
              <w:jc w:val="center"/>
            </w:pPr>
            <w:r/>
            <w:r>
              <w:rPr>
                <w:rFonts w:ascii="Times New Roman" w:hAnsi="Times New Roman"/>
                <w:b w:val="0"/>
                <w:sz w:val="16"/>
              </w:rPr>
              <w:t>memorized sources</w:t>
            </w:r>
          </w:p>
        </w:tc>
        <w:tc>
          <w:tcPr>
            <w:tcW w:type="dxa" w:w="1728"/>
          </w:tcPr>
          <w:p>
            <w:pPr>
              <w:keepNext/>
              <w:jc w:val="center"/>
            </w:pPr>
            <w:r/>
            <w:r>
              <w:rPr>
                <w:rFonts w:ascii="Times New Roman" w:hAnsi="Times New Roman"/>
                <w:b w:val="0"/>
                <w:sz w:val="16"/>
              </w:rPr>
              <w:t>20</w:t>
            </w:r>
          </w:p>
        </w:tc>
        <w:tc>
          <w:tcPr>
            <w:tcW w:type="dxa" w:w="1728"/>
          </w:tcPr>
          <w:p>
            <w:pPr>
              <w:keepNext/>
              <w:jc w:val="center"/>
            </w:pPr>
            <w:r/>
            <w:r>
              <w:rPr>
                <w:rFonts w:ascii="Times New Roman" w:hAnsi="Times New Roman"/>
                <w:b w:val="0"/>
                <w:sz w:val="16"/>
              </w:rPr>
              <w:t>40</w:t>
            </w:r>
          </w:p>
        </w:tc>
        <w:tc>
          <w:tcPr>
            <w:tcW w:type="dxa" w:w="1728"/>
          </w:tcPr>
          <w:p>
            <w:pPr>
              <w:keepNext/>
              <w:jc w:val="center"/>
            </w:pPr>
            <w:r/>
            <w:r>
              <w:rPr>
                <w:rFonts w:ascii="Times New Roman" w:hAnsi="Times New Roman"/>
                <w:b w:val="0"/>
                <w:sz w:val="16"/>
              </w:rPr>
              <w:t>5</w:t>
            </w:r>
          </w:p>
        </w:tc>
        <w:tc>
          <w:tcPr>
            <w:tcW w:type="dxa" w:w="1728"/>
          </w:tcPr>
          <w:p>
            <w:pPr>
              <w:keepNext/>
              <w:jc w:val="center"/>
            </w:pPr>
            <w:r/>
            <w:r>
              <w:rPr>
                <w:rFonts w:ascii="Times New Roman" w:hAnsi="Times New Roman"/>
                <w:b w:val="0"/>
                <w:sz w:val="16"/>
              </w:rPr>
              <w:t>5</w:t>
            </w:r>
          </w:p>
        </w:tc>
      </w:tr>
      <w:tr>
        <w:trPr>
          <w:cantSplit/>
        </w:trPr>
        <w:tc>
          <w:tcPr>
            <w:tcW w:type="dxa" w:w="1728"/>
          </w:tcPr>
          <w:p>
            <w:pPr>
              <w:keepNext/>
              <w:jc w:val="left"/>
            </w:pPr>
            <w:r/>
            <w:r>
              <w:rPr>
                <w:rFonts w:ascii="Times New Roman" w:hAnsi="Times New Roman"/>
                <w:b w:val="0"/>
                <w:sz w:val="16"/>
              </w:rPr>
              <w:t>transformer (E6.4)</w:t>
            </w:r>
          </w:p>
        </w:tc>
        <w:tc>
          <w:tcPr>
            <w:tcW w:type="dxa" w:w="1728"/>
          </w:tcPr>
          <w:p>
            <w:pPr>
              <w:keepNext/>
              <w:jc w:val="center"/>
            </w:pPr>
            <w:r/>
            <w:r>
              <w:rPr>
                <w:rFonts w:ascii="Times New Roman" w:hAnsi="Times New Roman"/>
                <w:b w:val="0"/>
                <w:sz w:val="16"/>
              </w:rPr>
              <w:t>untrained controls</w:t>
            </w:r>
          </w:p>
        </w:tc>
        <w:tc>
          <w:tcPr>
            <w:tcW w:type="dxa" w:w="1728"/>
          </w:tcPr>
          <w:p>
            <w:pPr>
              <w:keepNext/>
              <w:jc w:val="center"/>
            </w:pPr>
            <w:r/>
            <w:r>
              <w:rPr>
                <w:rFonts w:ascii="Times New Roman" w:hAnsi="Times New Roman"/>
                <w:b w:val="0"/>
                <w:sz w:val="16"/>
              </w:rPr>
              <w:t>20</w:t>
            </w:r>
          </w:p>
        </w:tc>
        <w:tc>
          <w:tcPr>
            <w:tcW w:type="dxa" w:w="1728"/>
          </w:tcPr>
          <w:p>
            <w:pPr>
              <w:keepNext/>
              <w:jc w:val="center"/>
            </w:pPr>
            <w:r/>
            <w:r>
              <w:rPr>
                <w:rFonts w:ascii="Times New Roman" w:hAnsi="Times New Roman"/>
                <w:b w:val="0"/>
                <w:sz w:val="16"/>
              </w:rPr>
              <w:t>40</w:t>
            </w:r>
          </w:p>
        </w:tc>
        <w:tc>
          <w:tcPr>
            <w:tcW w:type="dxa" w:w="1728"/>
          </w:tcPr>
          <w:p>
            <w:pPr>
              <w:keepNext/>
              <w:jc w:val="center"/>
            </w:pPr>
            <w:r/>
            <w:r>
              <w:rPr>
                <w:rFonts w:ascii="Times New Roman" w:hAnsi="Times New Roman"/>
                <w:b w:val="0"/>
                <w:sz w:val="16"/>
              </w:rPr>
              <w:t>10</w:t>
            </w:r>
          </w:p>
        </w:tc>
        <w:tc>
          <w:tcPr>
            <w:tcW w:type="dxa" w:w="1728"/>
          </w:tcPr>
          <w:p>
            <w:pPr>
              <w:keepNext/>
              <w:jc w:val="center"/>
            </w:pPr>
            <w:r/>
            <w:r>
              <w:rPr>
                <w:rFonts w:ascii="Times New Roman" w:hAnsi="Times New Roman"/>
                <w:b w:val="0"/>
                <w:sz w:val="16"/>
              </w:rPr>
              <w:t>15</w:t>
            </w:r>
          </w:p>
        </w:tc>
      </w:tr>
      <w:tr>
        <w:trPr>
          <w:cantSplit/>
        </w:trPr>
        <w:tc>
          <w:tcPr>
            <w:tcW w:type="dxa" w:w="1728"/>
            <w:tcBorders>
              <w:bottom w:val="single" w:sz="12" w:color="000000"/>
            </w:tcBorders>
          </w:tcPr>
          <w:p>
            <w:pPr>
              <w:jc w:val="left"/>
            </w:pPr>
            <w:r/>
            <w:r>
              <w:rPr>
                <w:rFonts w:ascii="Times New Roman" w:hAnsi="Times New Roman"/>
                <w:b w:val="0"/>
                <w:sz w:val="16"/>
              </w:rPr>
              <w:t>transformer (E6.4)</w:t>
            </w:r>
          </w:p>
        </w:tc>
        <w:tc>
          <w:tcPr>
            <w:tcW w:type="dxa" w:w="1728"/>
            <w:tcBorders>
              <w:bottom w:val="single" w:sz="12" w:color="000000"/>
            </w:tcBorders>
          </w:tcPr>
          <w:p>
            <w:pPr>
              <w:jc w:val="center"/>
            </w:pPr>
            <w:r/>
            <w:r>
              <w:rPr>
                <w:rFonts w:ascii="Times New Roman" w:hAnsi="Times New Roman"/>
                <w:b w:val="0"/>
                <w:sz w:val="16"/>
              </w:rPr>
              <w:t>random trained</w:t>
            </w:r>
          </w:p>
        </w:tc>
        <w:tc>
          <w:tcPr>
            <w:tcW w:type="dxa" w:w="1728"/>
            <w:tcBorders>
              <w:bottom w:val="single" w:sz="12" w:color="000000"/>
            </w:tcBorders>
          </w:tcPr>
          <w:p>
            <w:pPr>
              <w:jc w:val="center"/>
            </w:pPr>
            <w:r/>
            <w:r>
              <w:rPr>
                <w:rFonts w:ascii="Times New Roman" w:hAnsi="Times New Roman"/>
                <w:b w:val="0"/>
                <w:sz w:val="16"/>
              </w:rPr>
              <w:t>20</w:t>
            </w:r>
          </w:p>
        </w:tc>
        <w:tc>
          <w:tcPr>
            <w:tcW w:type="dxa" w:w="1728"/>
            <w:tcBorders>
              <w:bottom w:val="single" w:sz="12" w:color="000000"/>
            </w:tcBorders>
          </w:tcPr>
          <w:p>
            <w:pPr>
              <w:jc w:val="center"/>
            </w:pPr>
            <w:r/>
            <w:r>
              <w:rPr>
                <w:rFonts w:ascii="Times New Roman" w:hAnsi="Times New Roman"/>
                <w:b w:val="0"/>
                <w:sz w:val="16"/>
              </w:rPr>
              <w:t>35</w:t>
            </w:r>
          </w:p>
        </w:tc>
        <w:tc>
          <w:tcPr>
            <w:tcW w:type="dxa" w:w="1728"/>
            <w:tcBorders>
              <w:bottom w:val="single" w:sz="12" w:color="000000"/>
            </w:tcBorders>
          </w:tcPr>
          <w:p>
            <w:pPr>
              <w:jc w:val="center"/>
            </w:pPr>
            <w:r/>
            <w:r>
              <w:rPr>
                <w:rFonts w:ascii="Times New Roman" w:hAnsi="Times New Roman"/>
                <w:b w:val="0"/>
                <w:sz w:val="16"/>
              </w:rPr>
              <w:t>0</w:t>
            </w:r>
          </w:p>
        </w:tc>
        <w:tc>
          <w:tcPr>
            <w:tcW w:type="dxa" w:w="1728"/>
            <w:tcBorders>
              <w:bottom w:val="single" w:sz="12" w:color="000000"/>
            </w:tcBorders>
          </w:tcPr>
          <w:p>
            <w:pPr>
              <w:jc w:val="center"/>
            </w:pPr>
            <w:r/>
            <w:r>
              <w:rPr>
                <w:rFonts w:ascii="Times New Roman" w:hAnsi="Times New Roman"/>
                <w:b w:val="0"/>
                <w:sz w:val="16"/>
              </w:rPr>
              <w:t>25</w:t>
            </w:r>
          </w:p>
        </w:tc>
      </w:tr>
    </w:tbl>
    <w:p>
      <w:pPr>
        <w:spacing w:after="40"/>
      </w:pPr>
    </w:p>
    <w:p>
      <w:pPr>
        <w:pStyle w:val="Heading1"/>
      </w:pPr>
      <w:r>
        <w:t>VII. DISCUSSION</w:t>
      </w:r>
    </w:p>
    <w:p>
      <w:pPr>
        <w:spacing w:after="0"/>
        <w:ind w:firstLine="204"/>
        <w:jc w:val="both"/>
      </w:pPr>
      <w:r>
        <w:t>Three boundaries are worth stating plainly. First, item-set containment is a recall instrument; any deployment that treats its counts as verdicts will over-flag exactly the repertoire it is meant to protect. Second, chain-based confirmation requires contiguity: copies fragmented below the ρ threshold evade detection, so the system's proper role is high-precision screening with evidence, not autonomous adjudication. Third, the guarantees are conditional on the declared noise model; transformations outside tolerance (large transposition without sketch retrieval, heavy swing quantization) must be covered by model extensions rather than threshold tweaking.</w:t>
      </w:r>
    </w:p>
    <w:p>
      <w:pPr>
        <w:spacing w:after="0"/>
        <w:ind w:firstLine="204"/>
        <w:jc w:val="both"/>
      </w:pPr>
      <w:r>
        <w:t>Threats to validity. The planted transformations are parametric approximations of real reuse: actual audio-to-MIDI transcription errors are correlated (a misaligned beat grid shifts many notes together), which our jitter model under-represents, and human-made covers vary by arrangement choices no parametric family captures. Hard negatives are harvested by pitch-class histogram similarity, which finds harmonically confusable peers but may miss style-similar pairs with different key distributions; the memorization study spans both a transparent n-gram/copy emulation and an actually trained generator, but the latter is a 0.9M-parameter CPU-scale transformer whose memorization is non-extractive—larger generators that regurgitate verbatim would move samples toward the lambda = 1 corner of Table XIV rather than challenge the detection physics; and the in-the-wild census, while spanning the full 174,300-piece corpus, rests on a 1/8 systematic sample of queries and a 120-pair adjudication audit whose verdicts are automatic (chain criterion), not human, and examines one corpus lineage. We regard the cell-by-cell bound audit and the per-length hard-negative breakdown as the load-bearing evidence, because both are exhaustive over their stated domains rather than sampled.</w:t>
      </w:r>
    </w:p>
    <w:p>
      <w:pPr>
        <w:spacing w:after="0"/>
        <w:ind w:firstLine="204"/>
        <w:jc w:val="both"/>
      </w:pPr>
      <w:r>
        <w:t>Deployment and responsible use. Operationally, the index accepts incremental piece insertions without rebuild, and the anytime budget lets a screening queue trade recall headroom against throughput at busy times — the open-set size reported after every query is a directly schedulable quantity. An adversary who learns the declared tolerance can in principle evade by exceeding it; the honest response is to widen the envelope (coarser tolerance, interval-sketch retrieval) and re-audit, which the cell-by-cell methodology supports cheaply. Finally, the system's output is evidence for a human decision, not a legal determination: a confirmed chain localizes shared material and estimates transposition, while questions of access, originality, and substantial similarity remain with adjudicators [20], [30]. All code and experiment scripts are released to make every number in this paper independently reproducible.</w:t>
      </w:r>
    </w:p>
    <w:p>
      <w:pPr>
        <w:pStyle w:val="Heading1"/>
      </w:pPr>
      <w:r>
        <w:t>VIII. CONCLUSION</w:t>
      </w:r>
    </w:p>
    <w:p>
      <w:pPr>
        <w:spacing w:after="0"/>
        <w:ind w:firstLine="204"/>
        <w:jc w:val="both"/>
      </w:pPr>
      <w:r>
        <w:t>Copy detection for symbolic music decomposes into a provable-recall screening problem and a structural confirmation problem, and the decomposition is clean enough to build, verify cell-by-cell, and operate at publisher scale: 100% planted recall with an exact anytime bound, 2.1% fragment-level false positives on style-similar hard negatives, decision-latency queries on a 174,300-piece corpus, and alignment evidence that a musician can check against a score. Future work targets the two exposed boundaries: fragmented memorization below the contiguity threshold, and recall guarantees under transformations outside the current tolerance envelope.</w:t>
      </w:r>
    </w:p>
    <w:p>
      <w:pPr>
        <w:pStyle w:val="ReferenceHead"/>
      </w:pPr>
      <w:r>
        <w:t>References</w:t>
      </w:r>
    </w:p>
    <w:p>
      <w:pPr>
        <w:pStyle w:val="References"/>
        <w:ind w:left="425" w:hanging="425"/>
      </w:pPr>
      <w:r>
        <w:t>R. Typke, R. C. Veltkamp, and F. Wiering, “Searching notated polyphonic music using transportation distances,” in Proc. ACM Multimedia, 2004.</w:t>
      </w:r>
    </w:p>
    <w:p>
      <w:pPr>
        <w:pStyle w:val="References"/>
        <w:ind w:left="425" w:hanging="425"/>
      </w:pPr>
      <w:r>
        <w:t>D. Meredith, K. Lemström, and G. A. Wiggins, “Algorithms for discovering repeated patterns in multidimensional representations of polyphonic music,” Journal of New Music Research, vol. 31, no. 4, pp. 321–345, 2002.</w:t>
      </w:r>
    </w:p>
    <w:p>
      <w:pPr>
        <w:pStyle w:val="References"/>
        <w:ind w:left="425" w:hanging="425"/>
      </w:pPr>
      <w:r>
        <w:t>M. A. Casey et al., “Content-based music information retrieval: Current directions and future challenges,” Proceedings of the IEEE, vol. 96, no. 4, pp. 668–676, 2008.</w:t>
      </w:r>
    </w:p>
    <w:p>
      <w:pPr>
        <w:pStyle w:val="References"/>
        <w:ind w:left="425" w:hanging="425"/>
      </w:pPr>
      <w:r>
        <w:t>M. Müller, Information Retrieval for Music and Motion. Springer, 2007.</w:t>
      </w:r>
    </w:p>
    <w:p>
      <w:pPr>
        <w:pStyle w:val="References"/>
        <w:ind w:left="425" w:hanging="425"/>
      </w:pPr>
      <w:r>
        <w:t>R. Typke, F. Wiering, and R. C. Veltkamp, “A survey of music information retrieval systems,” in Proc. ISMIR, 2005.</w:t>
      </w:r>
    </w:p>
    <w:p>
      <w:pPr>
        <w:pStyle w:val="References"/>
        <w:ind w:left="425" w:hanging="425"/>
      </w:pPr>
      <w:r>
        <w:t>C. Raffel and D. P. W. Ellis, “Optimizing DTW-based audio-to-MIDI alignment and matching,” in Proc. ICASSP, 2016.</w:t>
      </w:r>
    </w:p>
    <w:p>
      <w:pPr>
        <w:pStyle w:val="References"/>
        <w:ind w:left="425" w:hanging="425"/>
      </w:pPr>
      <w:r>
        <w:t>C. Raffel, Learning-Based Methods for Comparing Sequences, with Applications to Audio-to-MIDI Alignment and Matching. PhD thesis, Columbia University, 2016 (Lakh MIDI Dataset).</w:t>
      </w:r>
    </w:p>
    <w:p>
      <w:pPr>
        <w:pStyle w:val="References"/>
        <w:ind w:left="425" w:hanging="425"/>
      </w:pPr>
      <w:r>
        <w:t>S. Zilberstein, “Using anytime algorithms in intelligent systems,” AI Magazine, vol. 17, no. 3, pp. 73–83, 1996.</w:t>
      </w:r>
    </w:p>
    <w:p>
      <w:pPr>
        <w:pStyle w:val="References"/>
        <w:ind w:left="425" w:hanging="425"/>
      </w:pPr>
      <w:r>
        <w:t>R. Agrawal and R. Srikant, “Fast algorithms for mining association rules in large databases,” in Proc. VLDB, 1994.</w:t>
      </w:r>
    </w:p>
    <w:p>
      <w:pPr>
        <w:pStyle w:val="References"/>
        <w:ind w:left="425" w:hanging="425"/>
      </w:pPr>
      <w:r>
        <w:t>J. Han, J. Pei, and Y. Yin, “Mining frequent patterns without candidate generation,” in Proc. ACM SIGMOD, 2000.</w:t>
      </w:r>
    </w:p>
    <w:p>
      <w:pPr>
        <w:pStyle w:val="References"/>
        <w:ind w:left="425" w:hanging="425"/>
      </w:pPr>
      <w:r>
        <w:t>N. Carlini et al., “Extracting training data from large language models,” in Proc. USENIX Security, 2021.</w:t>
      </w:r>
    </w:p>
    <w:p>
      <w:pPr>
        <w:pStyle w:val="References"/>
        <w:ind w:left="425" w:hanging="425"/>
      </w:pPr>
      <w:r>
        <w:t>M. Müller and S. Ewert, “Chroma Toolbox: MATLAB implementations for extracting variants of chroma-based audio features,” in Proc. ISMIR, 2011.</w:t>
      </w:r>
    </w:p>
    <w:p>
      <w:pPr>
        <w:pStyle w:val="References"/>
        <w:ind w:left="425" w:hanging="425"/>
      </w:pPr>
      <w:r>
        <w:t>A. Ghias, J. Logan, D. Chamberlin, and B. C. Smith, “Query by humming: Musical information retrieval in an audio database,” in Proc. ACM Multimedia, 1995.</w:t>
      </w:r>
    </w:p>
    <w:p>
      <w:pPr>
        <w:pStyle w:val="References"/>
        <w:ind w:left="425" w:hanging="425"/>
      </w:pPr>
      <w:r>
        <w:t>J. Salamon, J. Serra, and E. Gómez, “Tonal representations for music retrieval: From version identification to query-by-humming,” Int. Journal of Multimedia Information Retrieval, vol. 2, no. 1, pp. 35–48, 2013.</w:t>
      </w:r>
    </w:p>
    <w:p>
      <w:pPr>
        <w:pStyle w:val="References"/>
        <w:ind w:left="425" w:hanging="425"/>
      </w:pPr>
      <w:r>
        <w:t>Z. Yu, X. Xu, X. Chen, and D. Yang, “Learning a representation for cover song identification using convolutional neural network,” in Proc. ICASSP, 2020.</w:t>
      </w:r>
    </w:p>
    <w:p>
      <w:pPr>
        <w:pStyle w:val="References"/>
        <w:ind w:left="425" w:hanging="425"/>
      </w:pPr>
      <w:r>
        <w:t>X. Du, Z. Yu, B. Zhu, X. Chen, and Z. Ma, “ByteCover: Cover song identification via multi-loss training,” in Proc. ICASSP, 2021.</w:t>
      </w:r>
    </w:p>
    <w:p>
      <w:pPr>
        <w:pStyle w:val="References"/>
        <w:ind w:left="425" w:hanging="425"/>
      </w:pPr>
      <w:r>
        <w:t>F. Liu, D. Tuo, Y. Xu, and X. Han, “CoverHunter: Cover song identification with refined attention and alignments,” in Proc. IEEE ICASSP, 2023.</w:t>
      </w:r>
    </w:p>
    <w:p>
      <w:pPr>
        <w:pStyle w:val="References"/>
        <w:ind w:left="425" w:hanging="425"/>
      </w:pPr>
      <w:r>
        <w:t>C. Dittmar, K. F. Hildebrand, D. Gärtner, M. Gräber, and C. Landmeyer, “Audio forensics meets music information retrieval—A toolbox for inspection of music plagiarism claims,” in Proc. AES Int. Conf. Semantic Audio, 2012.</w:t>
      </w:r>
    </w:p>
    <w:p>
      <w:pPr>
        <w:pStyle w:val="References"/>
        <w:ind w:left="425" w:hanging="425"/>
      </w:pPr>
      <w:r>
        <w:t>W. Liu, T. He, C. Gong, N. Zhang, H. Yang, and J. Yan, “Fine-grained music plagiarism detection: Revealing plagiarists through bipartite graph matching and a comprehensive large-scale dataset,” in Proc. ACM Int. Conf. Multimedia, 2023, pp. 8839–8848.</w:t>
      </w:r>
    </w:p>
    <w:p>
      <w:pPr>
        <w:pStyle w:val="References"/>
        <w:ind w:left="425" w:hanging="425"/>
      </w:pPr>
      <w:r>
        <w:t>S. Park, H. Kim, J. Jung, J. Park, J. Kim, and J. Nam, “Quantitative analysis of melodic similarity in music copyright infringement cases,” in Proc. ISMIR, 2024.</w:t>
      </w:r>
    </w:p>
    <w:p>
      <w:pPr>
        <w:pStyle w:val="References"/>
        <w:ind w:left="425" w:hanging="425"/>
      </w:pPr>
      <w:r>
        <w:t>K. J. M. Lee, J. Ens, S. Adkins, P. Sarmento, et al., “The GigaMIDI dataset with features for expressive music performance detection,” Transactions of the Int. Society for Music Information Retrieval, 2025.</w:t>
      </w:r>
    </w:p>
    <w:p>
      <w:pPr>
        <w:pStyle w:val="References"/>
        <w:ind w:left="425" w:hanging="425"/>
      </w:pPr>
      <w:r>
        <w:t>C.-Z. A. Huang et al., “Music Transformer: Generating music with long-term structure,” in Proc. ICLR, 2019.</w:t>
      </w:r>
    </w:p>
    <w:p>
      <w:pPr>
        <w:pStyle w:val="References"/>
        <w:ind w:left="425" w:hanging="425"/>
      </w:pPr>
      <w:r>
        <w:t>R. Shokri, M. Stronati, C. Song, and V. Shmatikov, “Membership inference attacks against machine learning models,” in Proc. IEEE Symp. Security and Privacy, 2017.</w:t>
      </w:r>
    </w:p>
    <w:p>
      <w:pPr>
        <w:pStyle w:val="References"/>
        <w:ind w:left="425" w:hanging="425"/>
      </w:pPr>
      <w:r>
        <w:t>N. Carlini, J. Hayes, M. Nasr, M. Jagielski, et al., “Extracting training data from diffusion models,” in Proc. USENIX Security, 2023.</w:t>
      </w:r>
    </w:p>
    <w:p>
      <w:pPr>
        <w:pStyle w:val="References"/>
        <w:ind w:left="425" w:hanging="425"/>
      </w:pPr>
      <w:r>
        <w:t>K. Lee, D. Ippolito, A. Nystrom, C. Zhang, et al., “Deduplicating training data makes language models better,” in Proc. ACL, 2022.</w:t>
      </w:r>
    </w:p>
    <w:p>
      <w:pPr>
        <w:pStyle w:val="References"/>
        <w:ind w:left="425" w:hanging="425"/>
      </w:pPr>
      <w:r>
        <w:t>N. Kandpal, E. Wallace, and C. Raffel, “Deduplicating training data mitigates privacy risks in language models,” in Proc. ICML, 2022.</w:t>
      </w:r>
    </w:p>
    <w:p>
      <w:pPr>
        <w:pStyle w:val="References"/>
        <w:ind w:left="425" w:hanging="425"/>
      </w:pPr>
      <w:r>
        <w:t>G. van den Burg and C. Williams, “On memorization in probabilistic deep generative models,” in NeurIPS 2021 Workshop Deep Generative Models, 2021.</w:t>
      </w:r>
    </w:p>
    <w:p>
      <w:pPr>
        <w:pStyle w:val="References"/>
        <w:ind w:left="425" w:hanging="425"/>
      </w:pPr>
      <w:r>
        <w:t>Y.-C. Liu, J. Yu, K. Cao, S. I. A. Meerza, et al., “Auditing training data in generative music models via black-box membership inference,” in Proc. IEEE Symp. Security and Privacy, 2026.</w:t>
      </w:r>
    </w:p>
    <w:p>
      <w:pPr>
        <w:pStyle w:val="References"/>
        <w:ind w:left="425" w:hanging="425"/>
      </w:pPr>
      <w:r>
        <w:t>J. Barnett, H. F. Garcia, and B. Pardo, “Exploring musical roots: Applying audio embeddings to empower influence attribution for a generative music model,” arXiv preprint arXiv:2401.14542, 2024.</w:t>
      </w:r>
    </w:p>
    <w:p>
      <w:pPr>
        <w:pStyle w:val="References"/>
        <w:ind w:left="425" w:hanging="425"/>
      </w:pPr>
      <w:r>
        <w:t>S. Stober and T. W. Dornis, “Generative AI training and copyright law,” arXiv preprint arXiv:2502.15858, 2025.</w:t>
      </w:r>
    </w:p>
    <w:p>
      <w:pPr>
        <w:pStyle w:val="References"/>
        <w:ind w:left="425" w:hanging="425"/>
      </w:pPr>
      <w:r>
        <w:t>Y. Zhang et al., “Anytime frequent itemset mining: A threshold-free progressive item-activation framework with CPU–GPU heterogeneous collaboration,” under review.</w:t>
      </w:r>
    </w:p>
    <w:p>
      <w:pPr>
        <w:pStyle w:val="References"/>
        <w:ind w:left="425" w:hanging="425"/>
      </w:pPr>
      <w:r>
        <w:t>Y. Zhang et al., “TensorFIM: Exact maximal frequent itemset mining on tensor cores,” under review.</w:t>
      </w:r>
    </w:p>
    <w:p>
      <w:pPr>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p>
    <w:p>
      <w:pPr>
        <w:rPr>
          <w:sz w:val="18"/>
        </w:rPr>
      </w:pPr>
    </w:p>
    <w:p>
      <w:pPr>
        <w:sectPr w:rsidR="007E713A" w:rsidSect="00002FAF">
          <w:headerReference w:type="default" r:id="rId9"/>
          <w:type w:val="continuous"/>
          <w:pgSz w:w="12240" w:h="15840"/>
          <w:pgMar w:top="1008" w:right="936" w:bottom="1008" w:left="936" w:header="432" w:footer="432" w:gutter="0"/>
          <w:cols w:space="288"/>
        </w:sectPr>
      </w:pPr>
    </w:p>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 w:id="3">
    <w:p>
      <w:pPr>
        <w:keepLines/>
        <w:pBdr>
          <w:top w:val="nil"/>
          <w:left w:val="nil"/>
          <w:bottom w:val="nil"/>
          <w:right w:val="nil"/>
        </w:pBdr>
        <w:spacing w:before="0" w:after="0" w:line="240" w:lineRule="auto"/>
        <w:ind w:firstLine="202"/>
        <w:jc w:val="both"/>
        <w:rPr>
          <w:sz w:val="16"/>
        </w:rPr>
      </w:pPr>
      <w:r>
        <w:rPr>
          <w:sz w:val="16"/>
        </w:rPr>
        <w:t xml:space="preserve">This work was supported by the Key Science and Technology Tackling Program of the Quzhou Municipal Bureau of Science and Technology under Grant 2025K192, and by the “Pioneer and Leading Goose+X” R&amp;D Program of the Department of Science and Technology of Zhejiang Province under Grant 2024C01227. </w:t>
      </w:r>
      <w:r>
        <w:rPr>
          <w:i/>
          <w:sz w:val="16"/>
        </w:rPr>
        <w:t xml:space="preserve">(Corresponding author: Yalong Zhang, ylzhang@qzc.edu.cn.)</w:t>
      </w:r>
    </w:p>
    <w:p>
      <w:pPr>
        <w:keepLines/>
        <w:pBdr>
          <w:top w:val="nil"/>
          <w:left w:val="nil"/>
          <w:bottom w:val="nil"/>
          <w:right w:val="nil"/>
        </w:pBdr>
        <w:spacing w:before="0" w:after="0" w:line="240" w:lineRule="auto"/>
        <w:ind w:firstLine="202"/>
        <w:jc w:val="both"/>
        <w:rPr>
          <w:sz w:val="16"/>
        </w:rPr>
      </w:pPr>
      <w:r>
        <w:rPr>
          <w:sz w:val="16"/>
        </w:rPr>
        <w:t xml:space="preserve">Xuemei Li and Jianping Deng are with the Faculty of Teacher Education, Quzhou University, Quzhou 324000, China.</w:t>
      </w:r>
    </w:p>
    <w:p>
      <w:pPr>
        <w:keepLines/>
        <w:pBdr>
          <w:top w:val="nil"/>
          <w:left w:val="nil"/>
          <w:bottom w:val="nil"/>
          <w:right w:val="nil"/>
        </w:pBdr>
        <w:spacing w:before="0" w:after="0" w:line="240" w:lineRule="auto"/>
        <w:ind w:firstLine="202"/>
        <w:jc w:val="both"/>
        <w:rPr>
          <w:sz w:val="16"/>
        </w:rPr>
      </w:pPr>
      <w:r>
        <w:rPr>
          <w:sz w:val="16"/>
        </w:rPr>
        <w:t xml:space="preserve">Meng Huang, Bao Wang, and Yalong Zhang are with the College of Electrical and Information Engineering, Quzhou University, Quzhou 324000, China.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33" Type="http://schemas.openxmlformats.org/officeDocument/2006/relationships/image" Target="media/fig1_alt.emf"/><Relationship Id="rId34" Type="http://schemas.openxmlformats.org/officeDocument/2006/relationships/image" Target="media/fig1_architecture.emf"/><Relationship Id="rId35" Type="http://schemas.openxmlformats.org/officeDocument/2006/relationships/image" Target="media/fig2_scaling.emf"/><Relationship Id="rId36" Type="http://schemas.openxmlformats.org/officeDocument/2006/relationships/image" Target="media/fig_e1_heatmap.emf"/><Relationship Id="rId37" Type="http://schemas.openxmlformats.org/officeDocument/2006/relationships/image" Target="media/fig4_bounds.emf"/><Relationship Id="rId38" Type="http://schemas.openxmlformats.org/officeDocument/2006/relationships/image" Target="media/fig3_anytime.emf"/><Relationship Id="rId39" Type="http://schemas.openxmlformats.org/officeDocument/2006/relationships/image" Target="media/fig_e13_margins.emf"/><Relationship Id="rId40" Type="http://schemas.openxmlformats.org/officeDocument/2006/relationships/image" Target="media/fig_e14_rho.emf"/><Relationship Id="rId41" Type="http://schemas.openxmlformats.org/officeDocument/2006/relationships/image" Target="media/fig5_cascade.emf"/><Relationship Id="rId42" Type="http://schemas.openxmlformats.org/officeDocument/2006/relationships/image" Target="media/fig_e5_ablation.emf"/><Relationship Id="rId43" Type="http://schemas.openxmlformats.org/officeDocument/2006/relationships/image" Target="media/fig_e20_lsh.emf"/><Relationship Id="rId44" Type="http://schemas.openxmlformats.org/officeDocument/2006/relationships/image" Target="media/fig6_memorization.emf"/><Relationship Id="rId45" Type="http://schemas.openxmlformats.org/officeDocument/2006/relationships/image" Target="media/fig7_case.emf"/><Relationship Id="rId46" Type="http://schemas.openxmlformats.org/officeDocument/2006/relationships/image" Target="media/fig8_census.emf"/><Relationship Id="rId47" Type="http://schemas.openxmlformats.org/officeDocument/2006/relationships/image" Target="media/fig_e21_memorization.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Yalong Zhang</dc:creator>
  <cp:lastModifiedBy>Yalong Zhang</cp:lastModifiedBy>
  <cp:revision>1</cp:revision>
  <dcterms:created xsi:type="dcterms:W3CDTF">2024-06-12T13:11:00Z</dcterms:created>
  <dcterms:modified xsi:type="dcterms:W3CDTF">2024-06-12T13:11:00Z</dcterms:modified>
  <dc:title>Provable-Recall Screening with Structural Confirmation: A Two-Layer Copy Detection System for Symbolic Music</dc:title>
  <dc:subject>copy detection, symbolic music</dc:subject>
  <dc:description/>
  <cp:category>journal submission draft</cp:category>
</cp:coreProperties>
</file>