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sectPr w:rsidR="007E713A" w:rsidSect="00002FAF">
          <w:headerReference w:type="default" r:id="rId9"/>
          <w:type w:val="continuous"/>
          <w:pgSz w:w="12240" w:h="15840"/>
          <w:pgMar w:top="1008" w:right="936" w:bottom="1008" w:left="936" w:header="432" w:footer="432" w:gutter="0"/>
          <w:cols w:space="288"/>
        </w:sectPr>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(Proposition 1 formalizes the invisibility; Section V-G measures it).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 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6"/>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6"/>
        </w:rPr>
        <w:t>ρ</w:t>
      </w:r>
      <w:r>
        <w:rPr>
          <w:sz w:val="16"/>
        </w:rPr>
        <w:t xml:space="preserve"> = 0.62 ≥ 0.5) as a publisher-readable verdict.</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 To our knowledge, no prior copy-detection system states and audits its screening contract as a per-query recall guarantee under a declared noise model.</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motivated by a negative result that is also a theorem (Proposition 1: no corpus-side resemblance threshold attains complete recall on contained copies) and validated empirically: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pStyle w:val="Heading1"/>
      </w:pPr>
      <w:r>
        <w:t>II. RELATED WORK</w:t>
      </w:r>
    </w:p>
    <w:p>
      <w:pPr>
        <w:pStyle w:val="Heading2"/>
        <w:spacing w:before="100"/>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spacing w:before="100"/>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spacing w:before="100"/>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pStyle w:val="Heading2"/>
        <w:spacing w:before="100"/>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spacing w:after="0"/>
        <w:ind w:firstLine="227"/>
        <w:jc w:val="both"/>
      </w:pPr>
      <w:r>
        <w:t xml:space="preserve">Proposition 1 (containment invisibility of resemblance). Fix </w:t>
      </w:r>
      <w:r>
        <w:rPr>
          <w:i/>
        </w:rPr>
        <w:t>τ</w:t>
      </w:r>
      <w:r>
        <w:t xml:space="preserve"> &gt; 0 and a query Q with </w:t>
      </w:r>
      <w:r>
        <w:rPr>
          <w:i/>
        </w:rPr>
        <w:t>q</w:t>
      </w:r>
      <w:r>
        <w:t xml:space="preserve"> items. For any corpus piece </w:t>
      </w:r>
      <w:r>
        <w:rPr>
          <w:i/>
        </w:rPr>
        <w:t>P</w:t>
      </w:r>
      <w:r>
        <w:t xml:space="preserve"> with p distinct items, J(Q, </w:t>
      </w:r>
      <w:r>
        <w:rPr>
          <w:i/>
        </w:rPr>
        <w:t>P</w:t>
      </w:r>
      <w:r>
        <w:t xml:space="preserve">) ≤ </w:t>
      </w:r>
      <w:r>
        <w:rPr>
          <w:i/>
        </w:rPr>
        <w:t>q</w:t>
      </w:r>
      <w:r>
        <w:t xml:space="preserve">/p: the donor of a planted span scores below </w:t>
      </w:r>
      <w:r>
        <w:rPr>
          <w:i/>
        </w:rPr>
        <w:t>τ</w:t>
      </w:r>
      <w:r>
        <w:t xml:space="preserve"> whenever p &gt; </w:t>
      </w:r>
      <w:r>
        <w:rPr>
          <w:i/>
        </w:rPr>
        <w:t>q</w:t>
      </w:r>
      <w:r>
        <w:t>/</w:t>
      </w:r>
      <w:r>
        <w:rPr>
          <w:i/>
        </w:rPr>
        <w:t>τ</w:t>
      </w:r>
      <w:r>
        <w:t xml:space="preserve">, however faithfully the copied items are preserved. No fixed corpus-side resemblance threshold therefore attains complete recall on contained copies, and no MinHash-LSH configuration repairs this, since banding only reparametrizes the same Jaccard operating point. Proof: the intersection contains at most the </w:t>
      </w:r>
      <w:r>
        <w:rPr>
          <w:i/>
        </w:rPr>
        <w:t>q</w:t>
      </w:r>
      <w:r>
        <w:t xml:space="preserve"> query items and the union contains all p piece items; the bound is tight when the span is the only overlap. ∎</w:t>
      </w:r>
    </w:p>
    <w:p>
      <w:pPr>
        <w:pStyle w:val="Heading2"/>
        <w:spacing w:before="100"/>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6"/>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6"/>
        </w:rPr>
        <w:t>ρ</w:t>
      </w:r>
      <w:r>
        <w:rPr>
          <w:sz w:val="16"/>
        </w:rPr>
        <w:t xml:space="preserve"> = 0.62 ≥ 0.5. (d) Confirmed matches ship as adjudicable reports; memorization and in-the-wild audits close the loop. Black arrows mark data flow; amber markers trace one query end to end.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spacing w:before="100"/>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(tolerant evidence lower bound and certified open set). Let a query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spacing w:before="100"/>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the two frequent-itemset engines of our companion papers (under review) serve as enumeration baselines. They are independent of—and not contributions of—this paper; for completeness, Algorithm 1 gives pseudocode of the full pipeline, and the released source contains both engines' complete implementation details.</w:t>
      </w:r>
    </w:p>
    <w:p>
      <w:pPr>
        <w:spacing w:after="0"/>
        <w:ind w:firstLine="204"/>
        <w:jc w:val="both"/>
      </w:pPr>
      <w:r>
        <w:t xml:space="preserve">Environment. All experiments run on one commodity workstation (12th-generation Intel Core i9, 128 GB RAM); the computation engines are </w:t>
      </w:r>
      <w:r>
        <w:rPr>
          <w:i/>
        </w:rPr>
        <w:t>C</w:t>
      </w:r>
      <w:r>
        <w:t>++, the harness (corpus preparation, index building, measurement, figure and table generation) is Python 3.12 with NumPy, and all quoted latencies are CPU-only figures. The released pipeline re-downloads the corpus shards, rebuilds the index, and regenerates every table and figure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0"/>
        <w:rPr>
          <w:sz w:val="4"/>
        </w:rPr>
      </w:pPr>
    </w:p>
    <w:p>
      <w:pPr>
        <w:pStyle w:val="Heading1"/>
      </w:pPr>
      <w:r>
        <w:t>V. RESULTS</w:t>
      </w:r>
    </w:p>
    <w:p>
      <w:pPr>
        <w:pStyle w:val="Heading2"/>
        <w:spacing w:before="100"/>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two companion engines—was measured infeasible at the support levels copying detection requires (over 11 million frequent pairs at </w:t>
      </w:r>
      <w:r>
        <w:rPr>
          <w:i/>
        </w:rPr>
        <w:t>N</w:t>
      </w:r>
      <w:r>
        <w:t>=300 under the standard cutoff), which is precisely why the architecture places FIM semantics on the query side.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0"/>
        <w:rPr>
          <w:sz w:val="4"/>
        </w:rPr>
      </w:pPr>
    </w:p>
    <w:p>
      <w:pPr>
        <w:spacing w:before="4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6"/>
        </w:rPr>
        <w:t>Fig. 3. Index build and query latency versus corpus size (log-log); planted recall 100% at all sizes; Jaccard scan baseline shown where feasible; MinHash-LSH is fast at every size yet retrieves nothing (Section V-G).</w:t>
      </w:r>
    </w:p>
    <w:p>
      <w:pPr>
        <w:pStyle w:val="Heading2"/>
        <w:spacing w:before="100"/>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6"/>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6"/>
        </w:rPr>
        <w:t>Fig. 5. Measured donor evidence versus theoretical lower bound, 337 adversarial cells; zero violations.</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6"/>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0"/>
        <w:rPr>
          <w:sz w:val="4"/>
        </w:rPr>
      </w:pPr>
    </w:p>
    <w:p>
      <w:pPr>
        <w:pStyle w:val="Heading2"/>
        <w:spacing w:before="100"/>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pStyle w:val="Heading2"/>
        <w:spacing w:before="100"/>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6"/>
        </w:rPr>
        <w:t>Fig. 7. Donor score margin (donor minus best non-donor) on 238 hard-negative fragments; the annotated rate is the fragment-level flag rate of each layer.</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0"/>
        <w:rPr>
          <w:sz w:val="4"/>
        </w:rPr>
      </w:pP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6"/>
        </w:rPr>
        <w:t xml:space="preserve">Fig. 8. Confirmation operating curves: donor recall versus fragment-level FP over </w:t>
      </w:r>
      <w:r>
        <w:rPr>
          <w:i/>
          <w:sz w:val="16"/>
        </w:rPr>
        <w:t>ρ</w:t>
      </w:r>
      <w:r>
        <w:rPr>
          <w:sz w:val="16"/>
        </w:rPr>
        <w:t>, labeled by threshold, for three anchor-tolerance regimes.</w:t>
      </w: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0"/>
        <w:rPr>
          <w:sz w:val="4"/>
        </w:rPr>
      </w:pPr>
    </w:p>
    <w:p>
      <w:pPr>
        <w:pStyle w:val="Heading2"/>
        <w:spacing w:before="100"/>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6"/>
        </w:rPr>
        <w:t>Fig. 9. Operating points and donor retention on hard negatives. (a) Operating points of the three systems; (b) donor retention in the top-</w:t>
      </w:r>
      <w:r>
        <w:rPr>
          <w:i/>
          <w:sz w:val="16"/>
        </w:rPr>
        <w:t>C</w:t>
      </w:r>
      <w:r>
        <w:rPr>
          <w:sz w:val="16"/>
        </w:rPr>
        <w:t xml:space="preserve"> candidate feed.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6"/>
        </w:rPr>
        <w:t>Fig. 10. Component ablations over the confirmation and screening stages. (a) evidence span length; (b) tolerance vector (bars: false candidates, log scale; dashed: recall, right axis); (c) quantization grid granularity.</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0"/>
        <w:rPr>
          <w:sz w:val="4"/>
        </w:rPr>
      </w:pPr>
    </w:p>
    <w:p>
      <w:pPr>
        <w:pStyle w:val="Heading2"/>
        <w:spacing w:before="100"/>
      </w:pPr>
      <w:r>
        <w:t>G. Set-similarity retrieval: the MinHash-LSH baseline</w:t>
      </w:r>
    </w:p>
    <w:p>
      <w:pPr>
        <w:spacing w:after="0"/>
        <w:ind w:firstLine="204"/>
        <w:jc w:val="both"/>
      </w:pPr>
      <w:r>
        <w:t>Proposition 1 turns the expected failure of this baseline into a prediction to test. A planted query of the recall matrix embeds a 40-item span in 300 noise items and probes pieces of ~700 distinct items; the proposition then rules out any resemblance threshold that both recovers such contained donors and keeps candidate volume bounded, because the donor's Jaccard is capped near the span-to-container ratio and can only fall as containers grow. The measurement confirms the cap is operative, not hypothetical: even a perfect set-Jaccard oracle scores the donor at only 0.045 / 0.099 / 0.200 (quartiles over the 337 cells; Fig. 11(a)); just 168 of 337 donors reach Jaccard 0.10. A contained copy is structurally invisible to relative overlap, however faithfully its items are preserved.</w:t>
      </w:r>
    </w:p>
    <w:p>
      <w:pPr>
        <w:spacing w:after="0"/>
        <w:ind w:firstLine="204"/>
        <w:jc w:val="both"/>
      </w:pPr>
      <w:r>
        <w:t xml:space="preserve">Tuning the band configuration then moves the operating point along the recall-versus-candidate-volume trade-off the proposition predicts,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[33], [34]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6"/>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spacing w:before="100"/>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6"/>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0"/>
        <w:rPr>
          <w:sz w:val="4"/>
        </w:rPr>
      </w:pPr>
    </w:p>
    <w:p>
      <w:pPr>
        <w:pStyle w:val="Heading2"/>
        <w:spacing w:before="100"/>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6"/>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6"/>
        </w:rPr>
        <w:t>Fig. 14. Full-corpus census (174,300 pieces, stride-8 survey extrapolated ×8).  (a) Candidate-pair population by relative-score band and channel (log scale).  (b) Confirmed-copy precision of the stored audit-grade strata, Wilson 95% CI; n=40 per stratum.</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0"/>
        <w:rPr>
          <w:sz w:val="4"/>
        </w:rPr>
      </w:pPr>
    </w:p>
    <w:p>
      <w:pPr>
        <w:pStyle w:val="Heading2"/>
        <w:spacing w:before="100"/>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6"/>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6"/>
        </w:rPr>
        <w:t>λ</w:t>
      </w:r>
      <w:r>
        <w:rPr>
          <w:sz w:val="16"/>
        </w:rPr>
        <w:t xml:space="preserve"> = 0 / </w:t>
      </w:r>
      <w:r>
        <w:rPr>
          <w:i/>
          <w:sz w:val="16"/>
        </w:rPr>
        <w:t>λ</w:t>
      </w:r>
      <w:r>
        <w:rPr>
          <w:sz w:val="16"/>
        </w:rPr>
        <w:t xml:space="preserve"> = 1 anchors of Table XI.</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0"/>
        <w:rPr>
          <w:sz w:val="4"/>
        </w:rPr>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rPr>
          <w:sz w:val="12"/>
        </w:r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