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731F1" w14:textId="70ACD9AB" w:rsidR="00FC6F10" w:rsidRDefault="00FC6F10" w:rsidP="00FC6F10">
      <w:pPr>
        <w:jc w:val="center"/>
        <w:rPr>
          <w:b/>
          <w:bCs/>
          <w:lang w:val="en-GB"/>
        </w:rPr>
      </w:pPr>
      <w:r>
        <w:rPr>
          <w:b/>
          <w:bCs/>
          <w:lang w:val="en-GB"/>
        </w:rPr>
        <w:t>Draft version</w:t>
      </w:r>
    </w:p>
    <w:p w14:paraId="480FA051" w14:textId="38E64739" w:rsidR="008C35BB" w:rsidRPr="008C35BB" w:rsidRDefault="008C35BB" w:rsidP="008C35BB">
      <w:pPr>
        <w:rPr>
          <w:b/>
          <w:bCs/>
          <w:lang w:val="en-GB"/>
        </w:rPr>
      </w:pPr>
      <w:r w:rsidRPr="008C35BB">
        <w:rPr>
          <w:b/>
          <w:bCs/>
          <w:lang w:val="en-GB"/>
        </w:rPr>
        <w:t xml:space="preserve">Model fitting </w:t>
      </w:r>
    </w:p>
    <w:p w14:paraId="1A860E82" w14:textId="77777777" w:rsidR="008C35BB" w:rsidRPr="008C35BB" w:rsidRDefault="008C35BB" w:rsidP="008C35BB">
      <w:pPr>
        <w:rPr>
          <w:lang w:val="en-GB"/>
        </w:rPr>
      </w:pPr>
      <w:r w:rsidRPr="008C35BB">
        <w:rPr>
          <w:lang w:val="en-GB"/>
        </w:rPr>
        <w:t>A two-way analysis of variance (ANOVA) was initially conducted to examine the effects of treatment duration (Short vs. Long), weight gain (Slight, Moderate, Substantial), and their interaction on hospital length of stay. Examination of the residuals from the model fitted to the raw outcome variable indicated deviations from normality and heteroscedasticity, including a funnel-shaped residual plot and a significant Shapiro–Wilk test (W = 0.954, p = 0.024).</w:t>
      </w:r>
    </w:p>
    <w:p w14:paraId="7A493ECD" w14:textId="15C56C5D" w:rsidR="008C35BB" w:rsidRPr="008C35BB" w:rsidRDefault="008C35BB" w:rsidP="008C35BB">
      <w:pPr>
        <w:rPr>
          <w:lang w:val="en-GB"/>
        </w:rPr>
      </w:pPr>
      <w:r w:rsidRPr="008C35BB">
        <w:rPr>
          <w:lang w:val="en-GB"/>
        </w:rPr>
        <w:t>A Box–Cox procedure suggested a logarithmic transformation of the outcome variable. Accordingly, the dependent variable was transformed as log(Days + 1). Diagnostic checks on the transformed model indicated approximate normality of residuals (Shapiro–Wilk W = 0.964, p = 0.073) and homogeneity of variance, satisfying the assumptions of ANOVA.</w:t>
      </w:r>
    </w:p>
    <w:p w14:paraId="66FB35FB" w14:textId="77777777" w:rsidR="008C35BB" w:rsidRPr="008C35BB" w:rsidRDefault="008C35BB" w:rsidP="008C35BB">
      <w:pPr>
        <w:rPr>
          <w:b/>
          <w:bCs/>
          <w:lang w:val="en-GB"/>
        </w:rPr>
      </w:pPr>
      <w:r w:rsidRPr="008C35BB">
        <w:rPr>
          <w:b/>
          <w:bCs/>
          <w:lang w:val="en-GB"/>
        </w:rPr>
        <w:t>Two-way ANOVA results</w:t>
      </w:r>
    </w:p>
    <w:p w14:paraId="4E52D398" w14:textId="77777777" w:rsidR="008C35BB" w:rsidRPr="008C35BB" w:rsidRDefault="008C35BB" w:rsidP="008C35BB">
      <w:pPr>
        <w:rPr>
          <w:lang w:val="en-GB"/>
        </w:rPr>
      </w:pPr>
      <w:r w:rsidRPr="008C35BB">
        <w:rPr>
          <w:lang w:val="en-GB"/>
        </w:rPr>
        <w:t>The full two-way ANOVA including the interaction term was fitted:</w:t>
      </w:r>
    </w:p>
    <w:p w14:paraId="5A8C6042" w14:textId="2545516E" w:rsidR="008C35BB" w:rsidRPr="008C35BB" w:rsidRDefault="008C35BB" w:rsidP="008C35BB">
      <w:pPr>
        <w:rPr>
          <w:lang w:val="en-GB"/>
        </w:rPr>
      </w:pPr>
      <m:oMathPara>
        <m:oMath>
          <m:r>
            <m:rPr>
              <m:sty m:val="p"/>
            </m:rPr>
            <w:rPr>
              <w:rFonts w:ascii="Cambria Math" w:hAnsi="Cambria Math"/>
              <w:lang w:val="en-GB"/>
            </w:rPr>
            <m:t>log</m:t>
          </m:r>
          <m:r>
            <w:rPr>
              <w:rFonts w:ascii="Cambria Math" w:hAnsi="Cambria Math"/>
              <w:lang w:val="en-GB"/>
            </w:rPr>
            <m:t>⁡(</m:t>
          </m:r>
          <m:sSub>
            <m:sSubPr>
              <m:ctrlPr>
                <w:rPr>
                  <w:rFonts w:ascii="Cambria Math" w:hAnsi="Cambria Math"/>
                </w:rPr>
              </m:ctrlPr>
            </m:sSubPr>
            <m:e>
              <m:r>
                <m:rPr>
                  <m:nor/>
                </m:rPr>
                <w:rPr>
                  <w:lang w:val="en-GB"/>
                </w:rPr>
                <m:t>Days</m:t>
              </m:r>
            </m:e>
            <m:sub>
              <m:r>
                <w:rPr>
                  <w:rFonts w:ascii="Cambria Math" w:hAnsi="Cambria Math"/>
                </w:rPr>
                <m:t>ijk</m:t>
              </m:r>
            </m:sub>
          </m:sSub>
          <m:r>
            <w:rPr>
              <w:rFonts w:ascii="Cambria Math" w:hAnsi="Cambria Math"/>
              <w:lang w:val="en-GB"/>
            </w:rPr>
            <m:t>+1)=</m:t>
          </m:r>
          <m:r>
            <w:rPr>
              <w:rFonts w:ascii="Cambria Math" w:hAnsi="Cambria Math"/>
            </w:rPr>
            <m:t>μ</m:t>
          </m:r>
          <m:r>
            <w:rPr>
              <w:rFonts w:ascii="Cambria Math" w:hAnsi="Cambria Math"/>
              <w:lang w:val="en-GB"/>
            </w:rPr>
            <m:t>+</m:t>
          </m:r>
          <m:sSub>
            <m:sSubPr>
              <m:ctrlPr>
                <w:rPr>
                  <w:rFonts w:ascii="Cambria Math" w:hAnsi="Cambria Math"/>
                </w:rPr>
              </m:ctrlPr>
            </m:sSubPr>
            <m:e>
              <m:r>
                <m:rPr>
                  <m:nor/>
                </m:rPr>
                <w:rPr>
                  <w:lang w:val="en-GB"/>
                </w:rPr>
                <m:t>Duration</m:t>
              </m:r>
            </m:e>
            <m:sub>
              <m:r>
                <w:rPr>
                  <w:rFonts w:ascii="Cambria Math" w:hAnsi="Cambria Math"/>
                </w:rPr>
                <m:t>i</m:t>
              </m:r>
            </m:sub>
          </m:sSub>
          <m:r>
            <w:rPr>
              <w:rFonts w:ascii="Cambria Math" w:hAnsi="Cambria Math"/>
              <w:lang w:val="en-GB"/>
            </w:rPr>
            <m:t>+</m:t>
          </m:r>
          <m:sSub>
            <m:sSubPr>
              <m:ctrlPr>
                <w:rPr>
                  <w:rFonts w:ascii="Cambria Math" w:hAnsi="Cambria Math"/>
                </w:rPr>
              </m:ctrlPr>
            </m:sSubPr>
            <m:e>
              <m:r>
                <m:rPr>
                  <m:nor/>
                </m:rPr>
                <w:rPr>
                  <w:lang w:val="en-GB"/>
                </w:rPr>
                <m:t>WeightGain</m:t>
              </m:r>
            </m:e>
            <m:sub>
              <m:r>
                <w:rPr>
                  <w:rFonts w:ascii="Cambria Math" w:hAnsi="Cambria Math"/>
                </w:rPr>
                <m:t>j</m:t>
              </m:r>
            </m:sub>
          </m:sSub>
          <m:r>
            <w:rPr>
              <w:rFonts w:ascii="Cambria Math" w:hAnsi="Cambria Math"/>
              <w:lang w:val="en-GB"/>
            </w:rPr>
            <m:t>+(</m:t>
          </m:r>
          <m:r>
            <m:rPr>
              <m:nor/>
            </m:rPr>
            <w:rPr>
              <w:lang w:val="en-GB"/>
            </w:rPr>
            <m:t>Duration</m:t>
          </m:r>
          <m:r>
            <w:rPr>
              <w:rFonts w:ascii="Cambria Math" w:hAnsi="Cambria Math"/>
              <w:lang w:val="en-GB"/>
            </w:rPr>
            <m:t>×</m:t>
          </m:r>
          <m:r>
            <m:rPr>
              <m:nor/>
            </m:rPr>
            <w:rPr>
              <w:lang w:val="en-GB"/>
            </w:rPr>
            <m:t>WeightGain</m:t>
          </m:r>
          <m:sSub>
            <m:sSubPr>
              <m:ctrlPr>
                <w:rPr>
                  <w:rFonts w:ascii="Cambria Math" w:hAnsi="Cambria Math"/>
                </w:rPr>
              </m:ctrlPr>
            </m:sSubPr>
            <m:e>
              <m:r>
                <w:rPr>
                  <w:rFonts w:ascii="Cambria Math" w:hAnsi="Cambria Math"/>
                  <w:lang w:val="en-GB"/>
                </w:rPr>
                <m:t>)</m:t>
              </m:r>
            </m:e>
            <m:sub>
              <m:r>
                <w:rPr>
                  <w:rFonts w:ascii="Cambria Math" w:hAnsi="Cambria Math"/>
                </w:rPr>
                <m:t>ij</m:t>
              </m:r>
            </m:sub>
          </m:sSub>
          <m:r>
            <w:rPr>
              <w:rFonts w:ascii="Cambria Math" w:hAnsi="Cambria Math"/>
              <w:lang w:val="en-GB"/>
            </w:rPr>
            <m:t>+</m:t>
          </m:r>
          <m:sSub>
            <m:sSubPr>
              <m:ctrlPr>
                <w:rPr>
                  <w:rFonts w:ascii="Cambria Math" w:hAnsi="Cambria Math"/>
                </w:rPr>
              </m:ctrlPr>
            </m:sSubPr>
            <m:e>
              <m:r>
                <w:rPr>
                  <w:rFonts w:ascii="Cambria Math" w:hAnsi="Cambria Math"/>
                </w:rPr>
                <m:t>ε</m:t>
              </m:r>
            </m:e>
            <m:sub>
              <m:r>
                <w:rPr>
                  <w:rFonts w:ascii="Cambria Math" w:hAnsi="Cambria Math"/>
                </w:rPr>
                <m:t>ijk</m:t>
              </m:r>
            </m:sub>
          </m:sSub>
          <m:r>
            <w:rPr>
              <w:lang w:val="en-GB"/>
            </w:rPr>
            <w:br/>
          </m:r>
        </m:oMath>
      </m:oMathPara>
    </w:p>
    <w:p w14:paraId="5655AF59" w14:textId="77777777" w:rsidR="008C35BB" w:rsidRPr="008C35BB" w:rsidRDefault="008C35BB" w:rsidP="008C35BB">
      <w:pPr>
        <w:rPr>
          <w:lang w:val="en-GB"/>
        </w:rPr>
      </w:pPr>
      <w:r w:rsidRPr="008C35BB">
        <w:rPr>
          <w:lang w:val="en-GB"/>
        </w:rPr>
        <w:t xml:space="preserve">The interaction between Duration and </w:t>
      </w:r>
      <w:proofErr w:type="spellStart"/>
      <w:r w:rsidRPr="008C35BB">
        <w:rPr>
          <w:lang w:val="en-GB"/>
        </w:rPr>
        <w:t>WeightGain</w:t>
      </w:r>
      <w:proofErr w:type="spellEnd"/>
      <w:r w:rsidRPr="008C35BB">
        <w:rPr>
          <w:lang w:val="en-GB"/>
        </w:rPr>
        <w:t xml:space="preserve"> was not significant (F(2, 54) = 0.59, p = 0.557), indicating that the effect of weight gain on hospital stay does not depend on treatment duration, and vice versa. Consequently, the interaction term was removed, and the analysis focused on the main effects.</w:t>
      </w:r>
    </w:p>
    <w:p w14:paraId="3034CE56" w14:textId="77777777" w:rsidR="008C35BB" w:rsidRPr="008C35BB" w:rsidRDefault="008C35BB" w:rsidP="008C35BB">
      <w:pPr>
        <w:rPr>
          <w:lang w:val="en-GB"/>
        </w:rPr>
      </w:pPr>
      <w:r w:rsidRPr="008C35BB">
        <w:rPr>
          <w:lang w:val="en-GB"/>
        </w:rPr>
        <w:t>The reduced model including only main effects showed statistically significant effects for both factors:</w:t>
      </w:r>
    </w:p>
    <w:p w14:paraId="74DC8D62" w14:textId="77777777" w:rsidR="008C35BB" w:rsidRPr="008C35BB" w:rsidRDefault="008C35BB" w:rsidP="008C35BB">
      <w:proofErr w:type="spellStart"/>
      <w:r w:rsidRPr="008C35BB">
        <w:t>WeightGain</w:t>
      </w:r>
      <w:proofErr w:type="spellEnd"/>
      <w:r w:rsidRPr="008C35BB">
        <w:t xml:space="preserve"> (F(2, 56) = 16.04, p &lt; 0.001)</w:t>
      </w:r>
    </w:p>
    <w:p w14:paraId="4C28E821" w14:textId="77777777" w:rsidR="008C35BB" w:rsidRPr="008C35BB" w:rsidRDefault="008C35BB" w:rsidP="008C35BB">
      <w:proofErr w:type="spellStart"/>
      <w:r w:rsidRPr="008C35BB">
        <w:t>Duration</w:t>
      </w:r>
      <w:proofErr w:type="spellEnd"/>
      <w:r w:rsidRPr="008C35BB">
        <w:t xml:space="preserve"> (F(1, 56) = 4.42, p = 0.040)</w:t>
      </w:r>
    </w:p>
    <w:p w14:paraId="2D117358" w14:textId="56FE44A1" w:rsidR="008C35BB" w:rsidRPr="008C35BB" w:rsidRDefault="008C35BB" w:rsidP="008C35BB">
      <w:pPr>
        <w:rPr>
          <w:lang w:val="en-GB"/>
        </w:rPr>
      </w:pPr>
      <w:r w:rsidRPr="008C35BB">
        <w:rPr>
          <w:lang w:val="en-GB"/>
        </w:rPr>
        <w:t>These results indicate that weight gain and treatment duration independently affect hospital stay.</w:t>
      </w:r>
    </w:p>
    <w:p w14:paraId="1182B995" w14:textId="20B221A5" w:rsidR="008C35BB" w:rsidRPr="008C35BB" w:rsidRDefault="008C35BB" w:rsidP="008C35BB">
      <w:pPr>
        <w:rPr>
          <w:b/>
          <w:bCs/>
        </w:rPr>
      </w:pPr>
      <w:proofErr w:type="spellStart"/>
      <w:r w:rsidRPr="008C35BB">
        <w:rPr>
          <w:b/>
          <w:bCs/>
        </w:rPr>
        <w:t>Interpretation</w:t>
      </w:r>
      <w:proofErr w:type="spellEnd"/>
      <w:r w:rsidRPr="008C35BB">
        <w:rPr>
          <w:b/>
          <w:bCs/>
        </w:rPr>
        <w:t xml:space="preserve"> of </w:t>
      </w:r>
      <w:proofErr w:type="spellStart"/>
      <w:r w:rsidRPr="008C35BB">
        <w:rPr>
          <w:b/>
          <w:bCs/>
        </w:rPr>
        <w:t>main</w:t>
      </w:r>
      <w:proofErr w:type="spellEnd"/>
      <w:r w:rsidRPr="008C35BB">
        <w:rPr>
          <w:b/>
          <w:bCs/>
        </w:rPr>
        <w:t xml:space="preserve"> </w:t>
      </w:r>
      <w:proofErr w:type="spellStart"/>
      <w:r w:rsidRPr="008C35BB">
        <w:rPr>
          <w:b/>
          <w:bCs/>
        </w:rPr>
        <w:t>effects</w:t>
      </w:r>
      <w:proofErr w:type="spellEnd"/>
      <w:r w:rsidRPr="008C35BB">
        <w:rPr>
          <w:b/>
          <w:bCs/>
        </w:rPr>
        <w:t xml:space="preserve"> </w:t>
      </w:r>
    </w:p>
    <w:p w14:paraId="5F164EF6" w14:textId="77777777" w:rsidR="008C35BB" w:rsidRPr="008C35BB" w:rsidRDefault="008C35BB" w:rsidP="008C35BB">
      <w:pPr>
        <w:rPr>
          <w:lang w:val="en-GB"/>
        </w:rPr>
      </w:pPr>
      <w:proofErr w:type="spellStart"/>
      <w:r w:rsidRPr="008C35BB">
        <w:rPr>
          <w:highlight w:val="yellow"/>
          <w:lang w:val="en-GB"/>
        </w:rPr>
        <w:t>WeightGain</w:t>
      </w:r>
      <w:proofErr w:type="spellEnd"/>
      <w:r w:rsidRPr="008C35BB">
        <w:rPr>
          <w:lang w:val="en-GB"/>
        </w:rPr>
        <w:t>: Back-transformed estimates allow interpretation in terms of percentage change in hospital stay relative to the reference group (Slight weight gain):</w:t>
      </w:r>
    </w:p>
    <w:p w14:paraId="75E0184B" w14:textId="77777777" w:rsidR="008C35BB" w:rsidRPr="008C35BB" w:rsidRDefault="008C35BB" w:rsidP="008C35BB">
      <w:pPr>
        <w:rPr>
          <w:lang w:val="en-GB"/>
        </w:rPr>
      </w:pPr>
      <w:r w:rsidRPr="008C35BB">
        <w:rPr>
          <w:lang w:val="en-GB"/>
        </w:rPr>
        <w:t>Moderate vs Slight: +88% longer hospital stay (95% CI: 8% to 227%)</w:t>
      </w:r>
    </w:p>
    <w:p w14:paraId="3110E8C9" w14:textId="77777777" w:rsidR="008C35BB" w:rsidRPr="008C35BB" w:rsidRDefault="008C35BB" w:rsidP="008C35BB">
      <w:pPr>
        <w:rPr>
          <w:lang w:val="en-GB"/>
        </w:rPr>
      </w:pPr>
      <w:r w:rsidRPr="008C35BB">
        <w:rPr>
          <w:lang w:val="en-GB"/>
        </w:rPr>
        <w:t>Substantial vs Slight: +268% longer hospital stay (95% CI: 112% to 540%)</w:t>
      </w:r>
    </w:p>
    <w:p w14:paraId="70BF4474" w14:textId="77777777" w:rsidR="008C35BB" w:rsidRDefault="008C35BB" w:rsidP="008C35BB">
      <w:pPr>
        <w:rPr>
          <w:lang w:val="en-GB"/>
        </w:rPr>
      </w:pPr>
      <w:r w:rsidRPr="008C35BB">
        <w:rPr>
          <w:lang w:val="en-GB"/>
        </w:rPr>
        <w:t>Substantial vs Moderate: +96% longer hospital stay (95% CI: 12% to 240%)</w:t>
      </w:r>
    </w:p>
    <w:p w14:paraId="74B20362" w14:textId="77777777" w:rsidR="008C35BB" w:rsidRPr="008C35BB" w:rsidRDefault="008C35BB" w:rsidP="008C35BB">
      <w:pPr>
        <w:rPr>
          <w:lang w:val="en-GB"/>
        </w:rPr>
      </w:pPr>
      <w:r w:rsidRPr="008C35BB">
        <w:rPr>
          <w:lang w:val="en-GB"/>
        </w:rPr>
        <w:t>These results indicate that higher levels of weight gain are associated with progressively longer hospital stays.</w:t>
      </w:r>
    </w:p>
    <w:p w14:paraId="13CCA415" w14:textId="77777777" w:rsidR="008C35BB" w:rsidRDefault="008C35BB" w:rsidP="008C35BB">
      <w:pPr>
        <w:rPr>
          <w:lang w:val="en-GB"/>
        </w:rPr>
      </w:pPr>
      <w:r w:rsidRPr="008C35BB">
        <w:rPr>
          <w:highlight w:val="yellow"/>
          <w:lang w:val="en-GB"/>
        </w:rPr>
        <w:t>Duration</w:t>
      </w:r>
      <w:r w:rsidRPr="008C35BB">
        <w:rPr>
          <w:lang w:val="en-GB"/>
        </w:rPr>
        <w:t xml:space="preserve">: Patients receiving Long treatment experienced a 32.6% shorter hospital stay compared to Short treatment (95% CI: −53.8% to −1.9%). </w:t>
      </w:r>
    </w:p>
    <w:p w14:paraId="6C38C082" w14:textId="2A18C865" w:rsidR="008C35BB" w:rsidRPr="008C35BB" w:rsidRDefault="008C35BB" w:rsidP="008C35BB">
      <w:pPr>
        <w:rPr>
          <w:lang w:val="en-GB"/>
        </w:rPr>
      </w:pPr>
      <w:r w:rsidRPr="008C35BB">
        <w:rPr>
          <w:lang w:val="en-GB"/>
        </w:rPr>
        <w:t>This suggests that longer treatment is independently associated with reduced hospitalization.</w:t>
      </w:r>
    </w:p>
    <w:p w14:paraId="16723E32" w14:textId="0BC436DB" w:rsidR="00881BDC" w:rsidRPr="008C35BB" w:rsidRDefault="00881BDC" w:rsidP="008C35BB">
      <w:pPr>
        <w:rPr>
          <w:lang w:val="en-GB"/>
        </w:rPr>
      </w:pPr>
    </w:p>
    <w:sectPr w:rsidR="00881BDC" w:rsidRPr="008C3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5778C"/>
    <w:multiLevelType w:val="multilevel"/>
    <w:tmpl w:val="22C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16B05"/>
    <w:multiLevelType w:val="multilevel"/>
    <w:tmpl w:val="D8560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651067">
    <w:abstractNumId w:val="0"/>
  </w:num>
  <w:num w:numId="2" w16cid:durableId="494956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5BB"/>
    <w:rsid w:val="00000C4E"/>
    <w:rsid w:val="001A1E68"/>
    <w:rsid w:val="00881BDC"/>
    <w:rsid w:val="008C35BB"/>
    <w:rsid w:val="00FC6F1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CD70"/>
  <w15:chartTrackingRefBased/>
  <w15:docId w15:val="{B399DC84-6AE5-46DD-807B-EDE56CA0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5BB"/>
    <w:rPr>
      <w:rFonts w:eastAsiaTheme="majorEastAsia" w:cstheme="majorBidi"/>
      <w:color w:val="272727" w:themeColor="text1" w:themeTint="D8"/>
    </w:rPr>
  </w:style>
  <w:style w:type="paragraph" w:styleId="Title">
    <w:name w:val="Title"/>
    <w:basedOn w:val="Normal"/>
    <w:next w:val="Normal"/>
    <w:link w:val="TitleChar"/>
    <w:uiPriority w:val="10"/>
    <w:qFormat/>
    <w:rsid w:val="008C3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5BB"/>
    <w:pPr>
      <w:spacing w:before="160"/>
      <w:jc w:val="center"/>
    </w:pPr>
    <w:rPr>
      <w:i/>
      <w:iCs/>
      <w:color w:val="404040" w:themeColor="text1" w:themeTint="BF"/>
    </w:rPr>
  </w:style>
  <w:style w:type="character" w:customStyle="1" w:styleId="QuoteChar">
    <w:name w:val="Quote Char"/>
    <w:basedOn w:val="DefaultParagraphFont"/>
    <w:link w:val="Quote"/>
    <w:uiPriority w:val="29"/>
    <w:rsid w:val="008C35BB"/>
    <w:rPr>
      <w:i/>
      <w:iCs/>
      <w:color w:val="404040" w:themeColor="text1" w:themeTint="BF"/>
    </w:rPr>
  </w:style>
  <w:style w:type="paragraph" w:styleId="ListParagraph">
    <w:name w:val="List Paragraph"/>
    <w:basedOn w:val="Normal"/>
    <w:uiPriority w:val="34"/>
    <w:qFormat/>
    <w:rsid w:val="008C35BB"/>
    <w:pPr>
      <w:ind w:left="720"/>
      <w:contextualSpacing/>
    </w:pPr>
  </w:style>
  <w:style w:type="character" w:styleId="IntenseEmphasis">
    <w:name w:val="Intense Emphasis"/>
    <w:basedOn w:val="DefaultParagraphFont"/>
    <w:uiPriority w:val="21"/>
    <w:qFormat/>
    <w:rsid w:val="008C35BB"/>
    <w:rPr>
      <w:i/>
      <w:iCs/>
      <w:color w:val="0F4761" w:themeColor="accent1" w:themeShade="BF"/>
    </w:rPr>
  </w:style>
  <w:style w:type="paragraph" w:styleId="IntenseQuote">
    <w:name w:val="Intense Quote"/>
    <w:basedOn w:val="Normal"/>
    <w:next w:val="Normal"/>
    <w:link w:val="IntenseQuoteChar"/>
    <w:uiPriority w:val="30"/>
    <w:qFormat/>
    <w:rsid w:val="008C3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5BB"/>
    <w:rPr>
      <w:i/>
      <w:iCs/>
      <w:color w:val="0F4761" w:themeColor="accent1" w:themeShade="BF"/>
    </w:rPr>
  </w:style>
  <w:style w:type="character" w:styleId="IntenseReference">
    <w:name w:val="Intense Reference"/>
    <w:basedOn w:val="DefaultParagraphFont"/>
    <w:uiPriority w:val="32"/>
    <w:qFormat/>
    <w:rsid w:val="008C3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Anyakudo</dc:creator>
  <cp:keywords/>
  <dc:description/>
  <cp:lastModifiedBy>Junior Anyakudo</cp:lastModifiedBy>
  <cp:revision>1</cp:revision>
  <dcterms:created xsi:type="dcterms:W3CDTF">2025-12-23T12:01:00Z</dcterms:created>
  <dcterms:modified xsi:type="dcterms:W3CDTF">2025-12-23T12:31:00Z</dcterms:modified>
</cp:coreProperties>
</file>