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12" w:lineRule="auto" w:before="0" w:after="360"/>
        <w:jc w:val="center"/>
      </w:pPr>
      <w:r>
        <w:rPr>
          <w:rFonts w:ascii="Arial" w:hAnsi="Arial" w:eastAsia="黑体"/>
          <w:b/>
          <w:i w:val="0"/>
          <w:color w:val="000000"/>
          <w:sz w:val="36"/>
        </w:rPr>
        <w:t>《碳迹·油链——一滴汽油的全生命周期碳足迹智能可视化系统》作品说明文档</w:t>
      </w:r>
    </w:p>
    <w:p>
      <w:pPr>
        <w:spacing w:line="312" w:lineRule="auto" w:before="0" w:after="120"/>
        <w:jc w:val="center"/>
      </w:pPr>
      <w:r>
        <w:rPr>
          <w:rFonts w:ascii="Arial" w:hAnsi="Arial" w:eastAsia="楷体"/>
          <w:b w:val="0"/>
          <w:i w:val="0"/>
          <w:color w:val="000000"/>
          <w:sz w:val="24"/>
        </w:rPr>
        <w:t>参赛赛道：第十四届全国大学生数字媒体科技作品及创意竞赛 · 指定命题【科技+创意，讲好中国故事】</w:t>
      </w:r>
    </w:p>
    <w:p>
      <w:pPr>
        <w:spacing w:line="312" w:lineRule="auto" w:before="0" w:after="120"/>
        <w:jc w:val="center"/>
      </w:pPr>
      <w:r>
        <w:rPr>
          <w:rFonts w:ascii="Arial" w:hAnsi="Arial" w:eastAsia="楷体"/>
          <w:b w:val="0"/>
          <w:i w:val="0"/>
          <w:color w:val="000000"/>
          <w:sz w:val="24"/>
        </w:rPr>
        <w:t>参赛学校：甘肃有色冶金职业技术学院</w:t>
      </w:r>
    </w:p>
    <w:p>
      <w:pPr>
        <w:spacing w:line="312" w:lineRule="auto" w:before="0" w:after="120"/>
        <w:jc w:val="center"/>
      </w:pPr>
      <w:r>
        <w:rPr>
          <w:rFonts w:ascii="Arial" w:hAnsi="Arial" w:eastAsia="楷体"/>
          <w:b w:val="0"/>
          <w:i w:val="0"/>
          <w:color w:val="000000"/>
          <w:sz w:val="24"/>
        </w:rPr>
        <w:t>团队成员：杨德运（负责人，学号 25410323，石油化工技术专业）、孟玉如、乔嘉悦</w:t>
      </w:r>
    </w:p>
    <w:p>
      <w:pPr>
        <w:spacing w:line="312" w:lineRule="auto" w:before="0" w:after="120"/>
        <w:jc w:val="center"/>
      </w:pPr>
      <w:r>
        <w:rPr>
          <w:rFonts w:ascii="Arial" w:hAnsi="Arial" w:eastAsia="楷体"/>
          <w:b w:val="0"/>
          <w:i w:val="0"/>
          <w:color w:val="000000"/>
          <w:sz w:val="24"/>
        </w:rPr>
        <w:t>指导教师：陈卫东、陈艳丽</w:t>
      </w:r>
    </w:p>
    <w:p>
      <w:pPr>
        <w:spacing w:line="312" w:lineRule="auto" w:before="0" w:after="120"/>
        <w:jc w:val="center"/>
      </w:pPr>
      <w:r>
        <w:rPr>
          <w:rFonts w:ascii="Arial" w:hAnsi="Arial" w:eastAsia="楷体"/>
          <w:b w:val="0"/>
          <w:i w:val="0"/>
          <w:color w:val="000000"/>
          <w:sz w:val="24"/>
        </w:rPr>
        <w:t>作品编号：________（报名系统生成后填写）</w:t>
      </w:r>
    </w:p>
    <w:p>
      <w:pPr>
        <w:spacing w:line="312" w:lineRule="auto" w:before="0" w:after="120"/>
        <w:jc w:val="center"/>
      </w:pPr>
      <w:r>
        <w:rPr>
          <w:rFonts w:ascii="Arial" w:hAnsi="Arial" w:eastAsia="楷体"/>
          <w:b w:val="0"/>
          <w:i w:val="0"/>
          <w:color w:val="000000"/>
          <w:sz w:val="24"/>
        </w:rPr>
        <w:t>文档状态：定稿</w:t>
      </w:r>
    </w:p>
    <w:p>
      <w:pPr>
        <w:spacing w:line="240" w:lineRule="auto" w:before="0" w:after="0"/>
        <w:jc w:val="both"/>
        <w:pBdr>
          <w:bottom w:val="single" w:sz="6" w:color="000000"/>
        </w:pBdr>
      </w:pPr>
    </w:p>
    <w:p>
      <w:pPr>
        <w:pStyle w:val="Heading1"/>
        <w:spacing w:line="312" w:lineRule="auto" w:before="280" w:after="120"/>
        <w:jc w:val="left"/>
      </w:pPr>
      <w:r>
        <w:rPr>
          <w:rFonts w:ascii="Arial" w:hAnsi="Arial" w:eastAsia="黑体"/>
          <w:b/>
          <w:i w:val="0"/>
          <w:color w:val="000000"/>
          <w:sz w:val="32"/>
        </w:rPr>
        <w:t>1 项目摘要</w:t>
      </w:r>
    </w:p>
    <w:p>
      <w:pPr>
        <w:spacing w:line="360" w:lineRule="auto" w:before="0" w:after="0"/>
        <w:ind w:firstLine="420"/>
        <w:jc w:val="both"/>
      </w:pPr>
      <w:r>
        <w:rPr>
          <w:rFonts w:ascii="Arial" w:hAnsi="Arial" w:eastAsia="宋体"/>
          <w:b w:val="0"/>
          <w:i w:val="0"/>
          <w:color w:val="000000"/>
          <w:sz w:val="24"/>
        </w:rPr>
        <w:t>在"双碳"目标背景下，社会大众对汽油碳排放的认知大多停留在汽车尾气，对汽油从地下原油到油箱的全链条碳排放缺乏直观了解。本作品以生命周期评价（LCA）为框架，构建《碳迹·油链——一滴汽油的全生命周期碳足迹智能可视化系统》，将一滴汽油全生命周期划分为原油勘探与开采、原油运输、炼油炼化、成品油配送储运、机动车终端燃烧五大环节，通过可交互的网页可视化系统呈现各环节碳排放数据与占比，并集成真实可用的 AI 碳足迹智能问答助手，面向石油化工专业学生与社会大众开展科普传播，讲好中国石化行业绿色低碳转型故事。</w:t>
      </w:r>
    </w:p>
    <w:p>
      <w:pPr>
        <w:pStyle w:val="ListBullet"/>
        <w:spacing w:line="360" w:lineRule="auto" w:after="0"/>
        <w:ind w:left="425"/>
      </w:pPr>
      <w:r>
        <w:rPr>
          <w:rFonts w:ascii="Arial" w:hAnsi="Arial" w:eastAsia="宋体"/>
          <w:b/>
          <w:i w:val="0"/>
          <w:color w:val="000000"/>
          <w:sz w:val="24"/>
        </w:rPr>
        <w:t>作品形态</w:t>
      </w:r>
      <w:r>
        <w:rPr>
          <w:rFonts w:ascii="Arial" w:hAnsi="Arial" w:eastAsia="宋体"/>
          <w:b w:val="0"/>
          <w:i w:val="0"/>
          <w:color w:val="000000"/>
          <w:sz w:val="24"/>
        </w:rPr>
        <w:t>：可访问的交互式网页可视化系统（HTML + CSS + JavaScript + ECharts + 大模型 API）</w:t>
      </w:r>
    </w:p>
    <w:p>
      <w:pPr>
        <w:pStyle w:val="ListBullet"/>
        <w:spacing w:line="360" w:lineRule="auto" w:after="0"/>
        <w:ind w:left="425"/>
      </w:pPr>
      <w:r>
        <w:rPr>
          <w:rFonts w:ascii="Arial" w:hAnsi="Arial" w:eastAsia="宋体"/>
          <w:b/>
          <w:i w:val="0"/>
          <w:color w:val="000000"/>
          <w:sz w:val="24"/>
        </w:rPr>
        <w:t>作品链接</w:t>
      </w:r>
      <w:r>
        <w:rPr>
          <w:rFonts w:ascii="Arial" w:hAnsi="Arial" w:eastAsia="宋体"/>
          <w:b w:val="0"/>
          <w:i w:val="0"/>
          <w:color w:val="000000"/>
          <w:sz w:val="24"/>
        </w:rPr>
        <w:t>：https://happies-yang.github.io/carbon-track/（已公开上线，可直接访问体验）</w:t>
      </w:r>
    </w:p>
    <w:p>
      <w:pPr>
        <w:pStyle w:val="ListBullet"/>
        <w:spacing w:line="360" w:lineRule="auto" w:after="0"/>
        <w:ind w:left="425"/>
      </w:pPr>
      <w:r>
        <w:rPr>
          <w:rFonts w:ascii="Arial" w:hAnsi="Arial" w:eastAsia="宋体"/>
          <w:b/>
          <w:i w:val="0"/>
          <w:color w:val="000000"/>
          <w:sz w:val="24"/>
        </w:rPr>
        <w:t>核心功能：五阶段碳足迹交互看板、数据来源标注、燃油车 vs 电动车对比、五阶段碳排放趋势折线图、多维对比雷达图、AI 碳足迹解读、AI 数据问答、AI 减排建议（含环节级减排建议）、AI 生成内容标识</w:t>
      </w:r>
    </w:p>
    <w:p>
      <w:pPr>
        <w:pStyle w:val="ListBullet"/>
        <w:spacing w:line="360" w:lineRule="auto" w:after="0"/>
        <w:ind w:left="425"/>
      </w:pPr>
      <w:r>
        <w:rPr>
          <w:rFonts w:ascii="Arial" w:hAnsi="Arial" w:eastAsia="宋体"/>
          <w:b/>
          <w:i w:val="0"/>
          <w:color w:val="000000"/>
          <w:sz w:val="24"/>
        </w:rPr>
        <w:t>面向受众</w:t>
      </w:r>
      <w:r>
        <w:rPr>
          <w:rFonts w:ascii="Arial" w:hAnsi="Arial" w:eastAsia="宋体"/>
          <w:b w:val="0"/>
          <w:i w:val="0"/>
          <w:color w:val="000000"/>
          <w:sz w:val="24"/>
        </w:rPr>
        <w:t>：石油化工类专业学生、行业科普受众</w:t>
      </w:r>
    </w:p>
    <w:p>
      <w:pPr>
        <w:pStyle w:val="Heading1"/>
        <w:spacing w:line="360" w:lineRule="auto" w:after="0"/>
        <w:ind w:left="425"/>
      </w:pPr>
      <w:r>
        <w:t>1.1 作品叙事定位：一滴汽油的中国之旅</w:t>
      </w:r>
    </w:p>
    <w:p>
      <w:pPr>
        <w:spacing w:line="360" w:lineRule="auto" w:after="0"/>
        <w:ind w:left="425"/>
      </w:pPr>
      <w:r>
        <w:t>本作品不止是一个数据可视化工具，更是一个中国故事。作品以"一滴汽油的中国之旅"为叙事主线，把汽油全生命周期碳足迹讲成七幕：序幕·一滴油、第一幕·地下的中国、第二幕·路上的中国、第三幕·燃烧的时代、转折·算得清、证据·数据会说话、落点·你我参与。</w:t>
      </w:r>
    </w:p>
    <w:p>
      <w:pPr>
        <w:spacing w:line="360" w:lineRule="auto" w:after="0"/>
        <w:ind w:left="425"/>
      </w:pPr>
      <w:r>
        <w:t>故事从新中国"贫油国"的历史讲起，途经世界第二大炼油国的产业坐标、"3060"双碳承诺与 GB/T 24067 碳足迹核算标准的落地，落笔于每一个普通人的出行选择——让"讲好中国双碳故事"从宏大叙事，落到一滴油、一次加油、一次出行。</w:t>
      </w:r>
    </w:p>
    <w:p>
      <w:pPr>
        <w:spacing w:line="360" w:lineRule="auto" w:after="0"/>
        <w:ind w:left="425"/>
      </w:pPr>
      <w:r>
        <w:t>叙事金句："这不是一个数据工具，而是一个中国故事""从说不清到算得清，是这滴油最大的时代变化""中国双碳故事，也是我的故事"。</w:t>
      </w:r>
    </w:p>
    <w:p>
      <w:pPr>
        <w:pStyle w:val="Heading1"/>
        <w:spacing w:line="312" w:lineRule="auto" w:before="280" w:after="120"/>
        <w:jc w:val="left"/>
      </w:pPr>
      <w:r>
        <w:rPr>
          <w:rFonts w:ascii="Arial" w:hAnsi="Arial" w:eastAsia="黑体"/>
          <w:b/>
          <w:i w:val="0"/>
          <w:color w:val="000000"/>
          <w:sz w:val="32"/>
        </w:rPr>
        <w:t>2 选题背景与选题价值</w:t>
      </w:r>
    </w:p>
    <w:p>
      <w:pPr>
        <w:spacing w:line="360" w:lineRule="auto" w:before="0" w:after="0"/>
        <w:ind w:firstLine="420"/>
        <w:jc w:val="both"/>
      </w:pPr>
      <w:r>
        <w:rPr>
          <w:rFonts w:ascii="Arial" w:hAnsi="Arial" w:eastAsia="宋体"/>
          <w:b/>
          <w:i w:val="0"/>
          <w:color w:val="000000"/>
          <w:sz w:val="24"/>
        </w:rPr>
        <w:t>（1）政策背景。</w:t>
      </w:r>
      <w:r>
        <w:rPr>
          <w:rFonts w:ascii="Arial" w:hAnsi="Arial" w:eastAsia="宋体"/>
          <w:b w:val="0"/>
          <w:i w:val="0"/>
          <w:color w:val="000000"/>
          <w:sz w:val="24"/>
        </w:rPr>
        <w:t xml:space="preserve"> 2020 年我国明确提出"二氧化碳排放力争于 2030 年前达到峰值，努力争取 2060 年前实现碳中和"的"双碳"目标。石油石化行业是能源消耗和碳排放重点行业，国家发改委、国家能源局等部门专门印发《炼油行业节能降碳专项行动计划》，推动炼油环节节能降碳。作为石油化工技术专业学生，关注汽油全链条碳排放既是专业学习要求，也是响应国家战略的应有之义。</w:t>
      </w:r>
    </w:p>
    <w:p>
      <w:pPr>
        <w:spacing w:line="360" w:lineRule="auto" w:before="0" w:after="0"/>
        <w:ind w:firstLine="420"/>
        <w:jc w:val="both"/>
      </w:pPr>
      <w:r>
        <w:rPr>
          <w:rFonts w:ascii="Arial" w:hAnsi="Arial" w:eastAsia="宋体"/>
          <w:b/>
          <w:i w:val="0"/>
          <w:color w:val="000000"/>
          <w:sz w:val="24"/>
        </w:rPr>
        <w:t>（2）科普现状与痛点。</w:t>
      </w:r>
      <w:r>
        <w:rPr>
          <w:rFonts w:ascii="Arial" w:hAnsi="Arial" w:eastAsia="宋体"/>
          <w:b w:val="0"/>
          <w:i w:val="0"/>
          <w:color w:val="000000"/>
          <w:sz w:val="24"/>
        </w:rPr>
        <w:t xml:space="preserve"> 大众对汽油碳排放的认知普遍停留在"汽车尾气"，不知道一升汽油从原油开采到燃烧的全生命周期会排放多少二氧化碳当量；而现有的碳足迹数据分散在学术论文、标准与行业报告之中，口径复杂、专业门槛高，普通公众与高职学生难以理解，缺少直观、可交互、可追溯的科普呈现形式。</w:t>
      </w:r>
    </w:p>
    <w:p>
      <w:pPr>
        <w:spacing w:line="360" w:lineRule="auto" w:before="0" w:after="0"/>
        <w:ind w:firstLine="420"/>
        <w:jc w:val="both"/>
      </w:pPr>
      <w:r>
        <w:rPr>
          <w:rFonts w:ascii="Arial" w:hAnsi="Arial" w:eastAsia="宋体"/>
          <w:b/>
          <w:i w:val="0"/>
          <w:color w:val="000000"/>
          <w:sz w:val="24"/>
        </w:rPr>
        <w:t>（3）本作品定位。</w:t>
      </w:r>
      <w:r>
        <w:rPr>
          <w:rFonts w:ascii="Arial" w:hAnsi="Arial" w:eastAsia="宋体"/>
          <w:b w:val="0"/>
          <w:i w:val="0"/>
          <w:color w:val="000000"/>
          <w:sz w:val="24"/>
        </w:rPr>
        <w:t xml:space="preserve"> 用"一滴汽油"讲清楚一个专业问题：以生命周期评价（LCA）为框架，把复杂的碳足迹核算结果转化为五阶段可视化看板，并借助真实大模型 AI 把"数据"变成"对话"，降低认知门槛，服务双碳科普教育，讲好中国石化行业绿色转型故事。</w:t>
      </w:r>
    </w:p>
    <w:p>
      <w:pPr>
        <w:pStyle w:val="Heading1"/>
        <w:spacing w:line="312" w:lineRule="auto" w:before="280" w:after="120"/>
        <w:jc w:val="left"/>
      </w:pPr>
      <w:r>
        <w:rPr>
          <w:rFonts w:ascii="Arial" w:hAnsi="Arial" w:eastAsia="黑体"/>
          <w:b/>
          <w:i w:val="0"/>
          <w:color w:val="000000"/>
          <w:sz w:val="32"/>
        </w:rPr>
        <w:t>3 系统 LCA 生命周期边界</w:t>
      </w:r>
    </w:p>
    <w:p>
      <w:pPr>
        <w:pStyle w:val="Heading2"/>
        <w:spacing w:line="312" w:lineRule="auto" w:before="220" w:after="100"/>
        <w:jc w:val="left"/>
      </w:pPr>
      <w:r>
        <w:rPr>
          <w:rFonts w:ascii="Arial" w:hAnsi="Arial" w:eastAsia="黑体"/>
          <w:b/>
          <w:i w:val="0"/>
          <w:color w:val="000000"/>
          <w:sz w:val="28"/>
        </w:rPr>
        <w:t>3.1 核算边界（包含）</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原油勘探与开采：钻井能耗、井口甲烷逸散</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原油运输：管道 / 油轮输送能耗</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炼油炼化：常减压蒸馏、加氢、制氢装置能耗</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成品油配送储运：管道 / 油罐车运输至加油站</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机动车终端燃烧：汽油燃烧直接排放</w:t>
      </w:r>
    </w:p>
    <w:p>
      <w:pPr>
        <w:pStyle w:val="Heading2"/>
        <w:spacing w:line="312" w:lineRule="auto" w:before="220" w:after="100"/>
        <w:jc w:val="left"/>
      </w:pPr>
      <w:r>
        <w:rPr>
          <w:rFonts w:ascii="Arial" w:hAnsi="Arial" w:eastAsia="黑体"/>
          <w:b/>
          <w:i w:val="0"/>
          <w:color w:val="000000"/>
          <w:sz w:val="28"/>
        </w:rPr>
        <w:t>3.2 排除边界（不纳入）</w:t>
      </w:r>
    </w:p>
    <w:p>
      <w:pPr>
        <w:pStyle w:val="ListBullet"/>
        <w:spacing w:line="360" w:lineRule="auto" w:after="0"/>
        <w:ind w:left="425"/>
      </w:pPr>
      <w:r>
        <w:rPr>
          <w:rFonts w:ascii="Arial" w:hAnsi="Arial" w:eastAsia="宋体"/>
          <w:b w:val="0"/>
          <w:i w:val="0"/>
          <w:color w:val="000000"/>
          <w:sz w:val="24"/>
        </w:rPr>
        <w:t>工厂基建、设备与机械制造</w:t>
      </w:r>
    </w:p>
    <w:p>
      <w:pPr>
        <w:pStyle w:val="ListBullet"/>
        <w:spacing w:line="360" w:lineRule="auto" w:after="0"/>
        <w:ind w:left="425"/>
      </w:pPr>
      <w:r>
        <w:rPr>
          <w:rFonts w:ascii="Arial" w:hAnsi="Arial" w:eastAsia="宋体"/>
          <w:b w:val="0"/>
          <w:i w:val="0"/>
          <w:color w:val="000000"/>
          <w:sz w:val="24"/>
        </w:rPr>
        <w:t>车辆制造与报废处置</w:t>
      </w:r>
    </w:p>
    <w:p>
      <w:pPr>
        <w:pStyle w:val="ListBullet"/>
        <w:spacing w:line="360" w:lineRule="auto" w:after="0"/>
        <w:ind w:left="425"/>
      </w:pPr>
      <w:r>
        <w:rPr>
          <w:rFonts w:ascii="Arial" w:hAnsi="Arial" w:eastAsia="宋体"/>
          <w:b w:val="0"/>
          <w:i w:val="0"/>
          <w:color w:val="000000"/>
          <w:sz w:val="24"/>
        </w:rPr>
        <w:t>加油站建设运营</w:t>
      </w:r>
    </w:p>
    <w:p>
      <w:pPr>
        <w:pStyle w:val="Heading2"/>
        <w:spacing w:line="312" w:lineRule="auto" w:before="220" w:after="100"/>
        <w:jc w:val="left"/>
      </w:pPr>
      <w:r>
        <w:rPr>
          <w:rFonts w:ascii="Arial" w:hAnsi="Arial" w:eastAsia="黑体"/>
          <w:b/>
          <w:i w:val="0"/>
          <w:color w:val="000000"/>
          <w:sz w:val="28"/>
        </w:rPr>
        <w:t>3.3 声明</w:t>
      </w:r>
    </w:p>
    <w:p>
      <w:pPr>
        <w:spacing w:line="360" w:lineRule="auto" w:before="0" w:after="0"/>
        <w:ind w:firstLine="420"/>
        <w:jc w:val="both"/>
      </w:pPr>
      <w:r>
        <w:rPr>
          <w:rFonts w:ascii="Arial" w:hAnsi="Arial" w:eastAsia="宋体"/>
          <w:b w:val="0"/>
          <w:i w:val="0"/>
          <w:color w:val="000000"/>
          <w:sz w:val="24"/>
        </w:rPr>
        <w:t>本系统核算口径为 Well-to-Wheel（井口到车轮），即"一滴汽油"燃料本身的全生命周期碳足迹，不含车辆制造等其他系统；系统数据为科普参考值，仅用于教学与科普展示，</w:t>
      </w:r>
      <w:r>
        <w:rPr>
          <w:rFonts w:ascii="Arial" w:hAnsi="Arial" w:eastAsia="宋体"/>
          <w:b/>
          <w:i w:val="0"/>
          <w:color w:val="000000"/>
          <w:sz w:val="24"/>
        </w:rPr>
        <w:t>不作为商业产品碳足迹认证依据</w:t>
      </w:r>
      <w:r>
        <w:rPr>
          <w:rFonts w:ascii="Arial" w:hAnsi="Arial" w:eastAsia="宋体"/>
          <w:b w:val="0"/>
          <w:i w:val="0"/>
          <w:color w:val="000000"/>
          <w:sz w:val="24"/>
        </w:rPr>
        <w:t>。</w:t>
      </w:r>
    </w:p>
    <w:p>
      <w:pPr>
        <w:pStyle w:val="Heading1"/>
        <w:spacing w:line="312" w:lineRule="auto" w:before="280" w:after="120"/>
        <w:jc w:val="left"/>
      </w:pPr>
      <w:r>
        <w:rPr>
          <w:rFonts w:ascii="Arial" w:hAnsi="Arial" w:eastAsia="黑体"/>
          <w:b/>
          <w:i w:val="0"/>
          <w:color w:val="000000"/>
          <w:sz w:val="32"/>
        </w:rPr>
        <w:t>4 国内外现状</w:t>
      </w:r>
    </w:p>
    <w:p>
      <w:pPr>
        <w:spacing w:line="360" w:lineRule="auto" w:before="0" w:after="0"/>
        <w:ind w:firstLine="420"/>
        <w:jc w:val="both"/>
      </w:pPr>
      <w:r>
        <w:rPr>
          <w:rFonts w:ascii="Arial" w:hAnsi="Arial" w:eastAsia="宋体"/>
          <w:b/>
          <w:i w:val="0"/>
          <w:color w:val="000000"/>
          <w:sz w:val="24"/>
        </w:rPr>
        <w:t>（1）研究层面。</w:t>
      </w:r>
      <w:r>
        <w:rPr>
          <w:rFonts w:ascii="Arial" w:hAnsi="Arial" w:eastAsia="宋体"/>
          <w:b w:val="0"/>
          <w:i w:val="0"/>
          <w:color w:val="000000"/>
          <w:sz w:val="24"/>
        </w:rPr>
        <w:t xml:space="preserve"> 国内外对汽油/石油产品碳足迹已有较系统的研究基础：国际方面以 IPCC 国家温室气体清单指南（2006/2019）的燃料排放因子方法学为通用基础；国内方面，中国石油大学（北京）等机构开展了国内石油生产碳排放强度研究，吴明等基于物质流和生命周期分析研究了石油行业碳排放（《资源科学》2018），零碳实验室发布了《GHG S3.3 中国汽油和柴油上游排放因子》（2024），为国内汽油上游环节提供了可追溯的排放因子数据。</w:t>
      </w:r>
    </w:p>
    <w:p>
      <w:pPr>
        <w:spacing w:line="360" w:lineRule="auto" w:before="0" w:after="0"/>
        <w:ind w:firstLine="420"/>
        <w:jc w:val="both"/>
      </w:pPr>
      <w:r>
        <w:rPr>
          <w:rFonts w:ascii="Arial" w:hAnsi="Arial" w:eastAsia="宋体"/>
          <w:b/>
          <w:i w:val="0"/>
          <w:color w:val="000000"/>
          <w:sz w:val="24"/>
        </w:rPr>
        <w:t>（2）标准与政策层面。</w:t>
      </w:r>
      <w:r>
        <w:rPr>
          <w:rFonts w:ascii="Arial" w:hAnsi="Arial" w:eastAsia="宋体"/>
          <w:b w:val="0"/>
          <w:i w:val="0"/>
          <w:color w:val="000000"/>
          <w:sz w:val="24"/>
        </w:rPr>
        <w:t xml:space="preserve"> 国家已发布产品碳足迹核算通用国家标准 GB/T 24067-2024《温室气体 产品碳足迹 量化要求和指南》，生态环境部于 2025 年 1 月建成上线国家温室气体排放因子数据库（2026 年发布第二版，共 576 个因子），并出台《炼油行业节能降碳专项行动计划》等政策文件推动炼化环节减排；上海市生态环境局《上海市温室气体排放核算和报告指南》亦给出了汽油直接排放因子的官方口径（3.105 tCO₂/吨）。官方标准与数据库体系日趋完善，但面向大众的汽油碳足迹科普仍缺乏统一、易懂的呈现口径。</w:t>
      </w:r>
    </w:p>
    <w:p>
      <w:pPr>
        <w:spacing w:line="360" w:lineRule="auto" w:before="0" w:after="0"/>
        <w:ind w:firstLine="420"/>
        <w:jc w:val="both"/>
      </w:pPr>
      <w:r>
        <w:rPr>
          <w:rFonts w:ascii="Arial" w:hAnsi="Arial" w:eastAsia="宋体"/>
          <w:b/>
          <w:i w:val="0"/>
          <w:color w:val="000000"/>
          <w:sz w:val="24"/>
        </w:rPr>
        <w:t>（3）作品形态层面。</w:t>
      </w:r>
      <w:r>
        <w:rPr>
          <w:rFonts w:ascii="Arial" w:hAnsi="Arial" w:eastAsia="宋体"/>
          <w:b w:val="0"/>
          <w:i w:val="0"/>
          <w:color w:val="000000"/>
          <w:sz w:val="24"/>
        </w:rPr>
        <w:t xml:space="preserve"> 现有成果多为论文、报告与行业数据表，专业门槛高；市场上虽有个别碳足迹计算器，但普遍存在"数值来源不透明、全生命周期链条不完整、缺少交互式可视化与智能问答"的问题。</w:t>
      </w:r>
      <w:r>
        <w:rPr>
          <w:rFonts w:ascii="Arial" w:hAnsi="Arial" w:eastAsia="宋体"/>
          <w:b/>
          <w:i w:val="0"/>
          <w:color w:val="000000"/>
          <w:sz w:val="24"/>
        </w:rPr>
        <w:t>面向高职学生与社会大众的交互式汽油碳足迹科普可视化作品仍属空白</w:t>
      </w:r>
      <w:r>
        <w:rPr>
          <w:rFonts w:ascii="Arial" w:hAnsi="Arial" w:eastAsia="宋体"/>
          <w:b w:val="0"/>
          <w:i w:val="0"/>
          <w:color w:val="000000"/>
          <w:sz w:val="24"/>
        </w:rPr>
        <w:t>，本作品正立足这一缺口。</w:t>
      </w:r>
    </w:p>
    <w:p>
      <w:pPr>
        <w:pStyle w:val="Heading1"/>
        <w:spacing w:line="312" w:lineRule="auto" w:before="280" w:after="120"/>
        <w:jc w:val="left"/>
      </w:pPr>
      <w:r>
        <w:rPr>
          <w:rFonts w:ascii="Arial" w:hAnsi="Arial" w:eastAsia="黑体"/>
          <w:b/>
          <w:i w:val="0"/>
          <w:color w:val="000000"/>
          <w:sz w:val="32"/>
        </w:rPr>
        <w:t>5 作品创新点</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i w:val="0"/>
          <w:color w:val="000000"/>
          <w:sz w:val="24"/>
        </w:rPr>
        <w:t>专业内容创新</w:t>
      </w:r>
      <w:r>
        <w:rPr>
          <w:rFonts w:ascii="Arial" w:hAnsi="Arial" w:eastAsia="宋体"/>
          <w:b w:val="0"/>
          <w:i w:val="0"/>
          <w:color w:val="000000"/>
          <w:sz w:val="24"/>
        </w:rPr>
        <w:t>：将汽油产品碳足迹 LCA 生命周期评价方法从专业标准转化为大众可理解的交互式可视化作品；</w:t>
      </w:r>
    </w:p>
    <w:p>
      <w:pPr>
        <w:spacing w:line="360" w:lineRule="auto" w:after="0"/>
        <w:ind w:left="425" w:hanging="227"/>
      </w:pPr>
      <w:r>
        <w:t>2. 叙事创新：以"一滴汽油的中国之旅"为叙事主线，用七幕结构讲述中国从"贫油国"到能源大国、迈向双碳强国的转型故事，把碳排放数据绑定到工艺节点与时代节点，让作品从"数据工具"升级为"数字中国故事"；</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i w:val="0"/>
          <w:color w:val="000000"/>
          <w:sz w:val="24"/>
        </w:rPr>
        <w:t>技术融合创新</w:t>
      </w:r>
      <w:r>
        <w:rPr>
          <w:rFonts w:ascii="Arial" w:hAnsi="Arial" w:eastAsia="宋体"/>
          <w:b w:val="0"/>
          <w:i w:val="0"/>
          <w:color w:val="000000"/>
          <w:sz w:val="24"/>
        </w:rPr>
        <w:t>：网页可视化（ECharts）+ 真实大模型 AI 问答结合，实现"看得见的数据"与"问得出的知识"双重体验；</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i w:val="0"/>
          <w:color w:val="000000"/>
          <w:sz w:val="24"/>
        </w:rPr>
        <w:t>数据可信创新</w:t>
      </w:r>
      <w:r>
        <w:rPr>
          <w:rFonts w:ascii="Arial" w:hAnsi="Arial" w:eastAsia="宋体"/>
          <w:b w:val="0"/>
          <w:i w:val="0"/>
          <w:color w:val="000000"/>
          <w:sz w:val="24"/>
        </w:rPr>
        <w:t>：每个环节数据均标注来源，并支持"查看数据来源"溯源弹窗，做到可追溯、可核算、可复算；</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i w:val="0"/>
          <w:color w:val="000000"/>
          <w:sz w:val="24"/>
        </w:rPr>
        <w:t>应用价值创新</w:t>
      </w:r>
      <w:r>
        <w:rPr>
          <w:rFonts w:ascii="Arial" w:hAnsi="Arial" w:eastAsia="宋体"/>
          <w:b w:val="0"/>
          <w:i w:val="0"/>
          <w:color w:val="000000"/>
          <w:sz w:val="24"/>
        </w:rPr>
        <w:t>：服务石化专业教学科普与大众传播，弥补面向高职学生的双碳科普数字素材缺口。</w:t>
      </w:r>
    </w:p>
    <w:p>
      <w:pPr>
        <w:pStyle w:val="Heading1"/>
        <w:spacing w:line="312" w:lineRule="auto" w:before="280" w:after="120"/>
        <w:jc w:val="left"/>
      </w:pPr>
      <w:r>
        <w:rPr>
          <w:rFonts w:ascii="Arial" w:hAnsi="Arial" w:eastAsia="黑体"/>
          <w:b/>
          <w:i w:val="0"/>
          <w:color w:val="000000"/>
          <w:sz w:val="32"/>
        </w:rPr>
        <w:t>6 技术实现</w:t>
      </w:r>
    </w:p>
    <w:p>
      <w:pPr>
        <w:pStyle w:val="Heading2"/>
        <w:spacing w:line="312" w:lineRule="auto" w:before="220" w:after="100"/>
        <w:jc w:val="left"/>
      </w:pPr>
      <w:r>
        <w:rPr>
          <w:rFonts w:ascii="Arial" w:hAnsi="Arial" w:eastAsia="黑体"/>
          <w:b/>
          <w:i w:val="0"/>
          <w:color w:val="000000"/>
          <w:sz w:val="28"/>
        </w:rPr>
        <w:t>6.1 整体架构</w:t>
      </w:r>
    </w:p>
    <w:p>
      <w:pPr>
        <w:pStyle w:val="ListBullet"/>
        <w:spacing w:line="360" w:lineRule="auto" w:after="0"/>
        <w:ind w:left="425"/>
      </w:pPr>
      <w:r>
        <w:rPr>
          <w:rFonts w:ascii="Arial" w:hAnsi="Arial" w:eastAsia="宋体"/>
          <w:b/>
          <w:i w:val="0"/>
          <w:color w:val="000000"/>
          <w:sz w:val="24"/>
        </w:rPr>
        <w:t>前端</w:t>
      </w:r>
      <w:r>
        <w:rPr>
          <w:rFonts w:ascii="Arial" w:hAnsi="Arial" w:eastAsia="宋体"/>
          <w:b w:val="0"/>
          <w:i w:val="0"/>
          <w:color w:val="000000"/>
          <w:sz w:val="24"/>
        </w:rPr>
        <w:t>：原生 HTML + CSS + JavaScript，单页应用（SPA），ECharts 5 图表库渲染可视化</w:t>
      </w:r>
    </w:p>
    <w:p>
      <w:pPr>
        <w:pStyle w:val="ListBullet"/>
        <w:spacing w:line="360" w:lineRule="auto" w:after="0"/>
        <w:ind w:left="425"/>
      </w:pPr>
      <w:r>
        <w:rPr>
          <w:rFonts w:ascii="Arial" w:hAnsi="Arial" w:eastAsia="宋体"/>
          <w:b/>
          <w:i w:val="0"/>
          <w:color w:val="000000"/>
          <w:sz w:val="24"/>
        </w:rPr>
        <w:t>数据层</w:t>
      </w:r>
      <w:r>
        <w:rPr>
          <w:rFonts w:ascii="Arial" w:hAnsi="Arial" w:eastAsia="宋体"/>
          <w:b w:val="0"/>
          <w:i w:val="0"/>
          <w:color w:val="000000"/>
          <w:sz w:val="24"/>
        </w:rPr>
        <w:t>：本地 js/data.js 结构化存储五阶段数据，每条数据包含：阶段名称、排放数值、占比、描述、关键要点、</w:t>
      </w:r>
      <w:r>
        <w:rPr>
          <w:rFonts w:ascii="Arial" w:hAnsi="Arial" w:eastAsia="宋体"/>
          <w:b/>
          <w:i w:val="0"/>
          <w:color w:val="000000"/>
          <w:sz w:val="24"/>
        </w:rPr>
        <w:t>数据来源</w:t>
      </w:r>
      <w:r>
        <w:rPr>
          <w:rFonts w:ascii="Arial" w:hAnsi="Arial" w:eastAsia="宋体"/>
          <w:b w:val="0"/>
          <w:i w:val="0"/>
          <w:color w:val="000000"/>
          <w:sz w:val="24"/>
        </w:rPr>
        <w:t>；修改数据只需更新数据文件，页面自动同步</w:t>
      </w:r>
    </w:p>
    <w:p>
      <w:pPr>
        <w:pStyle w:val="ListBullet"/>
        <w:spacing w:line="360" w:lineRule="auto" w:after="0"/>
        <w:ind w:left="425"/>
      </w:pPr>
      <w:r>
        <w:rPr>
          <w:rFonts w:ascii="Arial" w:hAnsi="Arial" w:eastAsia="宋体"/>
          <w:b/>
          <w:i w:val="0"/>
          <w:color w:val="000000"/>
          <w:sz w:val="24"/>
        </w:rPr>
        <w:t>AI 层</w:t>
      </w:r>
      <w:r>
        <w:rPr>
          <w:rFonts w:ascii="Arial" w:hAnsi="Arial" w:eastAsia="宋体"/>
          <w:b w:val="0"/>
          <w:i w:val="0"/>
          <w:color w:val="000000"/>
          <w:sz w:val="24"/>
        </w:rPr>
        <w:t>：调用阿里云百炼 · 通义千问（qwen-plus）大模型 API（OpenAI 兼容接口），通过系统提示词（System Prompt）限定知识库范围，实现三项 AI 功能</w:t>
      </w:r>
    </w:p>
    <w:p>
      <w:pPr>
        <w:pStyle w:val="ListBullet"/>
        <w:spacing w:line="360" w:lineRule="auto" w:after="0"/>
        <w:ind w:left="425"/>
      </w:pPr>
      <w:r>
        <w:rPr>
          <w:rFonts w:ascii="Arial" w:hAnsi="Arial" w:eastAsia="宋体"/>
          <w:b/>
          <w:i w:val="0"/>
          <w:color w:val="000000"/>
          <w:sz w:val="24"/>
        </w:rPr>
        <w:t>部署</w:t>
      </w:r>
      <w:r>
        <w:rPr>
          <w:rFonts w:ascii="Arial" w:hAnsi="Arial" w:eastAsia="宋体"/>
          <w:b w:val="0"/>
          <w:i w:val="0"/>
          <w:color w:val="000000"/>
          <w:sz w:val="24"/>
        </w:rPr>
        <w:t>：已部署至 GitHub Pages 静态托管并公开访问：https://happies-yang.github.io/carbon-track/，无需服务器、可长期访问验证；同时保留完整本地离线工程包</w:t>
      </w:r>
    </w:p>
    <w:p>
      <w:pPr>
        <w:pStyle w:val="Heading2"/>
        <w:spacing w:line="312" w:lineRule="auto" w:before="220" w:after="100"/>
        <w:jc w:val="left"/>
      </w:pPr>
      <w:r>
        <w:rPr>
          <w:rFonts w:ascii="Arial" w:hAnsi="Arial" w:eastAsia="黑体"/>
          <w:b/>
          <w:i w:val="0"/>
          <w:color w:val="000000"/>
          <w:sz w:val="28"/>
        </w:rPr>
        <w:t>6.2 页面模块</w:t>
      </w:r>
    </w:p>
    <w:p>
      <w:pPr>
        <w:spacing w:line="360" w:lineRule="auto" w:after="0"/>
        <w:ind w:left="425" w:hanging="227"/>
      </w:pPr>
      <w:r>
        <w:rPr>
          <w:rFonts w:ascii="Arial" w:hAnsi="Arial" w:eastAsia="宋体"/>
          <w:b w:val="0"/>
          <w:i w:val="0"/>
          <w:color w:val="000000"/>
          <w:sz w:val="24"/>
        </w:rPr>
        <w:t>1. 首页总览：全生命周期碳足迹总量、五阶段占比环形图、全链条分布柱状图、五阶段碳排放趋势折线图、系统核算边界、燃油车 vs 电动车入口卡片、关于本作品弹窗</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生命周期详情：五阶段点击切换，展示环节说明、柱状图、关键要点、数据来源弹窗</w:t>
      </w:r>
    </w:p>
    <w:p>
      <w:pPr>
        <w:spacing w:line="360" w:lineRule="auto" w:after="0"/>
        <w:ind w:left="425" w:hanging="227"/>
      </w:pPr>
      <w:r>
        <w:rPr>
          <w:rFonts w:ascii="Arial" w:hAnsi="Arial" w:eastAsia="宋体"/>
          <w:b w:val="0"/>
          <w:i w:val="0"/>
          <w:color w:val="000000"/>
          <w:sz w:val="24"/>
        </w:rPr>
        <w:t>3. 燃油车 vs 电动车：每公里碳排放对比柱状图 + 多维对比雷达图（科普定性评分）</w:t>
      </w:r>
    </w:p>
    <w:p>
      <w:pPr>
        <w:spacing w:line="360" w:lineRule="auto" w:after="0"/>
        <w:ind w:left="425" w:hanging="227"/>
      </w:pPr>
      <w:r>
        <w:rPr>
          <w:rFonts w:ascii="Arial" w:hAnsi="Arial" w:eastAsia="宋体"/>
          <w:b w:val="0"/>
          <w:i w:val="0"/>
          <w:color w:val="000000"/>
          <w:sz w:val="24"/>
        </w:rPr>
        <w:t>4. AI 助手：AI 环节解读、AI 数据问答、AI 减排建议（含阶段详情页一键生成环节级减排建议）、AI 生成内容标识</w:t>
      </w:r>
    </w:p>
    <w:p>
      <w:pPr>
        <w:pStyle w:val="Heading2"/>
        <w:spacing w:line="312" w:lineRule="auto" w:before="220" w:after="100"/>
        <w:jc w:val="left"/>
      </w:pPr>
      <w:r>
        <w:rPr>
          <w:rFonts w:ascii="Arial" w:hAnsi="Arial" w:eastAsia="黑体"/>
          <w:b/>
          <w:i w:val="0"/>
          <w:color w:val="000000"/>
          <w:sz w:val="28"/>
        </w:rPr>
        <w:t>6.3 AI 功能实现（真实可用）</w:t>
      </w:r>
    </w:p>
    <w:p>
      <w:pPr>
        <w:pStyle w:val="ListBullet"/>
        <w:spacing w:line="360" w:lineRule="auto" w:after="0"/>
        <w:ind w:left="425"/>
      </w:pPr>
      <w:r>
        <w:rPr>
          <w:rFonts w:ascii="Arial" w:hAnsi="Arial" w:eastAsia="宋体"/>
          <w:b/>
          <w:i w:val="0"/>
          <w:color w:val="000000"/>
          <w:sz w:val="24"/>
        </w:rPr>
        <w:t>AI 碳足迹解读</w:t>
      </w:r>
      <w:r>
        <w:rPr>
          <w:rFonts w:ascii="Arial" w:hAnsi="Arial" w:eastAsia="宋体"/>
          <w:b w:val="0"/>
          <w:i w:val="0"/>
          <w:color w:val="000000"/>
          <w:sz w:val="24"/>
        </w:rPr>
        <w:t>：点击生命周期环节，将环节数据传入大模型，生成面向大众的科普解读</w:t>
      </w:r>
    </w:p>
    <w:p>
      <w:pPr>
        <w:pStyle w:val="ListBullet"/>
        <w:spacing w:line="360" w:lineRule="auto" w:after="0"/>
        <w:ind w:left="425"/>
      </w:pPr>
      <w:r>
        <w:rPr>
          <w:rFonts w:ascii="Arial" w:hAnsi="Arial" w:eastAsia="宋体"/>
          <w:b/>
          <w:i w:val="0"/>
          <w:color w:val="000000"/>
          <w:sz w:val="24"/>
        </w:rPr>
        <w:t>AI 数据问答</w:t>
      </w:r>
      <w:r>
        <w:rPr>
          <w:rFonts w:ascii="Arial" w:hAnsi="Arial" w:eastAsia="宋体"/>
          <w:b w:val="0"/>
          <w:i w:val="0"/>
          <w:color w:val="000000"/>
          <w:sz w:val="24"/>
        </w:rPr>
        <w:t>：用户自由提问，模型仅基于系统知识库（引用的标准与文献）回答，超出知识库明确提示</w:t>
      </w:r>
    </w:p>
    <w:p>
      <w:pPr>
        <w:pStyle w:val="ListBullet"/>
        <w:spacing w:line="360" w:lineRule="auto" w:after="0"/>
        <w:ind w:left="425"/>
      </w:pPr>
      <w:r>
        <w:rPr>
          <w:rFonts w:ascii="Arial" w:hAnsi="Arial" w:eastAsia="宋体"/>
          <w:b/>
          <w:i w:val="0"/>
          <w:color w:val="000000"/>
          <w:sz w:val="24"/>
        </w:rPr>
        <w:t>AI 减排建议</w:t>
      </w:r>
      <w:r>
        <w:rPr>
          <w:rFonts w:ascii="Arial" w:hAnsi="Arial" w:eastAsia="宋体"/>
          <w:b w:val="0"/>
          <w:i w:val="0"/>
          <w:color w:val="000000"/>
          <w:sz w:val="24"/>
        </w:rPr>
        <w:t>：选择场景（学生 / 车主 / 公众），生成科普型减排建议</w:t>
      </w:r>
    </w:p>
    <w:p>
      <w:pPr>
        <w:pStyle w:val="ListBullet"/>
        <w:spacing w:line="360" w:lineRule="auto" w:after="0"/>
        <w:ind w:left="425"/>
      </w:pPr>
      <w:r>
        <w:rPr>
          <w:rFonts w:ascii="Arial" w:hAnsi="Arial" w:eastAsia="宋体"/>
          <w:b/>
          <w:i w:val="0"/>
          <w:color w:val="000000"/>
          <w:sz w:val="24"/>
        </w:rPr>
        <w:t>约束策略</w:t>
      </w:r>
      <w:r>
        <w:rPr>
          <w:rFonts w:ascii="Arial" w:hAnsi="Arial" w:eastAsia="宋体"/>
          <w:b w:val="0"/>
          <w:i w:val="0"/>
          <w:color w:val="000000"/>
          <w:sz w:val="24"/>
        </w:rPr>
        <w:t>：系统提示词强制限定模型只能使用项目资料，禁止编造数据，输出末尾附科普免责声明</w:t>
      </w:r>
    </w:p>
    <w:p>
      <w:pPr>
        <w:spacing w:line="360" w:lineRule="auto"/>
        <w:ind w:firstLine="420"/>
        <w:jc w:val="both"/>
      </w:pPr>
      <w:r>
        <w:rPr>
          <w:rFonts w:ascii="Arial" w:hAnsi="Arial" w:eastAsia="宋体"/>
          <w:sz w:val="24"/>
        </w:rPr>
        <w:t>AI 生成标识：所有 AI 回复末尾由前端强制附加“（AI 生成内容，仅供科普参考，不构成专业碳足迹认证依据）”标识，符合生成式 AI 内容标识要求</w:t>
      </w:r>
    </w:p>
    <w:p>
      <w:pPr>
        <w:spacing w:line="360" w:lineRule="auto"/>
        <w:ind w:firstLine="420"/>
        <w:jc w:val="both"/>
      </w:pPr>
      <w:r>
        <w:rPr>
          <w:rFonts w:ascii="Arial" w:hAnsi="Arial" w:eastAsia="宋体"/>
          <w:sz w:val="24"/>
        </w:rPr>
        <w:t>环节级减排建议：生命周期详情页每个环节提供“AI 减排建议”按钮，一键跳转 AI 助手并针对该环节生成减排建议</w:t>
      </w:r>
    </w:p>
    <w:p>
      <w:pPr>
        <w:pStyle w:val="ListBullet"/>
        <w:spacing w:line="360" w:lineRule="auto" w:after="0"/>
        <w:ind w:left="425"/>
      </w:pPr>
      <w:r>
        <w:rPr>
          <w:rFonts w:ascii="Arial" w:hAnsi="Arial" w:eastAsia="宋体"/>
          <w:b/>
          <w:i w:val="0"/>
          <w:color w:val="000000"/>
          <w:sz w:val="24"/>
        </w:rPr>
        <w:t>可验证性</w:t>
      </w:r>
      <w:r>
        <w:rPr>
          <w:rFonts w:ascii="Arial" w:hAnsi="Arial" w:eastAsia="宋体"/>
          <w:b w:val="0"/>
          <w:i w:val="0"/>
          <w:color w:val="000000"/>
          <w:sz w:val="24"/>
        </w:rPr>
        <w:t>：AI 问答已接入真实 API，演示视频中有完整实机录屏（提问"CCUS 是什么"，AI 实时返回专业回答），可当堂复现验证</w:t>
      </w:r>
    </w:p>
    <w:p>
      <w:pPr>
        <w:pStyle w:val="Heading1"/>
        <w:spacing w:line="312" w:lineRule="auto" w:before="280" w:after="120"/>
        <w:jc w:val="left"/>
      </w:pPr>
      <w:r>
        <w:rPr>
          <w:rFonts w:ascii="Arial" w:hAnsi="Arial" w:eastAsia="黑体"/>
          <w:b/>
          <w:i w:val="0"/>
          <w:color w:val="000000"/>
          <w:sz w:val="32"/>
        </w:rPr>
        <w:t>7 系统功能模块说明</w:t>
      </w:r>
    </w:p>
    <w:p>
      <w:pPr>
        <w:spacing w:line="360" w:lineRule="auto" w:before="0" w:after="0"/>
        <w:ind w:firstLine="420"/>
        <w:jc w:val="both"/>
      </w:pPr>
      <w:r>
        <w:rPr>
          <w:rFonts w:ascii="Arial" w:hAnsi="Arial" w:eastAsia="宋体"/>
          <w:b/>
          <w:i w:val="0"/>
          <w:color w:val="000000"/>
          <w:sz w:val="24"/>
        </w:rPr>
        <w:t>（1）首页总览模块。</w:t>
      </w:r>
      <w:r>
        <w:rPr>
          <w:rFonts w:ascii="Arial" w:hAnsi="Arial" w:eastAsia="宋体"/>
          <w:b w:val="0"/>
          <w:i w:val="0"/>
          <w:color w:val="000000"/>
          <w:sz w:val="24"/>
        </w:rPr>
        <w:t xml:space="preserve"> 展示一滴汽油全生命周期碳足迹总量 2.68 kgCO₂e/L；五阶段占比环形图直观呈现各环节贡献（燃烧环节占 82.5%，上游合计 17.5%）；全链条分布柱状图展示各环节绝对数值；页面同时给出系统核算边界说明。</w:t>
      </w:r>
    </w:p>
    <w:p>
      <w:pPr>
        <w:spacing w:line="360" w:lineRule="auto" w:before="0" w:after="0"/>
        <w:ind w:firstLine="420"/>
        <w:jc w:val="both"/>
      </w:pPr>
      <w:r>
        <w:rPr>
          <w:rFonts w:ascii="Arial" w:hAnsi="Arial" w:eastAsia="宋体"/>
          <w:b/>
          <w:i w:val="0"/>
          <w:color w:val="000000"/>
          <w:sz w:val="24"/>
        </w:rPr>
        <w:t>（2）生命周期详情模块。</w:t>
      </w:r>
      <w:r>
        <w:rPr>
          <w:rFonts w:ascii="Arial" w:hAnsi="Arial" w:eastAsia="宋体"/>
          <w:b w:val="0"/>
          <w:i w:val="0"/>
          <w:color w:val="000000"/>
          <w:sz w:val="24"/>
        </w:rPr>
        <w:t xml:space="preserve"> 顶部五个环节标签（开采 / 运输 / 炼化 / 配送 / 燃烧）可点击切换，每个环节展示：环节说明、排放数值与占比、关键要点（如开采环节的甲烷逸散、炼化环节的制氢排放、配送环节的储运损耗）、"查看数据来源"弹窗（标注该环节数据的文献出处与核算路径）。</w:t>
      </w:r>
    </w:p>
    <w:p>
      <w:pPr>
        <w:spacing w:line="360" w:lineRule="auto" w:before="0" w:after="0"/>
        <w:ind w:firstLine="420"/>
        <w:jc w:val="both"/>
      </w:pPr>
      <w:r>
        <w:rPr>
          <w:rFonts w:ascii="Arial" w:hAnsi="Arial" w:eastAsia="宋体"/>
          <w:b/>
          <w:i w:val="0"/>
          <w:color w:val="000000"/>
          <w:sz w:val="24"/>
        </w:rPr>
        <w:t>（3）燃油车 vs 电动车对比模块。 按每公里碳排放进行对比：燃油车约 0.21 kgCO₂/km（按本系统汽油全生命周期因子折算），电动车约 0.10 kgCO₂/km（按中国电网平均排放因子计算，含发电与上游排放），页面注明科普参考口径，帮助公众建立绿色出行认知。；电动车估算依据生态环境部《关于发布2024年电力碳足迹因子数据的公告》全国电力平均碳足迹因子 0.5777 kgCO₂e/kWh</w:t>
      </w:r>
    </w:p>
    <w:p>
      <w:pPr>
        <w:spacing w:line="360" w:lineRule="auto" w:before="0" w:after="0"/>
        <w:ind w:firstLine="420"/>
        <w:jc w:val="both"/>
      </w:pPr>
      <w:r>
        <w:rPr>
          <w:rFonts w:ascii="Arial" w:hAnsi="Arial" w:eastAsia="宋体"/>
          <w:b/>
          <w:i w:val="0"/>
          <w:color w:val="000000"/>
          <w:sz w:val="24"/>
        </w:rPr>
        <w:t>（4）AI 智能助手模块。</w:t>
      </w:r>
      <w:r>
        <w:rPr>
          <w:rFonts w:ascii="Arial" w:hAnsi="Arial" w:eastAsia="宋体"/>
          <w:b w:val="0"/>
          <w:i w:val="0"/>
          <w:color w:val="000000"/>
          <w:sz w:val="24"/>
        </w:rPr>
        <w:t xml:space="preserve"> 集成三项真实 AI 功能：①AI 解读当前环节；②AI 数据问答（自由提问，基于知识库回答）；③AI 减排建议（按学生 / 车主 / 公众场景生成）。AI 回答末尾统一附科普免责声明。</w:t>
      </w:r>
    </w:p>
    <w:p>
      <w:pPr>
        <w:pStyle w:val="Heading1"/>
        <w:spacing w:line="312" w:lineRule="auto" w:before="280" w:after="120"/>
        <w:jc w:val="left"/>
      </w:pPr>
      <w:r>
        <w:rPr>
          <w:rFonts w:ascii="Arial" w:hAnsi="Arial" w:eastAsia="黑体"/>
          <w:b/>
          <w:i w:val="0"/>
          <w:color w:val="000000"/>
          <w:sz w:val="32"/>
        </w:rPr>
        <w:t>8 数据来源</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2025.（主依据：上游开采/运输/炼化/分销）</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2006/2019 IPCC Guidelines for National Greenhouse Gas Inventories[R].（终端燃烧排放因子）</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2023.（开采环节依据）</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国家发展改革委、国家能源局等. 炼油行业节能降碳专项行动计划[Z].（炼化减排政策依据）</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朱珠等. 考虑配送成本和油库利用率的成品油配送系统多目标优化[J]. 石油科学通报, 2023, 8(2).（配送环节参考）</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2026.（官方排放因子数据库）</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上海市温室气体排放核算和报告指南[Z].（汽油直接排放 3.105 tCO₂/吨，密度按 0.73 kg/L，终端燃烧官方交叉验证）</w:t>
      </w:r>
    </w:p>
    <w:p>
      <w:pPr>
        <w:spacing w:line="360" w:lineRule="auto"/>
        <w:ind w:firstLine="420"/>
        <w:jc w:val="both"/>
      </w:pPr>
      <w:r>
        <w:rPr>
          <w:rFonts w:ascii="Arial" w:hAnsi="Arial" w:eastAsia="宋体"/>
          <w:sz w:val="24"/>
        </w:rPr>
        <w:t>8. 生态环境部. 关于发布2024年电力碳足迹因子数据的公告[Z]. 2025.（电动车对比核算依据：全国电力平均碳足迹因子 0.5777 kgCO₂e/kWh）</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12" w:lineRule="auto" w:after="80"/>
        <w:ind w:left="425"/>
      </w:pPr>
      <w:r>
        <w:rPr>
          <w:rFonts w:ascii="Arial" w:hAnsi="Arial" w:eastAsia="楷体"/>
          <w:b w:val="0"/>
          <w:i w:val="0"/>
          <w:color w:val="000000"/>
          <w:sz w:val="24"/>
        </w:rPr>
        <w:t>✅ 系统数据已核实更新：上游 0.4691 kgCO₂e/L（零碳实验室 2024，按汽油密度 0.74 kg/L 由 kgCO₂e/吨油品换算）+ 终端燃烧约 2.21 kgCO₂e/L（IPCC），全生命周期约 2.68 kgCO₂e/L。</w:t>
      </w:r>
    </w:p>
    <w:p>
      <w:pPr>
        <w:spacing w:line="312" w:lineRule="auto" w:after="80"/>
        <w:ind w:left="425"/>
      </w:pPr>
      <w:r>
        <w:rPr>
          <w:rFonts w:ascii="Arial" w:hAnsi="Arial" w:eastAsia="楷体"/>
          <w:b w:val="0"/>
          <w:i w:val="0"/>
          <w:color w:val="000000"/>
          <w:sz w:val="24"/>
        </w:rPr>
        <w:t>✅ 终端燃烧已做官方交叉验证：上海市生态环境局指南汽油直接排放 3.105 tCO₂/吨 ≈ 2.27 kgCO₂/L，与 IPCC 换算的 2.21 kgCO₂/L 差异 &lt;3%（密度取值 0.73/0.74 不同所致），互相印证。</w:t>
      </w:r>
    </w:p>
    <w:p>
      <w:pPr>
        <w:spacing w:line="312" w:lineRule="auto" w:after="80"/>
        <w:ind w:left="425"/>
      </w:pPr>
      <w:r>
        <w:rPr>
          <w:rFonts w:ascii="Arial" w:hAnsi="Arial" w:eastAsia="楷体"/>
          <w:b w:val="0"/>
          <w:i w:val="0"/>
          <w:color w:val="000000"/>
          <w:sz w:val="24"/>
        </w:rPr>
        <w:t>⚠️ 网页中每个阶段图表均设有"查看数据来源"弹窗，保证数据可追溯；各环节拆分中，开采与运输环节为文献合并值的合理拆分估算，页面与本文档均已如实标注。</w:t>
      </w:r>
    </w:p>
    <w:p>
      <w:pPr>
        <w:pStyle w:val="Heading1"/>
        <w:spacing w:line="312" w:lineRule="auto" w:before="280" w:after="120"/>
        <w:jc w:val="left"/>
      </w:pPr>
      <w:r>
        <w:rPr>
          <w:rFonts w:ascii="Arial" w:hAnsi="Arial" w:eastAsia="黑体"/>
          <w:b/>
          <w:i w:val="0"/>
          <w:color w:val="000000"/>
          <w:sz w:val="32"/>
        </w:rPr>
        <w:t>9 AI 功能设计与约束策略</w:t>
      </w:r>
    </w:p>
    <w:p>
      <w:pPr>
        <w:spacing w:line="360" w:lineRule="auto" w:before="0" w:after="0"/>
        <w:ind w:firstLine="420"/>
        <w:jc w:val="both"/>
      </w:pPr>
      <w:r>
        <w:rPr>
          <w:rFonts w:ascii="Arial" w:hAnsi="Arial" w:eastAsia="宋体"/>
          <w:b/>
          <w:i w:val="0"/>
          <w:color w:val="000000"/>
          <w:sz w:val="24"/>
        </w:rPr>
        <w:t>（1）模型与接入。 采用阿里云百炼 · 通义千问 qwen-plus 大模型，通过 OpenAI 兼容接口在前端直接调用（演示版直连；正式公开部署需后端代理转发，避免 API Key 暴露，如 Vercel Serverless / Cloudflare Workers），真实可演示。</w:t>
      </w:r>
    </w:p>
    <w:p>
      <w:pPr>
        <w:spacing w:line="360" w:lineRule="auto" w:before="0" w:after="0"/>
        <w:ind w:firstLine="420"/>
        <w:jc w:val="both"/>
      </w:pPr>
      <w:r>
        <w:rPr>
          <w:rFonts w:ascii="Arial" w:hAnsi="Arial" w:eastAsia="宋体"/>
          <w:b/>
          <w:i w:val="0"/>
          <w:color w:val="000000"/>
          <w:sz w:val="24"/>
        </w:rPr>
        <w:t>（2）知识库范围。</w:t>
      </w:r>
      <w:r>
        <w:rPr>
          <w:rFonts w:ascii="Arial" w:hAnsi="Arial" w:eastAsia="宋体"/>
          <w:b w:val="0"/>
          <w:i w:val="0"/>
          <w:color w:val="000000"/>
          <w:sz w:val="24"/>
        </w:rPr>
        <w:t xml:space="preserve"> AI 回答限定于本系统引用的资料范围：IPCC 排放因子方法学、零碳实验室中国汽油上游排放因子研究、中国石油大学开采碳排放研究、炼油行业节能降碳专项行动计划、成品油配送优化研究及页面展示的系统数据。</w:t>
      </w:r>
      <w:r>
        <w:rPr>
          <w:rFonts w:ascii="Arial" w:hAnsi="Arial" w:eastAsia="宋体"/>
          <w:b/>
          <w:i w:val="0"/>
          <w:color w:val="000000"/>
          <w:sz w:val="24"/>
        </w:rPr>
        <w:t>禁止回答知识库之外、且与系统主题无关的内容</w:t>
      </w:r>
      <w:r>
        <w:rPr>
          <w:rFonts w:ascii="Arial" w:hAnsi="Arial" w:eastAsia="宋体"/>
          <w:b w:val="0"/>
          <w:i w:val="0"/>
          <w:color w:val="000000"/>
          <w:sz w:val="24"/>
        </w:rPr>
        <w:t>。</w:t>
      </w:r>
    </w:p>
    <w:p>
      <w:pPr>
        <w:spacing w:line="360" w:lineRule="auto" w:before="0" w:after="0"/>
        <w:ind w:firstLine="420"/>
        <w:jc w:val="both"/>
      </w:pPr>
      <w:r>
        <w:rPr>
          <w:rFonts w:ascii="Arial" w:hAnsi="Arial" w:eastAsia="宋体"/>
          <w:b/>
          <w:i w:val="0"/>
          <w:color w:val="000000"/>
          <w:sz w:val="24"/>
        </w:rPr>
        <w:t>（3）系统提示词策略。</w:t>
      </w:r>
      <w:r>
        <w:rPr>
          <w:rFonts w:ascii="Arial" w:hAnsi="Arial" w:eastAsia="宋体"/>
          <w:b w:val="0"/>
          <w:i w:val="0"/>
          <w:color w:val="000000"/>
          <w:sz w:val="24"/>
        </w:rPr>
        <w:t xml:space="preserve"> 提示词明确要求：仅基于项目资料回答；涉及数值时优先引用页面数据（如 2.68 kgCO₂e/L、占比 82.5%）；不得编造数据与来源；用户问题超出知识库时明确说明"该内容不在本系统资料范围内"。</w:t>
      </w:r>
    </w:p>
    <w:p>
      <w:pPr>
        <w:spacing w:line="360" w:lineRule="auto" w:before="0" w:after="0"/>
        <w:ind w:firstLine="420"/>
        <w:jc w:val="both"/>
      </w:pPr>
      <w:r>
        <w:rPr>
          <w:rFonts w:ascii="Arial" w:hAnsi="Arial" w:eastAsia="宋体"/>
          <w:b/>
          <w:i w:val="0"/>
          <w:color w:val="000000"/>
          <w:sz w:val="24"/>
        </w:rPr>
        <w:t>（4）越界处理与免责。 所有 AI 输出末尾统一附注："以上内容由 AI 生成，仅供科普参考，不构成专业碳足迹认证依据；精确数据以系统页面数据与作品说明文档为准。"防止 AI 回答被误用为权威结论。同时由前端代码强制附加“（AI 生成内容，仅供科普参考，不构成专业碳足迹认证依据）”标识，确保 AI 生成内容始终可辨识。</w:t>
      </w:r>
    </w:p>
    <w:p>
      <w:pPr>
        <w:spacing w:line="360" w:lineRule="auto" w:before="0" w:after="0"/>
        <w:ind w:firstLine="420"/>
        <w:jc w:val="both"/>
      </w:pPr>
      <w:r>
        <w:rPr>
          <w:rFonts w:ascii="Arial" w:hAnsi="Arial" w:eastAsia="宋体"/>
          <w:b/>
          <w:i w:val="0"/>
          <w:color w:val="000000"/>
          <w:sz w:val="24"/>
        </w:rPr>
        <w:t>（5）合规披露。</w:t>
      </w:r>
      <w:r>
        <w:rPr>
          <w:rFonts w:ascii="Arial" w:hAnsi="Arial" w:eastAsia="宋体"/>
          <w:b w:val="0"/>
          <w:i w:val="0"/>
          <w:color w:val="000000"/>
          <w:sz w:val="24"/>
        </w:rPr>
        <w:t xml:space="preserve"> 本作品已按竞赛要求如实填写《人工智能工具使用情况说明》，完整披露 AI 辅助开发、大模型 API 接入、文生图、视频制作等使用情况，全部可核验。</w:t>
      </w:r>
    </w:p>
    <w:p>
      <w:pPr>
        <w:pStyle w:val="Heading1"/>
        <w:spacing w:line="312" w:lineRule="auto" w:before="280" w:after="120"/>
        <w:jc w:val="left"/>
      </w:pPr>
      <w:r>
        <w:rPr>
          <w:rFonts w:ascii="Arial" w:hAnsi="Arial" w:eastAsia="黑体"/>
          <w:b/>
          <w:i w:val="0"/>
          <w:color w:val="000000"/>
          <w:sz w:val="32"/>
        </w:rPr>
        <w:t>10 完成情况</w:t>
      </w:r>
    </w:p>
    <w:p>
      <w:pPr>
        <w:pStyle w:val="Heading2"/>
        <w:spacing w:line="312" w:lineRule="auto" w:before="220" w:after="100"/>
        <w:jc w:val="left"/>
      </w:pPr>
      <w:r>
        <w:rPr>
          <w:rFonts w:ascii="Arial" w:hAnsi="Arial" w:eastAsia="黑体"/>
          <w:b/>
          <w:i w:val="0"/>
          <w:color w:val="000000"/>
          <w:sz w:val="28"/>
        </w:rPr>
        <w:t>10.1 已完成</w:t>
      </w:r>
    </w:p>
    <w:p>
      <w:pPr>
        <w:pStyle w:val="ListBullet"/>
        <w:spacing w:line="360" w:lineRule="auto" w:after="0"/>
        <w:ind w:left="425"/>
      </w:pPr>
      <w:r>
        <w:rPr>
          <w:rFonts w:ascii="Arial" w:hAnsi="Arial" w:eastAsia="宋体"/>
          <w:b w:val="0"/>
          <w:i w:val="0"/>
          <w:color w:val="000000"/>
          <w:sz w:val="24"/>
        </w:rPr>
        <w:t>五阶段全生命周期碳足迹数据整理与核实（权威口径 2.68 kgCO₂e/L，数据可追溯、可核算）</w:t>
      </w:r>
    </w:p>
    <w:p>
      <w:pPr>
        <w:pStyle w:val="ListBullet"/>
        <w:spacing w:line="360" w:lineRule="auto" w:after="0"/>
        <w:ind w:left="425"/>
      </w:pPr>
      <w:r>
        <w:rPr>
          <w:rFonts w:ascii="Arial" w:hAnsi="Arial" w:eastAsia="宋体"/>
          <w:b w:val="0"/>
          <w:i w:val="0"/>
          <w:color w:val="000000"/>
          <w:sz w:val="24"/>
        </w:rPr>
        <w:t>网页可视化系统完整实现（首页总览、生命周期详情、燃油车 vs 电动车对比、AI 助手四模块）</w:t>
      </w:r>
    </w:p>
    <w:p>
      <w:pPr>
        <w:pStyle w:val="ListBullet"/>
        <w:spacing w:line="360" w:lineRule="auto" w:after="0"/>
        <w:ind w:left="425"/>
      </w:pPr>
      <w:r>
        <w:rPr>
          <w:rFonts w:ascii="Arial" w:hAnsi="Arial" w:eastAsia="宋体"/>
          <w:b w:val="0"/>
          <w:i w:val="0"/>
          <w:color w:val="000000"/>
          <w:sz w:val="24"/>
        </w:rPr>
        <w:t>AI 功能接入真实大模型 API（通义千问 qwen-plus），解读 / 问答 / 减排建议三项功能可实机演示</w:t>
      </w:r>
    </w:p>
    <w:p>
      <w:pPr>
        <w:pStyle w:val="ListBullet"/>
        <w:spacing w:line="360" w:lineRule="auto" w:after="0"/>
        <w:ind w:left="425"/>
      </w:pPr>
      <w:r>
        <w:rPr>
          <w:rFonts w:ascii="Arial" w:hAnsi="Arial" w:eastAsia="宋体"/>
          <w:b w:val="0"/>
          <w:i w:val="0"/>
          <w:color w:val="000000"/>
          <w:sz w:val="24"/>
        </w:rPr>
        <w:t>视觉素材制作（AI 生成 + PS 修正，页面配色统一）</w:t>
      </w:r>
    </w:p>
    <w:p>
      <w:pPr>
        <w:pStyle w:val="ListBullet"/>
        <w:spacing w:line="360" w:lineRule="auto" w:after="0"/>
        <w:ind w:left="425"/>
      </w:pPr>
      <w:r>
        <w:rPr>
          <w:rFonts w:ascii="Arial" w:hAnsi="Arial" w:eastAsia="宋体"/>
          <w:b w:val="0"/>
          <w:i w:val="0"/>
          <w:color w:val="000000"/>
          <w:sz w:val="24"/>
        </w:rPr>
        <w:t>静态部署上线：https://happies-yang.github.io/carbon-track/</w:t>
      </w:r>
    </w:p>
    <w:p>
      <w:pPr>
        <w:pStyle w:val="ListBullet"/>
        <w:spacing w:line="360" w:lineRule="auto" w:after="0"/>
        <w:ind w:left="425"/>
      </w:pPr>
      <w:r>
        <w:rPr>
          <w:rFonts w:ascii="Arial" w:hAnsi="Arial" w:eastAsia="宋体"/>
          <w:b w:val="0"/>
          <w:i w:val="0"/>
          <w:color w:val="000000"/>
          <w:sz w:val="24"/>
        </w:rPr>
        <w:t>3 分 38 秒演示视频（含真实网页录屏与 AI 实机演示）</w:t>
      </w:r>
    </w:p>
    <w:p>
      <w:pPr>
        <w:pStyle w:val="ListBullet"/>
        <w:spacing w:line="360" w:lineRule="auto" w:after="0"/>
        <w:ind w:left="425"/>
      </w:pPr>
      <w:r>
        <w:rPr>
          <w:rFonts w:ascii="Arial" w:hAnsi="Arial" w:eastAsia="宋体"/>
          <w:b w:val="0"/>
          <w:i w:val="0"/>
          <w:color w:val="000000"/>
          <w:sz w:val="24"/>
        </w:rPr>
        <w:t>作品说明文档、AI 使用情况说明、原创性与知识产权声明、答辩 PPT、评委问题清单</w:t>
      </w:r>
    </w:p>
    <w:p>
      <w:pPr>
        <w:pStyle w:val="Heading2"/>
        <w:spacing w:line="312" w:lineRule="auto" w:before="220" w:after="100"/>
        <w:jc w:val="left"/>
      </w:pPr>
      <w:r>
        <w:rPr>
          <w:rFonts w:ascii="Arial" w:hAnsi="Arial" w:eastAsia="黑体"/>
          <w:b/>
          <w:i w:val="0"/>
          <w:color w:val="000000"/>
          <w:sz w:val="28"/>
        </w:rPr>
        <w:t>10.2 后续迭代计划</w:t>
      </w:r>
    </w:p>
    <w:p>
      <w:pPr>
        <w:pStyle w:val="ListBullet"/>
        <w:spacing w:line="360" w:lineRule="auto" w:after="0"/>
        <w:ind w:left="425"/>
      </w:pPr>
      <w:r>
        <w:rPr>
          <w:rFonts w:ascii="Arial" w:hAnsi="Arial" w:eastAsia="宋体"/>
          <w:b w:val="0"/>
          <w:i w:val="0"/>
          <w:color w:val="000000"/>
          <w:sz w:val="24"/>
        </w:rPr>
        <w:t>数据随最新权威研究发布定期更新（架构上仅需更新数据文件）</w:t>
      </w:r>
    </w:p>
    <w:p>
      <w:pPr>
        <w:pStyle w:val="ListBullet"/>
        <w:spacing w:line="360" w:lineRule="auto" w:after="0"/>
        <w:ind w:left="425"/>
      </w:pPr>
      <w:r>
        <w:rPr>
          <w:rFonts w:ascii="Arial" w:hAnsi="Arial" w:eastAsia="宋体"/>
          <w:b w:val="0"/>
          <w:i w:val="0"/>
          <w:color w:val="000000"/>
          <w:sz w:val="24"/>
        </w:rPr>
        <w:t>AI 知识库扩展（炼化工艺细节、CCUS 案例等）</w:t>
      </w:r>
    </w:p>
    <w:p>
      <w:pPr>
        <w:pStyle w:val="ListBullet"/>
        <w:spacing w:line="360" w:lineRule="auto" w:after="0"/>
        <w:ind w:left="425"/>
      </w:pPr>
      <w:r>
        <w:rPr>
          <w:rFonts w:ascii="Arial" w:hAnsi="Arial" w:eastAsia="宋体"/>
          <w:b w:val="0"/>
          <w:i w:val="0"/>
          <w:color w:val="000000"/>
          <w:sz w:val="24"/>
        </w:rPr>
        <w:t>增加"个人低碳出行测算"入口，扩大科普传播面</w:t>
      </w:r>
    </w:p>
    <w:p>
      <w:pPr>
        <w:pStyle w:val="Heading1"/>
        <w:spacing w:line="312" w:lineRule="auto" w:before="280" w:after="120"/>
        <w:jc w:val="left"/>
      </w:pPr>
      <w:r>
        <w:rPr>
          <w:rFonts w:ascii="Arial" w:hAnsi="Arial" w:eastAsia="黑体"/>
          <w:b/>
          <w:i w:val="0"/>
          <w:color w:val="000000"/>
          <w:sz w:val="32"/>
        </w:rPr>
        <w:t>11 应用与传播价值</w:t>
      </w:r>
    </w:p>
    <w:p>
      <w:pPr>
        <w:spacing w:line="360" w:lineRule="auto" w:before="0" w:after="0"/>
        <w:ind w:firstLine="420"/>
        <w:jc w:val="both"/>
      </w:pPr>
      <w:r>
        <w:rPr>
          <w:rFonts w:ascii="Arial" w:hAnsi="Arial" w:eastAsia="宋体"/>
          <w:b/>
          <w:i w:val="0"/>
          <w:color w:val="000000"/>
          <w:sz w:val="24"/>
        </w:rPr>
        <w:t>（1）教学科普。</w:t>
      </w:r>
      <w:r>
        <w:rPr>
          <w:rFonts w:ascii="Arial" w:hAnsi="Arial" w:eastAsia="宋体"/>
          <w:b w:val="0"/>
          <w:i w:val="0"/>
          <w:color w:val="000000"/>
          <w:sz w:val="24"/>
        </w:rPr>
        <w:t xml:space="preserve"> 可作为石油化工技术专业课程（化工原理、油品分析、绿色化工等）的双碳教学辅助素材，也可用于中小学科普课堂，服务"双碳知识进课堂、进社区"。</w:t>
      </w:r>
    </w:p>
    <w:p>
      <w:pPr>
        <w:spacing w:line="360" w:lineRule="auto" w:before="0" w:after="0"/>
        <w:ind w:firstLine="420"/>
        <w:jc w:val="both"/>
      </w:pPr>
      <w:r>
        <w:rPr>
          <w:rFonts w:ascii="Arial" w:hAnsi="Arial" w:eastAsia="宋体"/>
          <w:b/>
          <w:i w:val="0"/>
          <w:color w:val="000000"/>
          <w:sz w:val="24"/>
        </w:rPr>
        <w:t>（2）行业宣传。</w:t>
      </w:r>
      <w:r>
        <w:rPr>
          <w:rFonts w:ascii="Arial" w:hAnsi="Arial" w:eastAsia="宋体"/>
          <w:b w:val="0"/>
          <w:i w:val="0"/>
          <w:color w:val="000000"/>
          <w:sz w:val="24"/>
        </w:rPr>
        <w:t xml:space="preserve"> 系统直观呈现炼化环节在汽油全生命周期中的排放占比与减排空间（如 CCUS 技术应用），可作为石化行业绿色转型宣传的科普窗口。</w:t>
      </w:r>
    </w:p>
    <w:p>
      <w:pPr>
        <w:spacing w:line="360" w:lineRule="auto" w:before="0" w:after="0"/>
        <w:ind w:firstLine="420"/>
        <w:jc w:val="both"/>
      </w:pPr>
      <w:r>
        <w:rPr>
          <w:rFonts w:ascii="Arial" w:hAnsi="Arial" w:eastAsia="宋体"/>
          <w:b/>
          <w:i w:val="0"/>
          <w:color w:val="000000"/>
          <w:sz w:val="24"/>
        </w:rPr>
        <w:t>（3）政策宣讲。</w:t>
      </w:r>
      <w:r>
        <w:rPr>
          <w:rFonts w:ascii="Arial" w:hAnsi="Arial" w:eastAsia="宋体"/>
          <w:b w:val="0"/>
          <w:i w:val="0"/>
          <w:color w:val="000000"/>
          <w:sz w:val="24"/>
        </w:rPr>
        <w:t xml:space="preserve"> 以可视化方式讲清"双碳"目标下汽油消费端的排放事实，配合绿色出行宣传与政策宣讲，讲好中国"双碳"故事。</w:t>
      </w:r>
    </w:p>
    <w:p>
      <w:pPr>
        <w:spacing w:line="360" w:lineRule="auto" w:before="0" w:after="0"/>
        <w:ind w:firstLine="420"/>
        <w:jc w:val="both"/>
      </w:pPr>
      <w:r>
        <w:rPr>
          <w:rFonts w:ascii="Arial" w:hAnsi="Arial" w:eastAsia="宋体"/>
          <w:b/>
          <w:i w:val="0"/>
          <w:color w:val="000000"/>
          <w:sz w:val="24"/>
        </w:rPr>
        <w:t>（4）传播适配。</w:t>
      </w:r>
      <w:r>
        <w:rPr>
          <w:rFonts w:ascii="Arial" w:hAnsi="Arial" w:eastAsia="宋体"/>
          <w:b w:val="0"/>
          <w:i w:val="0"/>
          <w:color w:val="000000"/>
          <w:sz w:val="24"/>
        </w:rPr>
        <w:t xml:space="preserve"> 系统可截图、录屏二次传播，演示视频可投放短视频平台，数据与口径均可溯源，适合面向公众的科普传播。</w:t>
      </w:r>
    </w:p>
    <w:p>
      <w:pPr>
        <w:spacing w:line="360" w:lineRule="auto" w:before="0" w:after="0"/>
        <w:ind w:firstLine="420"/>
        <w:jc w:val="both"/>
      </w:pPr>
      <w:r>
        <w:t>（5）讲好中国故事。 本作品以"一滴汽油"为切口，用七幕叙事讲清"中国双碳故事"——从大庆油田到 3060 目标、从 GB/T 24067 落地到你我参与，把国家战略转化为大众可感知、可参与的故事，契合竞赛指定命题"科技+创意，讲好中国故事"，具备向公众传播的现实感染力。</w:t>
      </w:r>
    </w:p>
    <w:p>
      <w:pPr>
        <w:spacing w:line="360" w:lineRule="auto" w:before="0" w:after="0"/>
        <w:ind w:firstLine="420"/>
        <w:jc w:val="both"/>
      </w:pPr>
      <w:r>
        <w:t>（6）典型传播场景。 作品面向校园课堂、社区科普、新媒体三大场景落地，均可在线打开、扫码访问、无需安装，适合现场演示与二次传播：</w:t>
      </w:r>
    </w:p>
    <w:p>
      <w:pPr>
        <w:spacing w:line="360" w:lineRule="auto" w:before="0" w:after="0"/>
        <w:ind w:firstLine="420"/>
        <w:jc w:val="both"/>
      </w:pPr>
      <w:r>
        <w:t>场景一 · 校园双碳课堂：面向石油化工类高职学生与中小学科普课堂。在《化工原理》《油品分析》《绿色化工》等课程中，教师以网页五阶段环形图讲解"加一升油排多少碳"，学生用 AI 助手现场提问炼化减排与 CCUS 原理；课后以页面截图制作手抄报、展板，延伸为"双碳知识进课堂"主题活动。</w:t>
      </w:r>
    </w:p>
    <w:p>
      <w:pPr>
        <w:spacing w:line="360" w:lineRule="auto" w:before="0" w:after="0"/>
        <w:ind w:firstLine="420"/>
        <w:jc w:val="both"/>
      </w:pPr>
      <w:r>
        <w:t>场景二 · 社区科普活动：面向社区居民与家庭用户。结合社区服务中心、街道宣传活动与"双碳知识进社区"摊位，志愿者用平板或大屏演示燃油车 vs 电动车对比页，引导居民现场算"自家出行碳账"，扫码在线体验；对比结论直观，适合老年人与亲子家庭理解。</w:t>
      </w:r>
    </w:p>
    <w:p>
      <w:pPr>
        <w:spacing w:line="360" w:lineRule="auto" w:before="0" w:after="0"/>
        <w:ind w:firstLine="420"/>
        <w:jc w:val="both"/>
      </w:pPr>
      <w:r>
        <w:t>场景三 · 新媒体传播：面向短视频与图文平台公众用户。以 3-5 分钟演示视频投放抖音、B 站、小红书等平台，把七幕叙事拆解为系列科普图文（一幕一条）；页面截图制作信息图长图用于公众号与社区群传播；所有数据可溯源，内容经得起公众与媒体核验。</w:t>
      </w:r>
    </w:p>
    <w:p>
      <w:pPr>
        <w:pStyle w:val="Heading1"/>
        <w:spacing w:line="312" w:lineRule="auto" w:before="280" w:after="120"/>
        <w:jc w:val="left"/>
      </w:pPr>
      <w:r>
        <w:rPr>
          <w:rFonts w:ascii="Arial" w:hAnsi="Arial" w:eastAsia="黑体"/>
          <w:b/>
          <w:i w:val="0"/>
          <w:color w:val="000000"/>
          <w:sz w:val="32"/>
        </w:rPr>
        <w:t>12 团队分工</w:t>
      </w:r>
    </w:p>
    <w:tbl>
      <w:tblPr>
        <w:tblW w:type="auto" w:w="0"/>
        <w:jc w:val="center"/>
        <w:tblLayout w:type="fixed"/>
        <w:tblLook w:firstColumn="1" w:firstRow="1" w:lastColumn="0" w:lastRow="0" w:noHBand="0" w:noVBand="1" w:val="04A0"/>
        <w:tblBorders>
          <w:top w:val="single" w:sz="8" w:color="000000"/>
          <w:bottom w:val="single" w:sz="8" w:color="000000"/>
          <w:left w:val="single" w:sz="8" w:color="000000"/>
          <w:right w:val="single" w:sz="8" w:color="000000"/>
          <w:insideH w:val="single" w:sz="4" w:color="000000"/>
          <w:insideV w:val="single" w:sz="4" w:color="000000"/>
        </w:tblBorders>
      </w:tblPr>
      <w:tblGrid>
        <w:gridCol w:w="3024"/>
        <w:gridCol w:w="3024"/>
        <w:gridCol w:w="3024"/>
      </w:tblGrid>
      <w:tr>
        <w:tc>
          <w:tcPr>
            <w:tcW w:type="dxa" w:w="1701"/>
            <w:vAlign w:val="center"/>
            <w:shd w:val="clear" w:fill="D9D9D9"/>
          </w:tcPr>
          <w:p>
            <w:pPr>
              <w:spacing w:line="276" w:lineRule="auto"/>
              <w:jc w:val="center"/>
            </w:pPr>
            <w:r>
              <w:rPr>
                <w:rFonts w:ascii="Arial" w:hAnsi="Arial" w:eastAsia="宋体"/>
                <w:b/>
                <w:i w:val="0"/>
                <w:color w:val="000000"/>
                <w:sz w:val="21"/>
              </w:rPr>
              <w:t>成员</w:t>
            </w:r>
          </w:p>
        </w:tc>
        <w:tc>
          <w:tcPr>
            <w:tcW w:type="dxa" w:w="1474"/>
            <w:vAlign w:val="center"/>
            <w:shd w:val="clear" w:fill="D9D9D9"/>
          </w:tcPr>
          <w:p>
            <w:pPr>
              <w:spacing w:line="276" w:lineRule="auto"/>
              <w:jc w:val="center"/>
            </w:pPr>
            <w:r>
              <w:rPr>
                <w:rFonts w:ascii="Arial" w:hAnsi="Arial" w:eastAsia="宋体"/>
                <w:b/>
                <w:i w:val="0"/>
                <w:color w:val="000000"/>
                <w:sz w:val="21"/>
              </w:rPr>
              <w:t>角色</w:t>
            </w:r>
          </w:p>
        </w:tc>
        <w:tc>
          <w:tcPr>
            <w:tcW w:type="dxa" w:w="5783"/>
            <w:vAlign w:val="center"/>
            <w:shd w:val="clear" w:fill="D9D9D9"/>
          </w:tcPr>
          <w:p>
            <w:pPr>
              <w:spacing w:line="276" w:lineRule="auto"/>
              <w:jc w:val="center"/>
            </w:pPr>
            <w:r>
              <w:rPr>
                <w:rFonts w:ascii="Arial" w:hAnsi="Arial" w:eastAsia="宋体"/>
                <w:b/>
                <w:i w:val="0"/>
                <w:color w:val="000000"/>
                <w:sz w:val="21"/>
              </w:rPr>
              <w:t>核心工作</w:t>
            </w:r>
          </w:p>
        </w:tc>
      </w:tr>
      <w:tr>
        <w:tc>
          <w:tcPr>
            <w:tcW w:type="dxa" w:w="1701"/>
            <w:vAlign w:val="center"/>
          </w:tcPr>
          <w:p>
            <w:pPr>
              <w:spacing w:line="276" w:lineRule="auto"/>
              <w:jc w:val="center"/>
            </w:pPr>
            <w:r>
              <w:rPr>
                <w:rFonts w:ascii="Arial" w:hAnsi="Arial" w:eastAsia="宋体"/>
                <w:b w:val="0"/>
                <w:i w:val="0"/>
                <w:color w:val="000000"/>
                <w:sz w:val="21"/>
              </w:rPr>
              <w:t>杨德运</w:t>
            </w:r>
          </w:p>
        </w:tc>
        <w:tc>
          <w:tcPr>
            <w:tcW w:type="dxa" w:w="1474"/>
            <w:vAlign w:val="center"/>
          </w:tcPr>
          <w:p>
            <w:pPr>
              <w:spacing w:line="276" w:lineRule="auto"/>
              <w:jc w:val="center"/>
            </w:pPr>
            <w:r>
              <w:rPr>
                <w:rFonts w:ascii="Arial" w:hAnsi="Arial" w:eastAsia="宋体"/>
                <w:b w:val="0"/>
                <w:i w:val="0"/>
                <w:color w:val="000000"/>
                <w:sz w:val="21"/>
              </w:rPr>
              <w:t>项目负责人 · 数据与核算 · 前端与 AI</w:t>
            </w:r>
          </w:p>
        </w:tc>
        <w:tc>
          <w:tcPr>
            <w:tcW w:type="dxa" w:w="5783"/>
            <w:vAlign w:val="center"/>
          </w:tcPr>
          <w:p>
            <w:pPr>
              <w:spacing w:line="276" w:lineRule="auto"/>
              <w:jc w:val="left"/>
            </w:pPr>
            <w:r>
              <w:rPr>
                <w:rFonts w:ascii="Arial" w:hAnsi="Arial" w:eastAsia="宋体"/>
                <w:b w:val="0"/>
                <w:i w:val="0"/>
                <w:color w:val="000000"/>
                <w:sz w:val="21"/>
              </w:rPr>
              <w:t>系统边界确认；五阶段数据收集、换算与口径校验；网页前端开发与 ECharts 可视化；AI 功能 API 接入与提示词设计；材料统筹</w:t>
            </w:r>
          </w:p>
        </w:tc>
      </w:tr>
      <w:tr>
        <w:tc>
          <w:tcPr>
            <w:tcW w:type="dxa" w:w="1701"/>
            <w:vAlign w:val="center"/>
          </w:tcPr>
          <w:p>
            <w:pPr>
              <w:spacing w:line="276" w:lineRule="auto"/>
              <w:jc w:val="center"/>
            </w:pPr>
            <w:r>
              <w:rPr>
                <w:rFonts w:ascii="Arial" w:hAnsi="Arial" w:eastAsia="宋体"/>
                <w:b w:val="0"/>
                <w:i w:val="0"/>
                <w:color w:val="000000"/>
                <w:sz w:val="21"/>
              </w:rPr>
              <w:t>孟玉如</w:t>
            </w:r>
          </w:p>
        </w:tc>
        <w:tc>
          <w:tcPr>
            <w:tcW w:type="dxa" w:w="1474"/>
            <w:vAlign w:val="center"/>
          </w:tcPr>
          <w:p>
            <w:pPr>
              <w:spacing w:line="276" w:lineRule="auto"/>
              <w:jc w:val="center"/>
            </w:pPr>
            <w:r>
              <w:rPr>
                <w:rFonts w:ascii="Arial" w:hAnsi="Arial" w:eastAsia="宋体"/>
                <w:b w:val="0"/>
                <w:i w:val="0"/>
                <w:color w:val="000000"/>
                <w:sz w:val="21"/>
              </w:rPr>
              <w:t>视觉与内容 · 前端辅助</w:t>
            </w:r>
          </w:p>
        </w:tc>
        <w:tc>
          <w:tcPr>
            <w:tcW w:type="dxa" w:w="5783"/>
            <w:vAlign w:val="center"/>
          </w:tcPr>
          <w:p>
            <w:pPr>
              <w:spacing w:line="276" w:lineRule="auto"/>
              <w:jc w:val="left"/>
            </w:pPr>
            <w:r>
              <w:rPr>
                <w:rFonts w:ascii="Arial" w:hAnsi="Arial" w:eastAsia="宋体"/>
                <w:b w:val="0"/>
                <w:i w:val="0"/>
                <w:color w:val="000000"/>
                <w:sz w:val="21"/>
              </w:rPr>
              <w:t>AI 生成素材的 Photoshop 修正与整套视觉风格统一；页面内容文案整理；配合前端开发与页面测试</w:t>
            </w:r>
          </w:p>
        </w:tc>
      </w:tr>
      <w:tr>
        <w:tc>
          <w:tcPr>
            <w:tcW w:type="dxa" w:w="1701"/>
            <w:vAlign w:val="center"/>
          </w:tcPr>
          <w:p>
            <w:pPr>
              <w:spacing w:line="276" w:lineRule="auto"/>
              <w:jc w:val="center"/>
            </w:pPr>
            <w:r>
              <w:rPr>
                <w:rFonts w:ascii="Arial" w:hAnsi="Arial" w:eastAsia="宋体"/>
                <w:b w:val="0"/>
                <w:i w:val="0"/>
                <w:color w:val="000000"/>
                <w:sz w:val="21"/>
              </w:rPr>
              <w:t>乔嘉悦</w:t>
            </w:r>
          </w:p>
        </w:tc>
        <w:tc>
          <w:tcPr>
            <w:tcW w:type="dxa" w:w="1474"/>
            <w:vAlign w:val="center"/>
          </w:tcPr>
          <w:p>
            <w:pPr>
              <w:spacing w:line="276" w:lineRule="auto"/>
              <w:jc w:val="center"/>
            </w:pPr>
            <w:r>
              <w:rPr>
                <w:rFonts w:ascii="Arial" w:hAnsi="Arial" w:eastAsia="宋体"/>
                <w:b w:val="0"/>
                <w:i w:val="0"/>
                <w:color w:val="000000"/>
                <w:sz w:val="21"/>
              </w:rPr>
              <w:t>材料与答辩 · 内容与传播</w:t>
            </w:r>
          </w:p>
        </w:tc>
        <w:tc>
          <w:tcPr>
            <w:tcW w:type="dxa" w:w="5783"/>
            <w:vAlign w:val="center"/>
          </w:tcPr>
          <w:p>
            <w:pPr>
              <w:spacing w:line="276" w:lineRule="auto"/>
              <w:jc w:val="left"/>
            </w:pPr>
            <w:r>
              <w:rPr>
                <w:rFonts w:ascii="Arial" w:hAnsi="Arial" w:eastAsia="宋体"/>
                <w:b w:val="0"/>
                <w:i w:val="0"/>
                <w:color w:val="000000"/>
                <w:sz w:val="21"/>
              </w:rPr>
              <w:t>演示视频素材整理与剪辑配合；作品说明与答辩材料编写；官网报名与材料提交</w:t>
            </w:r>
          </w:p>
        </w:tc>
      </w:tr>
      <w:tr>
        <w:tc>
          <w:tcPr>
            <w:tcW w:type="dxa" w:w="1701"/>
            <w:vAlign w:val="center"/>
          </w:tcPr>
          <w:p>
            <w:pPr>
              <w:spacing w:line="276" w:lineRule="auto"/>
              <w:jc w:val="center"/>
            </w:pPr>
            <w:r>
              <w:rPr>
                <w:rFonts w:ascii="Arial" w:hAnsi="Arial" w:eastAsia="宋体"/>
                <w:b w:val="0"/>
                <w:i w:val="0"/>
                <w:color w:val="000000"/>
                <w:sz w:val="21"/>
              </w:rPr>
              <w:t>陈卫东（指导教师）</w:t>
            </w:r>
          </w:p>
        </w:tc>
        <w:tc>
          <w:tcPr>
            <w:tcW w:type="dxa" w:w="1474"/>
            <w:vAlign w:val="center"/>
          </w:tcPr>
          <w:p>
            <w:pPr>
              <w:spacing w:line="276" w:lineRule="auto"/>
              <w:jc w:val="center"/>
            </w:pPr>
            <w:r>
              <w:rPr>
                <w:rFonts w:ascii="Arial" w:hAnsi="Arial" w:eastAsia="宋体"/>
                <w:b w:val="0"/>
                <w:i w:val="0"/>
                <w:color w:val="000000"/>
                <w:sz w:val="21"/>
              </w:rPr>
              <w:t>技术指导</w:t>
            </w:r>
          </w:p>
        </w:tc>
        <w:tc>
          <w:tcPr>
            <w:tcW w:type="dxa" w:w="5783"/>
            <w:vAlign w:val="center"/>
          </w:tcPr>
          <w:p>
            <w:pPr>
              <w:spacing w:line="276" w:lineRule="auto"/>
              <w:jc w:val="left"/>
            </w:pPr>
            <w:r>
              <w:rPr>
                <w:rFonts w:ascii="Arial" w:hAnsi="Arial" w:eastAsia="宋体"/>
                <w:b w:val="0"/>
                <w:i w:val="0"/>
                <w:color w:val="000000"/>
                <w:sz w:val="21"/>
              </w:rPr>
              <w:t>选题论证、技术路线指导、数据口径把关、材料规范审核</w:t>
            </w:r>
          </w:p>
        </w:tc>
      </w:tr>
      <w:tr>
        <w:tc>
          <w:tcPr>
            <w:tcW w:type="dxa" w:w="1701"/>
            <w:vAlign w:val="center"/>
          </w:tcPr>
          <w:p>
            <w:pPr>
              <w:spacing w:line="276" w:lineRule="auto"/>
              <w:jc w:val="center"/>
            </w:pPr>
            <w:r>
              <w:rPr>
                <w:rFonts w:ascii="Arial" w:hAnsi="Arial" w:eastAsia="宋体"/>
                <w:b w:val="0"/>
                <w:i w:val="0"/>
                <w:color w:val="000000"/>
                <w:sz w:val="21"/>
              </w:rPr>
              <w:t>陈艳丽（指导教师）</w:t>
            </w:r>
          </w:p>
        </w:tc>
        <w:tc>
          <w:tcPr>
            <w:tcW w:type="dxa" w:w="1474"/>
            <w:vAlign w:val="center"/>
          </w:tcPr>
          <w:p>
            <w:pPr>
              <w:spacing w:line="276" w:lineRule="auto"/>
              <w:jc w:val="center"/>
            </w:pPr>
            <w:r>
              <w:rPr>
                <w:rFonts w:ascii="Arial" w:hAnsi="Arial" w:eastAsia="宋体"/>
                <w:b w:val="0"/>
                <w:i w:val="0"/>
                <w:color w:val="000000"/>
                <w:sz w:val="21"/>
              </w:rPr>
              <w:t>专业指导</w:t>
            </w:r>
          </w:p>
        </w:tc>
        <w:tc>
          <w:tcPr>
            <w:tcW w:type="dxa" w:w="5783"/>
            <w:vAlign w:val="center"/>
          </w:tcPr>
          <w:p>
            <w:pPr>
              <w:spacing w:line="276" w:lineRule="auto"/>
              <w:jc w:val="left"/>
            </w:pPr>
            <w:r>
              <w:rPr>
                <w:rFonts w:ascii="Arial" w:hAnsi="Arial" w:eastAsia="宋体"/>
                <w:b w:val="0"/>
                <w:i w:val="0"/>
                <w:color w:val="000000"/>
                <w:sz w:val="21"/>
              </w:rPr>
              <w:t>石化工艺环节内容校验、科普表达把关、合规审核</w:t>
            </w:r>
          </w:p>
        </w:tc>
      </w:tr>
    </w:tbl>
    <w:p>
      <w:pPr>
        <w:spacing w:line="240" w:lineRule="auto" w:before="0" w:after="0"/>
        <w:jc w:val="both"/>
      </w:pPr>
    </w:p>
    <w:p>
      <w:pPr>
        <w:pStyle w:val="Heading1"/>
        <w:spacing w:line="312" w:lineRule="auto" w:before="280" w:after="120"/>
        <w:jc w:val="left"/>
      </w:pPr>
      <w:r>
        <w:rPr>
          <w:rFonts w:ascii="Arial" w:hAnsi="Arial" w:eastAsia="黑体"/>
          <w:b/>
          <w:i w:val="0"/>
          <w:color w:val="000000"/>
          <w:sz w:val="32"/>
        </w:rPr>
        <w:t>13 参考文献</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北京: 零碳实验室, 2025.</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 IPCC Guidelines for National Greenhouse Gas Inventories[R]. Geneva: IPCC, 2006.</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吴明, 姜国强, 贾冯睿, 等. 基于物质流和生命周期分析的石油行业碳排放[J]. 资源科学, 2018, 40(6): 1287-1296.</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国家发展改革委, 国家能源局, 等. 炼油行业节能降碳专项行动计划[Z]. 2024.</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60" w:lineRule="auto" w:after="0"/>
        <w:ind w:left="425" w:hanging="227"/>
      </w:pPr>
      <w:r>
        <w:rPr>
          <w:rFonts w:ascii="Arial" w:hAnsi="Arial" w:eastAsia="宋体"/>
          <w:b w:val="0"/>
          <w:i w:val="0"/>
          <w:color w:val="000000"/>
          <w:sz w:val="24"/>
        </w:rPr>
        <w:t xml:space="preserve">9. </w:t>
      </w:r>
      <w:r>
        <w:rPr>
          <w:rFonts w:ascii="Arial" w:hAnsi="Arial" w:eastAsia="宋体"/>
          <w:b w:val="0"/>
          <w:i w:val="0"/>
          <w:color w:val="000000"/>
          <w:sz w:val="24"/>
        </w:rPr>
        <w:t>国家能源局石油天然气司, 等. 中国油气勘探开发发展报告 2025[R]. 2025.</w:t>
      </w:r>
    </w:p>
    <w:p>
      <w:pPr>
        <w:spacing w:line="360" w:lineRule="auto" w:after="0"/>
        <w:ind w:left="425" w:hanging="227"/>
      </w:pPr>
      <w:r>
        <w:rPr>
          <w:rFonts w:ascii="Arial" w:hAnsi="Arial" w:eastAsia="宋体"/>
          <w:b w:val="0"/>
          <w:i w:val="0"/>
          <w:color w:val="000000"/>
          <w:sz w:val="24"/>
        </w:rPr>
        <w:t xml:space="preserve">10. </w:t>
      </w:r>
      <w:r>
        <w:rPr>
          <w:rFonts w:ascii="Arial" w:hAnsi="Arial" w:eastAsia="宋体"/>
          <w:b w:val="0"/>
          <w:i w:val="0"/>
          <w:color w:val="000000"/>
          <w:sz w:val="24"/>
        </w:rPr>
        <w:t>吴志雄. 我国成品油运输现状与优化策略探讨[J]. 交通运输, 2024(10).</w:t>
      </w:r>
    </w:p>
    <w:p>
      <w:pPr>
        <w:spacing w:line="360" w:lineRule="auto" w:after="0"/>
        <w:ind w:left="425" w:hanging="227"/>
      </w:pPr>
      <w:r>
        <w:rPr>
          <w:rFonts w:ascii="Arial" w:hAnsi="Arial" w:eastAsia="宋体"/>
          <w:b w:val="0"/>
          <w:i w:val="0"/>
          <w:color w:val="000000"/>
          <w:sz w:val="24"/>
        </w:rPr>
        <w:t xml:space="preserve">11. </w:t>
      </w:r>
      <w:r>
        <w:rPr>
          <w:rFonts w:ascii="Arial" w:hAnsi="Arial" w:eastAsia="宋体"/>
          <w:b w:val="0"/>
          <w:i w:val="0"/>
          <w:color w:val="000000"/>
          <w:sz w:val="24"/>
        </w:rPr>
        <w:t>朱珠, 张泽洲, 邱睿, 等. 考虑配送成本和油库利用率的成品油配送系统多目标优化[J]. 石油科学通报, 2023, 8(2): 204-213.</w:t>
      </w:r>
    </w:p>
    <w:p>
      <w:pPr>
        <w:spacing w:line="240" w:lineRule="auto" w:before="0" w:after="0"/>
        <w:jc w:val="both"/>
        <w:pBdr>
          <w:bottom w:val="single" w:sz="6" w:color="000000"/>
        </w:pBdr>
      </w:pPr>
    </w:p>
    <w:p>
      <w:pPr>
        <w:spacing w:line="312" w:lineRule="auto" w:before="0" w:after="0"/>
        <w:jc w:val="center"/>
      </w:pPr>
      <w:r>
        <w:rPr>
          <w:rFonts w:ascii="Arial" w:hAnsi="Arial" w:eastAsia="楷体"/>
          <w:b w:val="0"/>
          <w:i w:val="0"/>
          <w:color w:val="000000"/>
          <w:sz w:val="24"/>
        </w:rPr>
        <w:t>本文档与《人工智能工具使用情况说明》《原创性声明与知识产权说明》共同构成作品申报材料。</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宋体"/>
        <w:b w:val="0"/>
        <w:i w:val="0"/>
        <w:color w:val="000000"/>
        <w:sz w:val="21"/>
      </w:r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