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12" w:lineRule="auto" w:before="0" w:after="360"/>
        <w:jc w:val="center"/>
      </w:pPr>
      <w:r>
        <w:rPr>
          <w:rFonts w:ascii="Arial" w:hAnsi="Arial" w:eastAsia="黑体"/>
          <w:b/>
          <w:i w:val="0"/>
          <w:color w:val="000000"/>
          <w:sz w:val="36"/>
        </w:rPr>
        <w:t>《碳迹·油链——一滴汽油的全生命周期碳足迹智能可视化系统》作品说明文档</w:t>
      </w:r>
    </w:p>
    <w:p>
      <w:pPr>
        <w:spacing w:line="312" w:lineRule="auto" w:before="0" w:after="120"/>
        <w:jc w:val="center"/>
      </w:pPr>
      <w:r>
        <w:rPr>
          <w:rFonts w:ascii="Arial" w:hAnsi="Arial" w:eastAsia="楷体"/>
          <w:b w:val="0"/>
          <w:i w:val="0"/>
          <w:color w:val="000000"/>
          <w:sz w:val="24"/>
        </w:rPr>
        <w:t>参赛赛道：第十四届全国大学生数字媒体科技作品及创意竞赛 · 指定命题【科技+创意，讲好中国故事】</w:t>
      </w:r>
    </w:p>
    <w:p>
      <w:pPr>
        <w:spacing w:line="312" w:lineRule="auto" w:before="0" w:after="120"/>
        <w:jc w:val="center"/>
      </w:pPr>
      <w:r>
        <w:rPr>
          <w:rFonts w:ascii="Arial" w:hAnsi="Arial" w:eastAsia="楷体"/>
          <w:b w:val="0"/>
          <w:i w:val="0"/>
          <w:color w:val="000000"/>
          <w:sz w:val="24"/>
        </w:rPr>
        <w:t>参赛学校：甘肃有色冶金职业技术学院</w:t>
      </w:r>
    </w:p>
    <w:p>
      <w:pPr>
        <w:spacing w:line="312" w:lineRule="auto" w:before="0" w:after="120"/>
        <w:jc w:val="center"/>
      </w:pPr>
      <w:r>
        <w:rPr>
          <w:rFonts w:ascii="Arial" w:hAnsi="Arial" w:eastAsia="楷体"/>
          <w:b w:val="0"/>
          <w:i w:val="0"/>
          <w:color w:val="000000"/>
          <w:sz w:val="24"/>
        </w:rPr>
        <w:t>团队成员：杨德运（负责人，学号 25410323，石油化工技术专业）、孟玉如、乔嘉悦</w:t>
      </w:r>
    </w:p>
    <w:p>
      <w:pPr>
        <w:spacing w:line="312" w:lineRule="auto" w:before="0" w:after="120"/>
        <w:jc w:val="center"/>
      </w:pPr>
      <w:r>
        <w:rPr>
          <w:rFonts w:ascii="Arial" w:hAnsi="Arial" w:eastAsia="楷体"/>
          <w:b w:val="0"/>
          <w:i w:val="0"/>
          <w:color w:val="000000"/>
          <w:sz w:val="24"/>
        </w:rPr>
        <w:t>指导教师：陈卫东、陈艳丽</w:t>
      </w:r>
    </w:p>
    <w:p>
      <w:pPr>
        <w:spacing w:line="312" w:lineRule="auto" w:before="0" w:after="120"/>
        <w:jc w:val="center"/>
      </w:pPr>
      <w:r>
        <w:rPr>
          <w:rFonts w:ascii="Arial" w:hAnsi="Arial" w:eastAsia="楷体"/>
          <w:b w:val="0"/>
          <w:i w:val="0"/>
          <w:color w:val="000000"/>
          <w:sz w:val="24"/>
        </w:rPr>
        <w:t>作品编号：________（报名系统生成后填写）</w:t>
      </w:r>
    </w:p>
    <w:p>
      <w:pPr>
        <w:spacing w:line="312" w:lineRule="auto" w:before="0" w:after="120"/>
        <w:jc w:val="center"/>
      </w:pPr>
      <w:r>
        <w:rPr>
          <w:rFonts w:ascii="Arial" w:hAnsi="Arial" w:eastAsia="楷体"/>
          <w:b w:val="0"/>
          <w:i w:val="0"/>
          <w:color w:val="000000"/>
          <w:sz w:val="24"/>
        </w:rPr>
        <w:t>文档状态：定稿</w:t>
      </w:r>
    </w:p>
    <w:p>
      <w:pPr>
        <w:spacing w:line="240" w:lineRule="auto" w:before="0" w:after="0"/>
        <w:jc w:val="both"/>
        <w:pBdr>
          <w:bottom w:val="single" w:sz="6" w:color="000000"/>
        </w:pBdr>
      </w:pPr>
    </w:p>
    <w:p>
      <w:pPr>
        <w:pStyle w:val="Heading1"/>
        <w:spacing w:line="312" w:lineRule="auto" w:before="280" w:after="120"/>
        <w:jc w:val="left"/>
      </w:pPr>
      <w:r>
        <w:rPr>
          <w:rFonts w:ascii="Arial" w:hAnsi="Arial" w:eastAsia="黑体"/>
          <w:b/>
          <w:i w:val="0"/>
          <w:color w:val="000000"/>
          <w:sz w:val="32"/>
        </w:rPr>
        <w:t>1 项目摘要</w:t>
      </w:r>
    </w:p>
    <w:p>
      <w:pPr>
        <w:spacing w:line="360" w:lineRule="auto" w:before="0" w:after="0"/>
        <w:ind w:firstLine="420"/>
        <w:jc w:val="both"/>
      </w:pPr>
      <w:r>
        <w:rPr>
          <w:rFonts w:ascii="Arial" w:hAnsi="Arial" w:eastAsia="宋体"/>
          <w:b w:val="0"/>
          <w:i w:val="0"/>
          <w:color w:val="000000"/>
          <w:sz w:val="24"/>
        </w:rPr>
        <w:t>在"双碳"目标背景下，社会大众对汽油碳排放的认知大多停留在汽车尾气，对汽油从地下原油到油箱的全链条碳排放缺乏直观了解。本作品以生命周期评价（LCA）为框架，构建《碳迹·油链——一滴汽油的全生命周期碳足迹智能可视化系统》，将一滴汽油全生命周期划分为原油勘探与开采、原油运输、炼油炼化、成品油配送储运、机动车终端燃烧五大环节，通过可交互的网页可视化系统呈现各环节碳排放数据与占比，并集成真实可用的 AI 碳足迹智能问答助手，面向石油化工专业学生与社会大众开展科普传播，讲好中国石化行业绿色低碳转型故事。</w:t>
      </w:r>
    </w:p>
    <w:p>
      <w:pPr>
        <w:pStyle w:val="ListBullet"/>
        <w:spacing w:line="360" w:lineRule="auto" w:after="0"/>
        <w:ind w:left="425"/>
      </w:pPr>
      <w:r>
        <w:rPr>
          <w:rFonts w:ascii="Arial" w:hAnsi="Arial" w:eastAsia="宋体"/>
          <w:b/>
          <w:i w:val="0"/>
          <w:color w:val="000000"/>
          <w:sz w:val="24"/>
        </w:rPr>
        <w:t>作品形态</w:t>
      </w:r>
      <w:r>
        <w:rPr>
          <w:rFonts w:ascii="Arial" w:hAnsi="Arial" w:eastAsia="宋体"/>
          <w:b w:val="0"/>
          <w:i w:val="0"/>
          <w:color w:val="000000"/>
          <w:sz w:val="24"/>
        </w:rPr>
        <w:t>：可访问的交互式网页可视化系统（HTML + CSS + JavaScript + ECharts + 大模型 API）</w:t>
      </w:r>
    </w:p>
    <w:p>
      <w:pPr>
        <w:pStyle w:val="ListBullet"/>
        <w:spacing w:line="360" w:lineRule="auto" w:after="0"/>
        <w:ind w:left="425"/>
      </w:pPr>
      <w:r>
        <w:rPr>
          <w:rFonts w:ascii="Arial" w:hAnsi="Arial" w:eastAsia="宋体"/>
          <w:b/>
          <w:i w:val="0"/>
          <w:color w:val="000000"/>
          <w:sz w:val="24"/>
        </w:rPr>
        <w:t>作品链接</w:t>
      </w:r>
      <w:r>
        <w:rPr>
          <w:rFonts w:ascii="Arial" w:hAnsi="Arial" w:eastAsia="宋体"/>
          <w:b w:val="0"/>
          <w:i w:val="0"/>
          <w:color w:val="000000"/>
          <w:sz w:val="24"/>
        </w:rPr>
        <w:t>：https://happies-yang.github.io/carbon-track/（已公开上线，可直接访问体验）</w:t>
      </w:r>
    </w:p>
    <w:p>
      <w:pPr>
        <w:pStyle w:val="ListBullet"/>
        <w:spacing w:line="360" w:lineRule="auto" w:after="0"/>
        <w:ind w:left="425"/>
      </w:pPr>
      <w:r>
        <w:rPr>
          <w:rFonts w:ascii="Arial" w:hAnsi="Arial" w:eastAsia="宋体"/>
          <w:b/>
          <w:i w:val="0"/>
          <w:color w:val="000000"/>
          <w:sz w:val="24"/>
        </w:rPr>
        <w:t>核心功能：五阶段碳足迹交互看板、数据来源标注、燃油车 vs 电动车对比、五阶段碳排放趋势折线图、多维对比雷达图、AI 碳足迹解读、AI 数据问答、AI 减排建议（含环节级减排建议）、AI 生成内容标识</w:t>
      </w:r>
    </w:p>
    <w:p>
      <w:pPr>
        <w:pStyle w:val="ListBullet"/>
        <w:spacing w:line="360" w:lineRule="auto" w:after="0"/>
        <w:ind w:left="425"/>
      </w:pPr>
      <w:r>
        <w:rPr>
          <w:rFonts w:ascii="Arial" w:hAnsi="Arial" w:eastAsia="宋体"/>
          <w:b/>
          <w:i w:val="0"/>
          <w:color w:val="000000"/>
          <w:sz w:val="24"/>
        </w:rPr>
        <w:t>面向受众</w:t>
      </w:r>
      <w:r>
        <w:rPr>
          <w:rFonts w:ascii="Arial" w:hAnsi="Arial" w:eastAsia="宋体"/>
          <w:b w:val="0"/>
          <w:i w:val="0"/>
          <w:color w:val="000000"/>
          <w:sz w:val="24"/>
        </w:rPr>
        <w:t>：石油化工类专业学生、行业科普受众</w:t>
      </w:r>
    </w:p>
    <w:p>
      <w:pPr>
        <w:pStyle w:val="Heading1"/>
        <w:spacing w:line="360" w:lineRule="auto" w:after="0"/>
        <w:ind w:left="425"/>
      </w:pPr>
      <w:r>
        <w:t>1.1 作品叙事定位：一滴汽油的中国之旅</w:t>
      </w:r>
    </w:p>
    <w:p>
      <w:r>
        <w:rPr>
          <w:b/>
        </w:rPr>
        <w:t>中国性三锚点：为什么这是"中国"的碳足迹系统</w:t>
      </w:r>
    </w:p>
    <w:p>
      <w:r>
        <w:rPr>
          <w:b w:val="0"/>
        </w:rPr>
        <w:t>① 数据层：上游排放因子来自零碳实验室基于中国行业数据的研究，终端燃烧用上海市生态环境局官方口径交叉验证，不是照搬 IPCC 国际默认值；</w:t>
      </w:r>
    </w:p>
    <w:p>
      <w:r>
        <w:rPr>
          <w:b w:val="0"/>
        </w:rPr>
        <w:t>② 政策层：《炼油行业节能降碳专项行动计划》《能源法》《石油天然气发展"十五五"规划》是中国独有的制度安排；</w:t>
      </w:r>
    </w:p>
    <w:p>
      <w:r>
        <w:rPr>
          <w:b w:val="0"/>
        </w:rPr>
        <w:t>③ 叙事层：从 1960s 大庆油田到 2020 "3060" 目标再到 2024 GB/T 24067 落地，这条产业史是中国特有的转型路径。</w:t>
      </w:r>
    </w:p>
    <w:p>
      <w:r>
        <w:rPr>
          <w:b w:val="0"/>
        </w:rPr>
      </w:r>
    </w:p>
    <w:p>
      <w:pPr>
        <w:spacing w:line="360" w:lineRule="auto" w:after="0"/>
        <w:ind w:left="425"/>
      </w:pPr>
      <w:r>
        <w:rPr>
          <w:b w:val="0"/>
        </w:rPr>
        <w:t>本作品不止是一个数据可视化工具，更是一个中国故事。作品以"一滴汽油的中国之旅"为叙事主线，把汽油全生命周期碳足迹讲成八幕：序幕·一滴油、第一幕·地下的中国、第二幕·流动的中国、第三幕·燃烧的时代、第四幕·减得下的中国、转折·算得清、证据·数据会说话、落点·你我参与。</w:t>
      </w:r>
    </w:p>
    <w:p>
      <w:pPr>
        <w:spacing w:line="360" w:lineRule="auto" w:after="0"/>
        <w:ind w:left="425"/>
      </w:pPr>
      <w:r>
        <w:t>故事从新中国"贫油国"的历史讲起，途经世界第二大炼油国的产业坐标、"3060"双碳承诺与 GB/T 24067 碳足迹核算标准的落地，落笔于每一个普通人的出行选择——让"讲好中国双碳故事"从宏大叙事，落到一滴油、一次加油、一次出行。</w:t>
      </w:r>
    </w:p>
    <w:p>
      <w:pPr>
        <w:spacing w:line="360" w:lineRule="auto" w:after="0"/>
        <w:ind w:left="425"/>
      </w:pPr>
      <w:r>
        <w:t>叙事金句："这不是一个数据工具，而是一个中国故事""从说不清到算得清，是这滴油最大的时代变化""中国双碳故事，也是我的故事"。</w:t>
      </w:r>
    </w:p>
    <w:p>
      <w:pPr>
        <w:pStyle w:val="Heading1"/>
        <w:spacing w:line="312" w:lineRule="auto" w:before="280" w:after="120"/>
        <w:jc w:val="left"/>
      </w:pPr>
      <w:r>
        <w:rPr>
          <w:rFonts w:ascii="Arial" w:hAnsi="Arial" w:eastAsia="黑体"/>
          <w:b/>
          <w:i w:val="0"/>
          <w:color w:val="000000"/>
          <w:sz w:val="32"/>
        </w:rPr>
        <w:t>2 选题背景与选题价值</w:t>
      </w:r>
    </w:p>
    <w:p>
      <w:pPr>
        <w:spacing w:line="360" w:lineRule="auto" w:before="0" w:after="0"/>
        <w:ind w:firstLine="420"/>
        <w:jc w:val="both"/>
      </w:pPr>
      <w:r>
        <w:rPr>
          <w:rFonts w:ascii="Arial" w:hAnsi="Arial" w:eastAsia="宋体"/>
          <w:b/>
          <w:i w:val="0"/>
          <w:color w:val="000000"/>
          <w:sz w:val="24"/>
        </w:rPr>
        <w:t>（1）政策背景。</w:t>
      </w:r>
      <w:r>
        <w:rPr>
          <w:rFonts w:ascii="Arial" w:hAnsi="Arial" w:eastAsia="宋体"/>
          <w:b w:val="0"/>
          <w:i w:val="0"/>
          <w:color w:val="000000"/>
          <w:sz w:val="24"/>
        </w:rPr>
        <w:t xml:space="preserve"> 2020 年我国明确提出"二氧化碳排放力争于 2030 年前达到峰值，努力争取 2060 年前实现碳中和"的"双碳"目标。石油石化行业是能源消耗和碳排放重点行业，国家发改委、国家能源局等部门专门印发《炼油行业节能降碳专项行动计划》，推动炼油环节节能降碳。作为石油化工技术专业学生，关注汽油全链条碳排放既是专业学习要求，也是响应国家战略的应有之义。</w:t>
      </w:r>
    </w:p>
    <w:p>
      <w:pPr>
        <w:spacing w:line="360" w:lineRule="auto" w:before="0" w:after="0"/>
        <w:ind w:firstLine="420"/>
        <w:jc w:val="both"/>
      </w:pPr>
      <w:r>
        <w:rPr>
          <w:rFonts w:ascii="Arial" w:hAnsi="Arial" w:eastAsia="宋体"/>
          <w:b/>
          <w:i w:val="0"/>
          <w:color w:val="000000"/>
          <w:sz w:val="24"/>
        </w:rPr>
        <w:t>（2）科普现状与痛点。</w:t>
      </w:r>
      <w:r>
        <w:rPr>
          <w:rFonts w:ascii="Arial" w:hAnsi="Arial" w:eastAsia="宋体"/>
          <w:b w:val="0"/>
          <w:i w:val="0"/>
          <w:color w:val="000000"/>
          <w:sz w:val="24"/>
        </w:rPr>
        <w:t xml:space="preserve"> 大众对汽油碳排放的认知普遍停留在"汽车尾气"，不知道一升汽油从原油开采到燃烧的全生命周期会排放多少二氧化碳当量；而现有的碳足迹数据分散在学术论文、标准与行业报告之中，口径复杂、专业门槛高，普通公众与高职学生难以理解，缺少直观、可交互、可追溯的科普呈现形式。</w:t>
      </w:r>
    </w:p>
    <w:p>
      <w:pPr>
        <w:spacing w:line="360" w:lineRule="auto" w:before="0" w:after="0"/>
        <w:ind w:firstLine="420"/>
        <w:jc w:val="both"/>
      </w:pPr>
      <w:r>
        <w:rPr>
          <w:rFonts w:ascii="Arial" w:hAnsi="Arial" w:eastAsia="宋体"/>
          <w:b/>
          <w:i w:val="0"/>
          <w:color w:val="000000"/>
          <w:sz w:val="24"/>
        </w:rPr>
        <w:t>（3）本作品定位。</w:t>
      </w:r>
      <w:r>
        <w:rPr>
          <w:rFonts w:ascii="Arial" w:hAnsi="Arial" w:eastAsia="宋体"/>
          <w:b w:val="0"/>
          <w:i w:val="0"/>
          <w:color w:val="000000"/>
          <w:sz w:val="24"/>
        </w:rPr>
        <w:t xml:space="preserve"> 用"一滴汽油"讲清楚一个专业问题：以生命周期评价（LCA）为框架，把复杂的碳足迹核算结果转化为五阶段可视化看板，并借助真实大模型 AI 把"数据"变成"对话"，降低认知门槛，服务双碳科普教育，讲好中国石化行业绿色转型故事。</w:t>
      </w:r>
    </w:p>
    <w:p>
      <w:r>
        <w:rPr>
          <w:b w:val="0"/>
        </w:rPr>
        <w:t>（4）逻辑链定调。 我们的作品不是通用碳足迹工具，是中国汽油的碳足迹系统。逻辑链为"中国数据 → 中国政策 → 中国叙事 → 中国故事"：数据是中国汽油的上游排放因子，政策依据是中国炼厂的节能降碳专项行动计划，叙事是中国从贫油国到能源大国的产业史。去掉"中国"，这个作品不成立。</w:t>
      </w:r>
    </w:p>
    <w:p>
      <w:pPr>
        <w:pStyle w:val="Heading1"/>
        <w:spacing w:line="312" w:lineRule="auto" w:before="280" w:after="120"/>
        <w:jc w:val="left"/>
      </w:pPr>
      <w:r>
        <w:rPr>
          <w:rFonts w:ascii="Arial" w:hAnsi="Arial" w:eastAsia="黑体"/>
          <w:b/>
          <w:i w:val="0"/>
          <w:color w:val="000000"/>
          <w:sz w:val="32"/>
        </w:rPr>
        <w:t>3 系统 LCA 生命周期边界</w:t>
      </w:r>
    </w:p>
    <w:p>
      <w:pPr>
        <w:pStyle w:val="Heading2"/>
        <w:spacing w:line="312" w:lineRule="auto" w:before="220" w:after="100"/>
        <w:jc w:val="left"/>
      </w:pPr>
      <w:r>
        <w:rPr>
          <w:rFonts w:ascii="Arial" w:hAnsi="Arial" w:eastAsia="黑体"/>
          <w:b/>
          <w:i w:val="0"/>
          <w:color w:val="000000"/>
          <w:sz w:val="28"/>
        </w:rPr>
        <w:t>3.1 核算边界（包含）</w:t>
      </w:r>
    </w:p>
    <w:p>
      <w:pPr>
        <w:spacing w:line="360" w:lineRule="auto" w:after="0"/>
        <w:ind w:left="425" w:hanging="227"/>
      </w:pPr>
      <w:r>
        <w:rPr>
          <w:rFonts w:ascii="Arial" w:hAnsi="Arial" w:eastAsia="宋体"/>
          <w:b w:val="0"/>
          <w:i w:val="0"/>
          <w:color w:val="000000"/>
          <w:sz w:val="24"/>
        </w:rPr>
        <w:t xml:space="preserve">1. </w:t>
      </w:r>
      <w:r>
        <w:rPr>
          <w:rFonts w:ascii="Arial" w:hAnsi="Arial" w:eastAsia="宋体"/>
          <w:b w:val="0"/>
          <w:i w:val="0"/>
          <w:color w:val="000000"/>
          <w:sz w:val="24"/>
        </w:rPr>
        <w:t>原油勘探与开采：钻井能耗、井口甲烷逸散</w:t>
      </w:r>
    </w:p>
    <w:p>
      <w:pPr>
        <w:spacing w:line="360" w:lineRule="auto" w:after="0"/>
        <w:ind w:left="425" w:hanging="227"/>
      </w:pPr>
      <w:r>
        <w:rPr>
          <w:rFonts w:ascii="Arial" w:hAnsi="Arial" w:eastAsia="宋体"/>
          <w:b w:val="0"/>
          <w:i w:val="0"/>
          <w:color w:val="000000"/>
          <w:sz w:val="24"/>
        </w:rPr>
        <w:t xml:space="preserve">2. </w:t>
      </w:r>
      <w:r>
        <w:rPr>
          <w:rFonts w:ascii="Arial" w:hAnsi="Arial" w:eastAsia="宋体"/>
          <w:b w:val="0"/>
          <w:i w:val="0"/>
          <w:color w:val="000000"/>
          <w:sz w:val="24"/>
        </w:rPr>
        <w:t>原油运输：管道 / 油轮输送能耗</w:t>
      </w:r>
    </w:p>
    <w:p>
      <w:pPr>
        <w:spacing w:line="360" w:lineRule="auto" w:after="0"/>
        <w:ind w:left="425" w:hanging="227"/>
      </w:pPr>
      <w:r>
        <w:rPr>
          <w:rFonts w:ascii="Arial" w:hAnsi="Arial" w:eastAsia="宋体"/>
          <w:b w:val="0"/>
          <w:i w:val="0"/>
          <w:color w:val="000000"/>
          <w:sz w:val="24"/>
        </w:rPr>
        <w:t xml:space="preserve">3. </w:t>
      </w:r>
      <w:r>
        <w:rPr>
          <w:rFonts w:ascii="Arial" w:hAnsi="Arial" w:eastAsia="宋体"/>
          <w:b w:val="0"/>
          <w:i w:val="0"/>
          <w:color w:val="000000"/>
          <w:sz w:val="24"/>
        </w:rPr>
        <w:t>炼油炼化：常减压蒸馏、加氢、制氢装置能耗</w:t>
      </w:r>
    </w:p>
    <w:p>
      <w:pPr>
        <w:spacing w:line="360" w:lineRule="auto" w:after="0"/>
        <w:ind w:left="425" w:hanging="227"/>
      </w:pPr>
      <w:r>
        <w:rPr>
          <w:rFonts w:ascii="Arial" w:hAnsi="Arial" w:eastAsia="宋体"/>
          <w:b w:val="0"/>
          <w:i w:val="0"/>
          <w:color w:val="000000"/>
          <w:sz w:val="24"/>
        </w:rPr>
        <w:t xml:space="preserve">4. </w:t>
      </w:r>
      <w:r>
        <w:rPr>
          <w:rFonts w:ascii="Arial" w:hAnsi="Arial" w:eastAsia="宋体"/>
          <w:b w:val="0"/>
          <w:i w:val="0"/>
          <w:color w:val="000000"/>
          <w:sz w:val="24"/>
        </w:rPr>
        <w:t>成品油配送储运：管道 / 油罐车运输至加油站</w:t>
      </w:r>
    </w:p>
    <w:p>
      <w:pPr>
        <w:spacing w:line="360" w:lineRule="auto" w:after="0"/>
        <w:ind w:left="425" w:hanging="227"/>
      </w:pPr>
      <w:r>
        <w:rPr>
          <w:rFonts w:ascii="Arial" w:hAnsi="Arial" w:eastAsia="宋体"/>
          <w:b w:val="0"/>
          <w:i w:val="0"/>
          <w:color w:val="000000"/>
          <w:sz w:val="24"/>
        </w:rPr>
        <w:t xml:space="preserve">5. </w:t>
      </w:r>
      <w:r>
        <w:rPr>
          <w:rFonts w:ascii="Arial" w:hAnsi="Arial" w:eastAsia="宋体"/>
          <w:b w:val="0"/>
          <w:i w:val="0"/>
          <w:color w:val="000000"/>
          <w:sz w:val="24"/>
        </w:rPr>
        <w:t>机动车终端燃烧：汽油燃烧直接排放</w:t>
      </w:r>
    </w:p>
    <w:p>
      <w:pPr>
        <w:pStyle w:val="Heading2"/>
        <w:spacing w:line="312" w:lineRule="auto" w:before="220" w:after="100"/>
        <w:jc w:val="left"/>
      </w:pPr>
      <w:r>
        <w:rPr>
          <w:rFonts w:ascii="Arial" w:hAnsi="Arial" w:eastAsia="黑体"/>
          <w:b/>
          <w:i w:val="0"/>
          <w:color w:val="000000"/>
          <w:sz w:val="28"/>
        </w:rPr>
        <w:t>3.2 排除边界（不纳入）</w:t>
      </w:r>
    </w:p>
    <w:p>
      <w:pPr>
        <w:pStyle w:val="ListBullet"/>
        <w:spacing w:line="360" w:lineRule="auto" w:after="0"/>
        <w:ind w:left="425"/>
      </w:pPr>
      <w:r>
        <w:rPr>
          <w:rFonts w:ascii="Arial" w:hAnsi="Arial" w:eastAsia="宋体"/>
          <w:b w:val="0"/>
          <w:i w:val="0"/>
          <w:color w:val="000000"/>
          <w:sz w:val="24"/>
        </w:rPr>
        <w:t>工厂基建、设备与机械制造</w:t>
      </w:r>
    </w:p>
    <w:p>
      <w:pPr>
        <w:pStyle w:val="ListBullet"/>
        <w:spacing w:line="360" w:lineRule="auto" w:after="0"/>
        <w:ind w:left="425"/>
      </w:pPr>
      <w:r>
        <w:rPr>
          <w:rFonts w:ascii="Arial" w:hAnsi="Arial" w:eastAsia="宋体"/>
          <w:b w:val="0"/>
          <w:i w:val="0"/>
          <w:color w:val="000000"/>
          <w:sz w:val="24"/>
        </w:rPr>
        <w:t>车辆制造与报废处置</w:t>
      </w:r>
    </w:p>
    <w:p>
      <w:pPr>
        <w:pStyle w:val="ListBullet"/>
        <w:spacing w:line="360" w:lineRule="auto" w:after="0"/>
        <w:ind w:left="425"/>
      </w:pPr>
      <w:r>
        <w:rPr>
          <w:rFonts w:ascii="Arial" w:hAnsi="Arial" w:eastAsia="宋体"/>
          <w:b w:val="0"/>
          <w:i w:val="0"/>
          <w:color w:val="000000"/>
          <w:sz w:val="24"/>
        </w:rPr>
        <w:t>加油站建设运营</w:t>
      </w:r>
    </w:p>
    <w:p>
      <w:pPr>
        <w:pStyle w:val="Heading2"/>
        <w:spacing w:line="312" w:lineRule="auto" w:before="220" w:after="100"/>
        <w:jc w:val="left"/>
      </w:pPr>
      <w:r>
        <w:rPr>
          <w:rFonts w:ascii="Arial" w:hAnsi="Arial" w:eastAsia="黑体"/>
          <w:b/>
          <w:i w:val="0"/>
          <w:color w:val="000000"/>
          <w:sz w:val="28"/>
        </w:rPr>
        <w:t>3.3 声明</w:t>
      </w:r>
    </w:p>
    <w:p>
      <w:pPr>
        <w:spacing w:line="360" w:lineRule="auto" w:before="0" w:after="0"/>
        <w:ind w:firstLine="420"/>
        <w:jc w:val="both"/>
      </w:pPr>
      <w:r>
        <w:rPr>
          <w:rFonts w:ascii="Arial" w:hAnsi="Arial" w:eastAsia="宋体"/>
          <w:b w:val="0"/>
          <w:i w:val="0"/>
          <w:color w:val="000000"/>
          <w:sz w:val="24"/>
        </w:rPr>
        <w:t>本系统核算口径为 Well-to-Wheel（井口到车轮），即"一滴汽油"燃料本身的全生命周期碳足迹，不含车辆制造等其他系统；系统数据为科普参考值，仅用于教学与科普展示，</w:t>
      </w:r>
      <w:r>
        <w:rPr>
          <w:rFonts w:ascii="Arial" w:hAnsi="Arial" w:eastAsia="宋体"/>
          <w:b/>
          <w:i w:val="0"/>
          <w:color w:val="000000"/>
          <w:sz w:val="24"/>
        </w:rPr>
        <w:t>不作为商业产品碳足迹认证依据</w:t>
      </w:r>
      <w:r>
        <w:rPr>
          <w:rFonts w:ascii="Arial" w:hAnsi="Arial" w:eastAsia="宋体"/>
          <w:b w:val="0"/>
          <w:i w:val="0"/>
          <w:color w:val="000000"/>
          <w:sz w:val="24"/>
        </w:rPr>
        <w:t>。</w:t>
      </w:r>
    </w:p>
    <w:p>
      <w:pPr>
        <w:pStyle w:val="Heading1"/>
        <w:spacing w:line="312" w:lineRule="auto" w:before="280" w:after="120"/>
        <w:jc w:val="left"/>
      </w:pPr>
      <w:r>
        <w:rPr>
          <w:rFonts w:ascii="Arial" w:hAnsi="Arial" w:eastAsia="黑体"/>
          <w:b/>
          <w:i w:val="0"/>
          <w:color w:val="000000"/>
          <w:sz w:val="32"/>
        </w:rPr>
        <w:t>4 国内外现状</w:t>
      </w:r>
    </w:p>
    <w:p>
      <w:pPr>
        <w:spacing w:line="360" w:lineRule="auto" w:before="0" w:after="0"/>
        <w:ind w:firstLine="420"/>
        <w:jc w:val="both"/>
      </w:pPr>
      <w:r>
        <w:rPr>
          <w:rFonts w:ascii="Arial" w:hAnsi="Arial" w:eastAsia="宋体"/>
          <w:b/>
          <w:i w:val="0"/>
          <w:color w:val="000000"/>
          <w:sz w:val="24"/>
        </w:rPr>
        <w:t>（1）研究层面。</w:t>
      </w:r>
      <w:r>
        <w:rPr>
          <w:rFonts w:ascii="Arial" w:hAnsi="Arial" w:eastAsia="宋体"/>
          <w:b w:val="0"/>
          <w:i w:val="0"/>
          <w:color w:val="000000"/>
          <w:sz w:val="24"/>
        </w:rPr>
        <w:t xml:space="preserve"> 国内外对汽油/石油产品碳足迹已有较系统的研究基础：国际方面以 IPCC 国家温室气体清单指南（2006/2019）的燃料排放因子方法学为通用基础；国内方面，中国石油大学（北京）等机构开展了国内石油生产碳排放强度研究，吴明等基于物质流和生命周期分析研究了石油行业碳排放（《资源科学》2018），零碳实验室发布了《GHG S3.3 中国汽油和柴油上游排放因子》（2024），为国内汽油上游环节提供了可追溯的排放因子数据。</w:t>
      </w:r>
    </w:p>
    <w:p>
      <w:pPr>
        <w:spacing w:line="360" w:lineRule="auto" w:before="0" w:after="0"/>
        <w:ind w:firstLine="420"/>
        <w:jc w:val="both"/>
      </w:pPr>
      <w:r>
        <w:rPr>
          <w:rFonts w:ascii="Arial" w:hAnsi="Arial" w:eastAsia="宋体"/>
          <w:b/>
          <w:i w:val="0"/>
          <w:color w:val="000000"/>
          <w:sz w:val="24"/>
        </w:rPr>
        <w:t>（2）标准与政策层面。</w:t>
      </w:r>
      <w:r>
        <w:rPr>
          <w:rFonts w:ascii="Arial" w:hAnsi="Arial" w:eastAsia="宋体"/>
          <w:b w:val="0"/>
          <w:i w:val="0"/>
          <w:color w:val="000000"/>
          <w:sz w:val="24"/>
        </w:rPr>
        <w:t xml:space="preserve"> 国家已发布产品碳足迹核算通用国家标准 GB/T 24067-2024《温室气体 产品碳足迹 量化要求和指南》，生态环境部于 2025 年 1 月建成上线国家温室气体排放因子数据库（2026 年发布第二版，共 576 个因子），并出台《炼油行业节能降碳专项行动计划》等政策文件推动炼化环节减排；上海市生态环境局《上海市温室气体排放核算和报告指南》亦给出了汽油直接排放因子的官方口径（3.105 tCO₂/吨）。官方标准与数据库体系日趋完善，但面向大众的汽油碳足迹科普仍缺乏统一、易懂的呈现口径。</w:t>
      </w:r>
    </w:p>
    <w:p>
      <w:pPr>
        <w:spacing w:line="360" w:lineRule="auto" w:before="0" w:after="0"/>
        <w:ind w:firstLine="420"/>
        <w:jc w:val="both"/>
      </w:pPr>
      <w:r>
        <w:rPr>
          <w:rFonts w:ascii="Arial" w:hAnsi="Arial" w:eastAsia="宋体"/>
          <w:b/>
          <w:i w:val="0"/>
          <w:color w:val="000000"/>
          <w:sz w:val="24"/>
        </w:rPr>
        <w:t>（3）作品形态层面。</w:t>
      </w:r>
      <w:r>
        <w:rPr>
          <w:rFonts w:ascii="Arial" w:hAnsi="Arial" w:eastAsia="宋体"/>
          <w:b w:val="0"/>
          <w:i w:val="0"/>
          <w:color w:val="000000"/>
          <w:sz w:val="24"/>
        </w:rPr>
        <w:t xml:space="preserve"> 现有成果多为论文、报告与行业数据表，专业门槛高；市场上虽有个别碳足迹计算器，但普遍存在"数值来源不透明、全生命周期链条不完整、缺少交互式可视化与智能问答"的问题。</w:t>
      </w:r>
      <w:r>
        <w:rPr>
          <w:rFonts w:ascii="Arial" w:hAnsi="Arial" w:eastAsia="宋体"/>
          <w:b/>
          <w:i w:val="0"/>
          <w:color w:val="000000"/>
          <w:sz w:val="24"/>
        </w:rPr>
        <w:t>面向高职学生与社会大众的交互式汽油碳足迹科普可视化作品仍属空白</w:t>
      </w:r>
      <w:r>
        <w:rPr>
          <w:rFonts w:ascii="Arial" w:hAnsi="Arial" w:eastAsia="宋体"/>
          <w:b w:val="0"/>
          <w:i w:val="0"/>
          <w:color w:val="000000"/>
          <w:sz w:val="24"/>
        </w:rPr>
        <w:t>，本作品正立足这一缺口。</w:t>
      </w:r>
    </w:p>
    <w:p>
      <w:pPr>
        <w:spacing w:line="360" w:lineRule="auto" w:before="0" w:after="0"/>
        <w:ind w:firstLine="420"/>
        <w:jc w:val="both"/>
      </w:pPr>
      <w:r>
        <w:t>（4）与既有碳足迹计算工具的对比。 现有碳足迹计算器多为单一环节计算工具，普遍存在"数值来源不透明、全生命周期链条不完整、缺少叙事表达与智能问答"的问题；本作品从四个维度形成实质性改进，对比如下：</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宋体" w:hAnsi="宋体" w:eastAsia="宋体"/>
                <w:b/>
                <w:sz w:val="21"/>
              </w:rPr>
              <w:t>对比维度</w:t>
            </w:r>
          </w:p>
        </w:tc>
        <w:tc>
          <w:tcPr>
            <w:tcW w:type="dxa" w:w="3024"/>
          </w:tcPr>
          <w:p>
            <w:r>
              <w:rPr>
                <w:rFonts w:ascii="宋体" w:hAnsi="宋体" w:eastAsia="宋体"/>
                <w:b/>
                <w:sz w:val="21"/>
              </w:rPr>
              <w:t>现有碳足迹计算器/工具</w:t>
            </w:r>
          </w:p>
        </w:tc>
        <w:tc>
          <w:tcPr>
            <w:tcW w:type="dxa" w:w="3024"/>
          </w:tcPr>
          <w:p>
            <w:r>
              <w:rPr>
                <w:rFonts w:ascii="宋体" w:hAnsi="宋体" w:eastAsia="宋体"/>
                <w:b/>
                <w:sz w:val="21"/>
              </w:rPr>
              <w:t>本作品</w:t>
            </w:r>
          </w:p>
        </w:tc>
      </w:tr>
      <w:tr>
        <w:tc>
          <w:tcPr>
            <w:tcW w:type="dxa" w:w="3024"/>
          </w:tcPr>
          <w:p>
            <w:r>
              <w:rPr>
                <w:rFonts w:ascii="宋体" w:hAnsi="宋体" w:eastAsia="宋体"/>
                <w:sz w:val="21"/>
              </w:rPr>
              <w:t>生命周期覆盖</w:t>
            </w:r>
          </w:p>
        </w:tc>
        <w:tc>
          <w:tcPr>
            <w:tcW w:type="dxa" w:w="3024"/>
          </w:tcPr>
          <w:p>
            <w:r>
              <w:rPr>
                <w:rFonts w:ascii="宋体" w:hAnsi="宋体" w:eastAsia="宋体"/>
                <w:sz w:val="21"/>
              </w:rPr>
              <w:t>多只覆盖终端燃烧或单一环节</w:t>
            </w:r>
          </w:p>
        </w:tc>
        <w:tc>
          <w:tcPr>
            <w:tcW w:type="dxa" w:w="3024"/>
          </w:tcPr>
          <w:p>
            <w:r>
              <w:rPr>
                <w:rFonts w:ascii="宋体" w:hAnsi="宋体" w:eastAsia="宋体"/>
                <w:sz w:val="21"/>
              </w:rPr>
              <w:t>完整覆盖开采→运输→炼化→配送→燃烧五阶段（Well-to-Wheel），全链条一盘棋</w:t>
            </w:r>
          </w:p>
        </w:tc>
      </w:tr>
      <w:tr>
        <w:tc>
          <w:tcPr>
            <w:tcW w:type="dxa" w:w="3024"/>
          </w:tcPr>
          <w:p>
            <w:r>
              <w:rPr>
                <w:rFonts w:ascii="宋体" w:hAnsi="宋体" w:eastAsia="宋体"/>
                <w:sz w:val="21"/>
              </w:rPr>
              <w:t>数据来源</w:t>
            </w:r>
          </w:p>
        </w:tc>
        <w:tc>
          <w:tcPr>
            <w:tcW w:type="dxa" w:w="3024"/>
          </w:tcPr>
          <w:p>
            <w:r>
              <w:rPr>
                <w:rFonts w:ascii="宋体" w:hAnsi="宋体" w:eastAsia="宋体"/>
                <w:sz w:val="21"/>
              </w:rPr>
              <w:t>多为经验值，来源不透明</w:t>
            </w:r>
          </w:p>
        </w:tc>
        <w:tc>
          <w:tcPr>
            <w:tcW w:type="dxa" w:w="3024"/>
          </w:tcPr>
          <w:p>
            <w:r>
              <w:rPr>
                <w:rFonts w:ascii="宋体" w:hAnsi="宋体" w:eastAsia="宋体"/>
                <w:sz w:val="21"/>
              </w:rPr>
              <w:t>每组数据注明出处（零碳实验室/IPCC/上海市生态环境局等），关键数据交叉验证并注明误差范围</w:t>
            </w:r>
          </w:p>
        </w:tc>
      </w:tr>
      <w:tr>
        <w:tc>
          <w:tcPr>
            <w:tcW w:type="dxa" w:w="3024"/>
          </w:tcPr>
          <w:p>
            <w:r>
              <w:rPr>
                <w:rFonts w:ascii="宋体" w:hAnsi="宋体" w:eastAsia="宋体"/>
                <w:sz w:val="21"/>
              </w:rPr>
              <w:t>核算方法</w:t>
            </w:r>
          </w:p>
        </w:tc>
        <w:tc>
          <w:tcPr>
            <w:tcW w:type="dxa" w:w="3024"/>
          </w:tcPr>
          <w:p>
            <w:r>
              <w:rPr>
                <w:rFonts w:ascii="宋体" w:hAnsi="宋体" w:eastAsia="宋体"/>
                <w:sz w:val="21"/>
              </w:rPr>
              <w:t>一般不说明核算口径</w:t>
            </w:r>
          </w:p>
        </w:tc>
        <w:tc>
          <w:tcPr>
            <w:tcW w:type="dxa" w:w="3024"/>
          </w:tcPr>
          <w:p>
            <w:r>
              <w:rPr>
                <w:rFonts w:ascii="宋体" w:hAnsi="宋体" w:eastAsia="宋体"/>
                <w:sz w:val="21"/>
              </w:rPr>
              <w:t>排放因子法（活动数据×排放因子），依据 GB/T 24067-2024，页面可随时查看</w:t>
            </w:r>
          </w:p>
        </w:tc>
      </w:tr>
      <w:tr>
        <w:tc>
          <w:tcPr>
            <w:tcW w:type="dxa" w:w="3024"/>
          </w:tcPr>
          <w:p>
            <w:r>
              <w:rPr>
                <w:rFonts w:ascii="宋体" w:hAnsi="宋体" w:eastAsia="宋体"/>
                <w:sz w:val="21"/>
              </w:rPr>
              <w:t>叙事表达</w:t>
            </w:r>
          </w:p>
        </w:tc>
        <w:tc>
          <w:tcPr>
            <w:tcW w:type="dxa" w:w="3024"/>
          </w:tcPr>
          <w:p>
            <w:r>
              <w:rPr>
                <w:rFonts w:ascii="宋体" w:hAnsi="宋体" w:eastAsia="宋体"/>
                <w:sz w:val="21"/>
              </w:rPr>
              <w:t>纯工具界面，无故事</w:t>
            </w:r>
          </w:p>
        </w:tc>
        <w:tc>
          <w:tcPr>
            <w:tcW w:type="dxa" w:w="3024"/>
          </w:tcPr>
          <w:p>
            <w:r>
              <w:rPr>
                <w:rFonts w:ascii="宋体" w:hAnsi="宋体" w:eastAsia="宋体"/>
                <w:sz w:val="21"/>
              </w:rPr>
              <w:t>七幕"一滴汽油的中国之旅"，从大庆油田到 3060 目标，讲中国双碳故事</w:t>
            </w:r>
          </w:p>
        </w:tc>
      </w:tr>
      <w:tr>
        <w:tc>
          <w:tcPr>
            <w:tcW w:type="dxa" w:w="3024"/>
          </w:tcPr>
          <w:p>
            <w:r>
              <w:rPr>
                <w:rFonts w:ascii="宋体" w:hAnsi="宋体" w:eastAsia="宋体"/>
                <w:sz w:val="21"/>
              </w:rPr>
              <w:t>AI 能力</w:t>
            </w:r>
          </w:p>
        </w:tc>
        <w:tc>
          <w:tcPr>
            <w:tcW w:type="dxa" w:w="3024"/>
          </w:tcPr>
          <w:p>
            <w:r>
              <w:rPr>
                <w:rFonts w:ascii="宋体" w:hAnsi="宋体" w:eastAsia="宋体"/>
                <w:sz w:val="21"/>
              </w:rPr>
              <w:t>多数无 AI，或为静态占位</w:t>
            </w:r>
          </w:p>
        </w:tc>
        <w:tc>
          <w:tcPr>
            <w:tcW w:type="dxa" w:w="3024"/>
          </w:tcPr>
          <w:p>
            <w:r>
              <w:rPr>
                <w:rFonts w:ascii="宋体" w:hAnsi="宋体" w:eastAsia="宋体"/>
                <w:sz w:val="21"/>
              </w:rPr>
              <w:t>真实可用的 AI 解读、AI 问答、AI 减排建议（通义千问 qwen-plus），回答自动标识</w:t>
            </w:r>
          </w:p>
        </w:tc>
      </w:tr>
      <w:tr>
        <w:tc>
          <w:tcPr>
            <w:tcW w:type="dxa" w:w="3024"/>
          </w:tcPr>
          <w:p>
            <w:r>
              <w:rPr>
                <w:rFonts w:ascii="宋体" w:hAnsi="宋体" w:eastAsia="宋体"/>
                <w:sz w:val="21"/>
              </w:rPr>
              <w:t>面向对象</w:t>
            </w:r>
          </w:p>
        </w:tc>
        <w:tc>
          <w:tcPr>
            <w:tcW w:type="dxa" w:w="3024"/>
          </w:tcPr>
          <w:p>
            <w:r>
              <w:rPr>
                <w:rFonts w:ascii="宋体" w:hAnsi="宋体" w:eastAsia="宋体"/>
                <w:sz w:val="21"/>
              </w:rPr>
              <w:t>以行业、专业人员为主</w:t>
            </w:r>
          </w:p>
        </w:tc>
        <w:tc>
          <w:tcPr>
            <w:tcW w:type="dxa" w:w="3024"/>
          </w:tcPr>
          <w:p>
            <w:r>
              <w:rPr>
                <w:rFonts w:ascii="宋体" w:hAnsi="宋体" w:eastAsia="宋体"/>
                <w:sz w:val="21"/>
              </w:rPr>
              <w:t>面向高职学生与社会大众，移动端适配，可截图录屏二次传播</w:t>
            </w:r>
          </w:p>
        </w:tc>
      </w:tr>
    </w:tbl>
    <w:p>
      <w:pPr>
        <w:spacing w:line="360" w:lineRule="auto" w:before="0" w:after="0"/>
        <w:ind w:firstLine="420"/>
        <w:jc w:val="both"/>
      </w:pPr>
      <w:r>
        <w:t>综上，本作品不是对既有计算器的简单模仿或功能堆叠，而是以"数据可溯源、五阶段全链条、真实 AI 能力、中国故事叙事"四条差异形成实质性改进——把专业碳核算变成大众看得懂、算得清、愿意传播的数字中国故事，填补面向高职学生与社会大众的交互式汽油碳足迹科普可视化空白。</w:t>
      </w:r>
    </w:p>
    <w:p>
      <w:pPr>
        <w:pStyle w:val="Heading1"/>
        <w:spacing w:line="312" w:lineRule="auto" w:before="280" w:after="120"/>
        <w:jc w:val="left"/>
      </w:pPr>
      <w:r>
        <w:rPr>
          <w:rFonts w:ascii="Arial" w:hAnsi="Arial" w:eastAsia="黑体"/>
          <w:b/>
          <w:i w:val="0"/>
          <w:color w:val="000000"/>
          <w:sz w:val="32"/>
        </w:rPr>
        <w:t>5 作品创新点</w:t>
      </w:r>
    </w:p>
    <w:p>
      <w:pPr>
        <w:spacing w:line="360" w:lineRule="auto" w:after="0"/>
        <w:ind w:left="425" w:hanging="227"/>
      </w:pPr>
      <w:r>
        <w:rPr>
          <w:rFonts w:ascii="Arial" w:hAnsi="Arial" w:eastAsia="宋体"/>
          <w:b w:val="0"/>
          <w:i w:val="0"/>
          <w:color w:val="000000"/>
          <w:sz w:val="24"/>
        </w:rPr>
        <w:t xml:space="preserve">1. </w:t>
      </w:r>
      <w:r>
        <w:rPr>
          <w:rFonts w:ascii="Arial" w:hAnsi="Arial" w:eastAsia="宋体"/>
          <w:b/>
          <w:i w:val="0"/>
          <w:color w:val="000000"/>
          <w:sz w:val="24"/>
        </w:rPr>
        <w:t>专业内容创新</w:t>
      </w:r>
      <w:r>
        <w:rPr>
          <w:rFonts w:ascii="Arial" w:hAnsi="Arial" w:eastAsia="宋体"/>
          <w:b w:val="0"/>
          <w:i w:val="0"/>
          <w:color w:val="000000"/>
          <w:sz w:val="24"/>
        </w:rPr>
        <w:t>：将汽油产品碳足迹 LCA 生命周期评价方法从专业标准转化为大众可理解的交互式可视化作品；</w:t>
      </w:r>
    </w:p>
    <w:p>
      <w:pPr>
        <w:spacing w:line="360" w:lineRule="auto" w:after="0"/>
        <w:ind w:left="425" w:hanging="227"/>
      </w:pPr>
      <w:r>
        <w:t>2. 叙事创新：以"一滴汽油的中国之旅"为叙事主线，用七幕结构讲述中国从"贫油国"到能源大国、迈向双碳强国的转型故事，把碳排放数据绑定到工艺节点与时代节点，让作品从"数据工具"升级为"数字中国故事"；</w:t>
      </w:r>
    </w:p>
    <w:p>
      <w:pPr>
        <w:spacing w:line="360" w:lineRule="auto" w:after="0"/>
        <w:ind w:left="425" w:hanging="227"/>
      </w:pPr>
      <w:r>
        <w:rPr>
          <w:rFonts w:ascii="Arial" w:hAnsi="Arial" w:eastAsia="宋体"/>
          <w:b w:val="0"/>
          <w:i w:val="0"/>
          <w:color w:val="000000"/>
          <w:sz w:val="24"/>
        </w:rPr>
        <w:t xml:space="preserve">3. </w:t>
      </w:r>
      <w:r>
        <w:rPr>
          <w:rFonts w:ascii="Arial" w:hAnsi="Arial" w:eastAsia="宋体"/>
          <w:b/>
          <w:i w:val="0"/>
          <w:color w:val="000000"/>
          <w:sz w:val="24"/>
        </w:rPr>
        <w:t>技术融合创新</w:t>
      </w:r>
      <w:r>
        <w:rPr>
          <w:rFonts w:ascii="Arial" w:hAnsi="Arial" w:eastAsia="宋体"/>
          <w:b w:val="0"/>
          <w:i w:val="0"/>
          <w:color w:val="000000"/>
          <w:sz w:val="24"/>
        </w:rPr>
        <w:t>：网页可视化（ECharts）+ 真实大模型 AI 问答结合，实现"看得见的数据"与"问得出的知识"双重体验；</w:t>
      </w:r>
    </w:p>
    <w:p>
      <w:pPr>
        <w:spacing w:line="360" w:lineRule="auto" w:after="0"/>
        <w:ind w:left="425" w:hanging="227"/>
      </w:pPr>
      <w:r>
        <w:rPr>
          <w:rFonts w:ascii="Arial" w:hAnsi="Arial" w:eastAsia="宋体"/>
          <w:b w:val="0"/>
          <w:i w:val="0"/>
          <w:color w:val="000000"/>
          <w:sz w:val="24"/>
        </w:rPr>
        <w:t xml:space="preserve">4. </w:t>
      </w:r>
      <w:r>
        <w:rPr>
          <w:rFonts w:ascii="Arial" w:hAnsi="Arial" w:eastAsia="宋体"/>
          <w:b/>
          <w:i w:val="0"/>
          <w:color w:val="000000"/>
          <w:sz w:val="24"/>
        </w:rPr>
        <w:t>数据可信创新</w:t>
      </w:r>
      <w:r>
        <w:rPr>
          <w:rFonts w:ascii="Arial" w:hAnsi="Arial" w:eastAsia="宋体"/>
          <w:b w:val="0"/>
          <w:i w:val="0"/>
          <w:color w:val="000000"/>
          <w:sz w:val="24"/>
        </w:rPr>
        <w:t>：每个环节数据均标注来源，并支持"查看数据来源"溯源弹窗，做到可追溯、可核算、可复算；</w:t>
      </w:r>
    </w:p>
    <w:p>
      <w:pPr>
        <w:spacing w:line="360" w:lineRule="auto" w:after="0"/>
        <w:ind w:left="425" w:hanging="227"/>
      </w:pPr>
      <w:r>
        <w:rPr>
          <w:rFonts w:ascii="Arial" w:hAnsi="Arial" w:eastAsia="宋体"/>
          <w:b w:val="0"/>
          <w:i w:val="0"/>
          <w:color w:val="000000"/>
          <w:sz w:val="24"/>
        </w:rPr>
        <w:t xml:space="preserve">5. </w:t>
      </w:r>
      <w:r>
        <w:rPr>
          <w:rFonts w:ascii="Arial" w:hAnsi="Arial" w:eastAsia="宋体"/>
          <w:b/>
          <w:i w:val="0"/>
          <w:color w:val="000000"/>
          <w:sz w:val="24"/>
        </w:rPr>
        <w:t>应用价值创新</w:t>
      </w:r>
      <w:r>
        <w:rPr>
          <w:rFonts w:ascii="Arial" w:hAnsi="Arial" w:eastAsia="宋体"/>
          <w:b w:val="0"/>
          <w:i w:val="0"/>
          <w:color w:val="000000"/>
          <w:sz w:val="24"/>
        </w:rPr>
        <w:t>：服务石化专业教学科普与大众传播，弥补面向高职学生的双碳科普数字素材缺口。</w:t>
      </w:r>
    </w:p>
    <w:p>
      <w:pPr>
        <w:pStyle w:val="Heading1"/>
        <w:spacing w:line="312" w:lineRule="auto" w:before="280" w:after="120"/>
        <w:jc w:val="left"/>
      </w:pPr>
      <w:r>
        <w:rPr>
          <w:rFonts w:ascii="Arial" w:hAnsi="Arial" w:eastAsia="黑体"/>
          <w:b/>
          <w:i w:val="0"/>
          <w:color w:val="000000"/>
          <w:sz w:val="32"/>
        </w:rPr>
        <w:t>6 技术实现</w:t>
      </w:r>
    </w:p>
    <w:p>
      <w:pPr>
        <w:pStyle w:val="Heading2"/>
        <w:spacing w:line="312" w:lineRule="auto" w:before="220" w:after="100"/>
        <w:jc w:val="left"/>
      </w:pPr>
      <w:r>
        <w:rPr>
          <w:rFonts w:ascii="Arial" w:hAnsi="Arial" w:eastAsia="黑体"/>
          <w:b/>
          <w:i w:val="0"/>
          <w:color w:val="000000"/>
          <w:sz w:val="28"/>
        </w:rPr>
        <w:t>6.1 整体架构</w:t>
      </w:r>
    </w:p>
    <w:p>
      <w:pPr>
        <w:pStyle w:val="ListBullet"/>
        <w:spacing w:line="360" w:lineRule="auto" w:after="0"/>
        <w:ind w:left="425"/>
      </w:pPr>
      <w:r>
        <w:rPr>
          <w:rFonts w:ascii="Arial" w:hAnsi="Arial" w:eastAsia="宋体"/>
          <w:b/>
          <w:i w:val="0"/>
          <w:color w:val="000000"/>
          <w:sz w:val="24"/>
        </w:rPr>
        <w:t>前端</w:t>
      </w:r>
      <w:r>
        <w:rPr>
          <w:rFonts w:ascii="Arial" w:hAnsi="Arial" w:eastAsia="宋体"/>
          <w:b w:val="0"/>
          <w:i w:val="0"/>
          <w:color w:val="000000"/>
          <w:sz w:val="24"/>
        </w:rPr>
        <w:t>：原生 HTML + CSS + JavaScript，单页应用（SPA），ECharts 5 图表库渲染可视化</w:t>
      </w:r>
    </w:p>
    <w:p>
      <w:pPr>
        <w:pStyle w:val="ListBullet"/>
        <w:spacing w:line="360" w:lineRule="auto" w:after="0"/>
        <w:ind w:left="425"/>
      </w:pPr>
      <w:r>
        <w:rPr>
          <w:rFonts w:ascii="Arial" w:hAnsi="Arial" w:eastAsia="宋体"/>
          <w:b/>
          <w:i w:val="0"/>
          <w:color w:val="000000"/>
          <w:sz w:val="24"/>
        </w:rPr>
        <w:t>数据层</w:t>
      </w:r>
      <w:r>
        <w:rPr>
          <w:rFonts w:ascii="Arial" w:hAnsi="Arial" w:eastAsia="宋体"/>
          <w:b w:val="0"/>
          <w:i w:val="0"/>
          <w:color w:val="000000"/>
          <w:sz w:val="24"/>
        </w:rPr>
        <w:t>：本地 js/data.js 结构化存储五阶段数据，每条数据包含：阶段名称、排放数值、占比、描述、关键要点、</w:t>
      </w:r>
      <w:r>
        <w:rPr>
          <w:rFonts w:ascii="Arial" w:hAnsi="Arial" w:eastAsia="宋体"/>
          <w:b/>
          <w:i w:val="0"/>
          <w:color w:val="000000"/>
          <w:sz w:val="24"/>
        </w:rPr>
        <w:t>数据来源</w:t>
      </w:r>
      <w:r>
        <w:rPr>
          <w:rFonts w:ascii="Arial" w:hAnsi="Arial" w:eastAsia="宋体"/>
          <w:b w:val="0"/>
          <w:i w:val="0"/>
          <w:color w:val="000000"/>
          <w:sz w:val="24"/>
        </w:rPr>
        <w:t>；修改数据只需更新数据文件，页面自动同步</w:t>
      </w:r>
    </w:p>
    <w:p>
      <w:pPr>
        <w:pStyle w:val="ListBullet"/>
        <w:spacing w:line="360" w:lineRule="auto" w:after="0"/>
        <w:ind w:left="425"/>
      </w:pPr>
      <w:r>
        <w:rPr>
          <w:rFonts w:ascii="Arial" w:hAnsi="Arial" w:eastAsia="宋体"/>
          <w:b w:val="0"/>
          <w:i w:val="0"/>
          <w:color w:val="000000"/>
          <w:sz w:val="24"/>
        </w:rPr>
        <w:t>AI 层：调用阿里云百炼 · 通义千问（qwen-plus）大模型 API（OpenAI 兼容接口），通过系统提示词（System Prompt）限定知识库范围，实现四项 AI 功能（详见 6.3）</w:t>
      </w:r>
      <w:r>
        <w:rPr>
          <w:rFonts w:ascii="Arial" w:hAnsi="Arial" w:eastAsia="宋体"/>
          <w:b w:val="0"/>
          <w:i w:val="0"/>
          <w:color w:val="000000"/>
          <w:sz w:val="24"/>
        </w:rPr>
      </w:r>
    </w:p>
    <w:p>
      <w:pPr>
        <w:pStyle w:val="ListBullet"/>
        <w:spacing w:line="360" w:lineRule="auto" w:after="0"/>
        <w:ind w:left="425"/>
      </w:pPr>
      <w:r>
        <w:rPr>
          <w:rFonts w:ascii="Arial" w:hAnsi="Arial" w:eastAsia="宋体"/>
          <w:b/>
          <w:i w:val="0"/>
          <w:color w:val="000000"/>
          <w:sz w:val="24"/>
        </w:rPr>
        <w:t>部署</w:t>
      </w:r>
      <w:r>
        <w:rPr>
          <w:rFonts w:ascii="Arial" w:hAnsi="Arial" w:eastAsia="宋体"/>
          <w:b w:val="0"/>
          <w:i w:val="0"/>
          <w:color w:val="000000"/>
          <w:sz w:val="24"/>
        </w:rPr>
        <w:t>：已部署至 GitHub Pages 静态托管并公开访问：https://happies-yang.github.io/carbon-track/，无需服务器、可长期访问验证；同时保留完整本地离线工程包</w:t>
      </w:r>
    </w:p>
    <w:p>
      <w:pPr>
        <w:pStyle w:val="Heading2"/>
        <w:spacing w:line="312" w:lineRule="auto" w:before="220" w:after="100"/>
        <w:jc w:val="left"/>
      </w:pPr>
      <w:r>
        <w:rPr>
          <w:rFonts w:ascii="Arial" w:hAnsi="Arial" w:eastAsia="黑体"/>
          <w:b/>
          <w:i w:val="0"/>
          <w:color w:val="000000"/>
          <w:sz w:val="28"/>
        </w:rPr>
        <w:t>6.2 页面模块</w:t>
      </w:r>
    </w:p>
    <w:p>
      <w:pPr>
        <w:spacing w:line="360" w:lineRule="auto" w:after="0"/>
        <w:ind w:left="425" w:hanging="227"/>
      </w:pPr>
      <w:r>
        <w:rPr>
          <w:rFonts w:ascii="Arial" w:hAnsi="Arial" w:eastAsia="宋体"/>
          <w:b w:val="0"/>
          <w:i w:val="0"/>
          <w:color w:val="000000"/>
          <w:sz w:val="24"/>
        </w:rPr>
        <w:t>1. 叙事流首页（八幕）：序幕·一滴油 → 第一幕·地下的中国 → 第二幕·流动的中国 → 第三幕·燃烧的时代 → 第四幕·减得下的中国 → 转折·算得清 → 证据·数据会说话 → 落点·你我参与；含全生命周期碳足迹总量、五阶段占比环形图、全链条分布柱状图、五阶段碳排放趋势折线图、系统核算边界、燃油车 vs 电动车入口卡片、中国时间轴、关于本作品弹窗</w:t>
      </w:r>
    </w:p>
    <w:p>
      <w:pPr>
        <w:spacing w:line="360" w:lineRule="auto" w:after="0"/>
        <w:ind w:left="425" w:hanging="227"/>
      </w:pPr>
      <w:r>
        <w:rPr>
          <w:rFonts w:ascii="Arial" w:hAnsi="Arial" w:eastAsia="宋体"/>
          <w:b w:val="0"/>
          <w:i w:val="0"/>
          <w:color w:val="000000"/>
          <w:sz w:val="24"/>
        </w:rPr>
        <w:t>2. 证据库 · 五大生命周期环节详情：五阶段点击切换，展示环节说明、柱状图、关键要点、数据来源弹窗（含官网溯源链接）、AI 环节级减排建议入口</w:t>
      </w:r>
      <w:r>
        <w:rPr>
          <w:rFonts w:ascii="Arial" w:hAnsi="Arial" w:eastAsia="宋体"/>
          <w:b w:val="0"/>
          <w:i w:val="0"/>
          <w:color w:val="000000"/>
          <w:sz w:val="24"/>
        </w:rPr>
      </w:r>
    </w:p>
    <w:p>
      <w:pPr>
        <w:spacing w:line="360" w:lineRule="auto" w:after="0"/>
        <w:ind w:left="425" w:hanging="227"/>
      </w:pPr>
      <w:r>
        <w:rPr>
          <w:rFonts w:ascii="Arial" w:hAnsi="Arial" w:eastAsia="宋体"/>
          <w:b w:val="0"/>
          <w:i w:val="0"/>
          <w:color w:val="000000"/>
          <w:sz w:val="24"/>
        </w:rPr>
        <w:t>3. 证据库 · 燃油车 vs 电动车：每公里碳排放对比柱状图 + 多维对比雷达图（科普定性评分），含对比结论与口径说明</w:t>
      </w:r>
    </w:p>
    <w:p>
      <w:pPr>
        <w:spacing w:line="360" w:lineRule="auto" w:after="0"/>
        <w:ind w:left="425" w:hanging="227"/>
      </w:pPr>
      <w:r>
        <w:rPr>
          <w:rFonts w:ascii="Arial" w:hAnsi="Arial" w:eastAsia="宋体"/>
          <w:b w:val="0"/>
          <w:i w:val="0"/>
          <w:color w:val="000000"/>
          <w:sz w:val="24"/>
        </w:rPr>
        <w:t>4. AI 助手（故事解说员）：AI 环节解读、AI 数据问答、AI 场景化减排建议、AI 环节级减排建议（四项），AI 生成内容标识</w:t>
      </w:r>
    </w:p>
    <w:p>
      <w:pPr>
        <w:pStyle w:val="Heading2"/>
        <w:spacing w:line="312" w:lineRule="auto" w:before="220" w:after="100"/>
        <w:jc w:val="left"/>
      </w:pPr>
      <w:r>
        <w:rPr>
          <w:rFonts w:ascii="Arial" w:hAnsi="Arial" w:eastAsia="黑体"/>
          <w:b/>
          <w:i w:val="0"/>
          <w:color w:val="000000"/>
          <w:sz w:val="28"/>
        </w:rPr>
        <w:t>6.3 AI 功能实现（真实可用）</w:t>
      </w:r>
    </w:p>
    <w:p>
      <w:pPr>
        <w:pStyle w:val="ListBullet"/>
        <w:spacing w:line="360" w:lineRule="auto" w:after="0"/>
        <w:ind w:left="425"/>
      </w:pPr>
      <w:r>
        <w:rPr>
          <w:rFonts w:ascii="Arial" w:hAnsi="Arial" w:eastAsia="宋体"/>
          <w:b w:val="0"/>
          <w:i w:val="0"/>
          <w:color w:val="000000"/>
          <w:sz w:val="24"/>
        </w:rPr>
        <w:t>① AI 解读当前环节：点击生命周期环节，将环节数据传入大模型，生成面向大众的科普解读</w:t>
      </w:r>
      <w:r>
        <w:rPr>
          <w:rFonts w:ascii="Arial" w:hAnsi="Arial" w:eastAsia="宋体"/>
          <w:b w:val="0"/>
          <w:i w:val="0"/>
          <w:color w:val="000000"/>
          <w:sz w:val="24"/>
        </w:rPr>
      </w:r>
    </w:p>
    <w:p>
      <w:pPr>
        <w:pStyle w:val="ListBullet"/>
        <w:spacing w:line="360" w:lineRule="auto" w:after="0"/>
        <w:ind w:left="425"/>
      </w:pPr>
      <w:r>
        <w:rPr>
          <w:rFonts w:ascii="Arial" w:hAnsi="Arial" w:eastAsia="宋体"/>
          <w:b w:val="0"/>
          <w:i w:val="0"/>
          <w:color w:val="000000"/>
          <w:sz w:val="24"/>
        </w:rPr>
        <w:t>② AI 数据问答：用户自由提问，模型仅基于系统知识库（引用的标准与文献）回答，超出知识库明确提示</w:t>
      </w:r>
      <w:r>
        <w:rPr>
          <w:rFonts w:ascii="Arial" w:hAnsi="Arial" w:eastAsia="宋体"/>
          <w:b w:val="0"/>
          <w:i w:val="0"/>
          <w:color w:val="000000"/>
          <w:sz w:val="24"/>
        </w:rPr>
      </w:r>
    </w:p>
    <w:p>
      <w:pPr>
        <w:pStyle w:val="ListBullet"/>
        <w:spacing w:line="360" w:lineRule="auto" w:after="0"/>
        <w:ind w:left="425"/>
      </w:pPr>
      <w:r>
        <w:rPr>
          <w:rFonts w:ascii="Arial" w:hAnsi="Arial" w:eastAsia="宋体"/>
          <w:b w:val="0"/>
          <w:i w:val="0"/>
          <w:color w:val="000000"/>
          <w:sz w:val="24"/>
        </w:rPr>
        <w:t>③ AI 减排建议（场景化）：选择场景（学生 / 车主 / 公众），生成科普型减排建议</w:t>
      </w:r>
      <w:r>
        <w:rPr>
          <w:rFonts w:ascii="Arial" w:hAnsi="Arial" w:eastAsia="宋体"/>
          <w:b w:val="0"/>
          <w:i w:val="0"/>
          <w:color w:val="000000"/>
          <w:sz w:val="24"/>
        </w:rPr>
      </w:r>
    </w:p>
    <w:p>
      <w:pPr>
        <w:pStyle w:val="ListBullet"/>
        <w:spacing w:line="360" w:lineRule="auto" w:after="0"/>
        <w:ind w:left="425"/>
      </w:pPr>
      <w:r>
        <w:rPr>
          <w:rFonts w:ascii="Arial" w:hAnsi="Arial" w:eastAsia="宋体"/>
          <w:b w:val="0"/>
          <w:i w:val="0"/>
          <w:color w:val="000000"/>
          <w:sz w:val="24"/>
        </w:rPr>
        <w:t>④ AI 环节级减排建议：生命周期详情页每个环节提供"AI 减排建议"按钮，一键跳转 AI 助手并针对该环节生成减排建议</w:t>
      </w:r>
      <w:r>
        <w:rPr>
          <w:rFonts w:ascii="Arial" w:hAnsi="Arial" w:eastAsia="宋体"/>
          <w:b w:val="0"/>
          <w:i w:val="0"/>
          <w:color w:val="000000"/>
          <w:sz w:val="24"/>
        </w:rPr>
      </w:r>
    </w:p>
    <w:p>
      <w:pPr>
        <w:spacing w:line="360" w:lineRule="auto"/>
        <w:ind w:firstLine="420"/>
        <w:jc w:val="both"/>
      </w:pPr>
      <w:r>
        <w:rPr>
          <w:rFonts w:ascii="Arial" w:hAnsi="Arial" w:eastAsia="宋体"/>
          <w:b w:val="0"/>
          <w:sz w:val="24"/>
        </w:rPr>
        <w:t>约束策略：系统提示词强制限定模型只能使用项目资料，禁止编造数据，输出末尾附科普免责声明。AI 生成内容标识属合规机制，不计入 AI 功能数量</w:t>
      </w:r>
    </w:p>
    <w:p>
      <w:pPr>
        <w:spacing w:line="360" w:lineRule="auto"/>
        <w:ind w:firstLine="420"/>
        <w:jc w:val="both"/>
      </w:pPr>
      <w:r>
        <w:rPr>
          <w:rFonts w:ascii="Arial" w:hAnsi="Arial" w:eastAsia="宋体"/>
          <w:b w:val="0"/>
          <w:sz w:val="24"/>
        </w:rPr>
        <w:t>AI 生成标识：所有 AI 回复末尾由前端强制附加"（AI 生成内容，仅供科普参考，不构成专业碳足迹认证依据）"标识，符合生成式 AI 内容标识要求</w:t>
      </w:r>
    </w:p>
    <w:p>
      <w:pPr>
        <w:pStyle w:val="ListBullet"/>
        <w:spacing w:line="360" w:lineRule="auto" w:after="0"/>
        <w:ind w:left="425"/>
      </w:pPr>
      <w:r>
        <w:rPr>
          <w:rFonts w:ascii="Arial" w:hAnsi="Arial" w:eastAsia="宋体"/>
          <w:b w:val="0"/>
          <w:i w:val="0"/>
          <w:color w:val="000000"/>
          <w:sz w:val="24"/>
        </w:rPr>
        <w:t>可验证性：AI 问答已接入真实 API，演示视频完整呈现 AI 实测（提问"CCUS 是什么"，AI 实时返回专业回答），完整实测截图见随附证据文件，可当堂复现验证</w:t>
      </w:r>
      <w:r>
        <w:rPr>
          <w:rFonts w:ascii="Arial" w:hAnsi="Arial" w:eastAsia="宋体"/>
          <w:b w:val="0"/>
          <w:i w:val="0"/>
          <w:color w:val="000000"/>
          <w:sz w:val="24"/>
        </w:rPr>
      </w:r>
    </w:p>
    <w:p>
      <w:pPr>
        <w:pStyle w:val="Heading1"/>
        <w:spacing w:line="312" w:lineRule="auto" w:before="280" w:after="120"/>
        <w:jc w:val="left"/>
      </w:pPr>
      <w:r>
        <w:rPr>
          <w:rFonts w:ascii="Arial" w:hAnsi="Arial" w:eastAsia="黑体"/>
          <w:b/>
          <w:i w:val="0"/>
          <w:color w:val="000000"/>
          <w:sz w:val="32"/>
        </w:rPr>
        <w:t>7 系统功能模块说明</w:t>
      </w:r>
    </w:p>
    <w:p>
      <w:pPr>
        <w:spacing w:line="360" w:lineRule="auto" w:before="0" w:after="0"/>
        <w:ind w:firstLine="420"/>
        <w:jc w:val="both"/>
      </w:pPr>
      <w:r>
        <w:rPr>
          <w:rFonts w:ascii="Arial" w:hAnsi="Arial" w:eastAsia="宋体"/>
          <w:b w:val="0"/>
          <w:i w:val="0"/>
          <w:color w:val="000000"/>
          <w:sz w:val="24"/>
        </w:rPr>
        <w:t>（1）首页总览模块。 展示一滴汽油全生命周期碳足迹总量 2.68 kgCO₂e/L（五阶段三位小数口径：开采 0.196、运输 0.039、炼化 0.220、配送 0.013、燃烧 2.210，合计 2.678 ≈ 2.68）；五阶段占比环形图直观呈现各环节贡献（燃烧环节占 82.5%，上游合计 17.5%）；全链条分布柱状图展示各环节绝对数值；页面同时给出系统核算边界说明。</w:t>
      </w:r>
      <w:r>
        <w:rPr>
          <w:rFonts w:ascii="Arial" w:hAnsi="Arial" w:eastAsia="宋体"/>
          <w:b w:val="0"/>
          <w:i w:val="0"/>
          <w:color w:val="000000"/>
          <w:sz w:val="24"/>
        </w:rPr>
      </w:r>
    </w:p>
    <w:p>
      <w:pPr>
        <w:spacing w:line="360" w:lineRule="auto" w:before="0" w:after="0"/>
        <w:ind w:firstLine="420"/>
        <w:jc w:val="both"/>
      </w:pPr>
      <w:r>
        <w:rPr>
          <w:rFonts w:ascii="Arial" w:hAnsi="Arial" w:eastAsia="宋体"/>
          <w:b/>
          <w:i w:val="0"/>
          <w:color w:val="000000"/>
          <w:sz w:val="24"/>
        </w:rPr>
        <w:t>（2）生命周期详情模块。</w:t>
      </w:r>
      <w:r>
        <w:rPr>
          <w:rFonts w:ascii="Arial" w:hAnsi="Arial" w:eastAsia="宋体"/>
          <w:b w:val="0"/>
          <w:i w:val="0"/>
          <w:color w:val="000000"/>
          <w:sz w:val="24"/>
        </w:rPr>
        <w:t xml:space="preserve"> 顶部五个环节标签（开采 / 运输 / 炼化 / 配送 / 燃烧）可点击切换，每个环节展示：环节说明、排放数值与占比、关键要点（如开采环节的甲烷逸散、炼化环节的制氢排放、配送环节的储运损耗）、"查看数据来源"弹窗（标注该环节数据的文献出处与核算路径）。</w:t>
      </w:r>
    </w:p>
    <w:p>
      <w:pPr>
        <w:spacing w:line="360" w:lineRule="auto" w:before="0" w:after="0"/>
        <w:ind w:firstLine="420"/>
        <w:jc w:val="both"/>
      </w:pPr>
      <w:r>
        <w:rPr>
          <w:rFonts w:ascii="Arial" w:hAnsi="Arial" w:eastAsia="宋体"/>
          <w:b w:val="0"/>
          <w:i w:val="0"/>
          <w:color w:val="000000"/>
          <w:sz w:val="24"/>
        </w:rPr>
        <w:t>（3）燃油车 vs 电动车对比模块。 按每公里碳排放进行对比：燃油车约 0.21 kgCO₂/km（按本系统汽油全生命周期因子折算），电动车约 0.09 kgCO₂/km（按百公里电耗 15 kWh 含充电损耗 × 全国电力平均碳足迹因子 0.5777 kgCO₂e/kWh 估算，约为燃油车的四成），页面注明科普参考口径，并说明两者口径一致、均不含整车及动力电池制造环节，帮助公众建立绿色出行认知；电动车估算依据生态环境部《关于发布2024年电力碳足迹因子数据的公告》全国电力平均碳足迹因子 0.5777 kgCO₂e/kWh</w:t>
      </w:r>
    </w:p>
    <w:p>
      <w:pPr>
        <w:spacing w:line="360" w:lineRule="auto" w:before="0" w:after="0"/>
        <w:ind w:firstLine="420"/>
        <w:jc w:val="both"/>
      </w:pPr>
      <w:r>
        <w:rPr>
          <w:rFonts w:ascii="Arial" w:hAnsi="Arial" w:eastAsia="宋体"/>
          <w:b w:val="0"/>
          <w:i w:val="0"/>
          <w:color w:val="000000"/>
          <w:sz w:val="24"/>
        </w:rPr>
        <w:t>（4）AI 智能助手模块。 集成四项真实 AI 功能：①AI 解读当前环节；②AI 数据问答（自由提问，基于知识库回答）；③AI 减排建议（按学生 / 车主 / 公众场景生成）；④AI 环节级减排建议（详情页跳转）。AI 回答末尾统一附科普免责声明并强制附加 AI 生成标识。</w:t>
      </w:r>
      <w:r>
        <w:rPr>
          <w:rFonts w:ascii="Arial" w:hAnsi="Arial" w:eastAsia="宋体"/>
          <w:b w:val="0"/>
          <w:i w:val="0"/>
          <w:color w:val="000000"/>
          <w:sz w:val="24"/>
        </w:rPr>
      </w:r>
    </w:p>
    <w:p>
      <w:pPr>
        <w:pStyle w:val="Heading1"/>
        <w:spacing w:line="312" w:lineRule="auto" w:before="280" w:after="120"/>
        <w:jc w:val="left"/>
      </w:pPr>
      <w:r>
        <w:rPr>
          <w:rFonts w:ascii="Arial" w:hAnsi="Arial" w:eastAsia="黑体"/>
          <w:b/>
          <w:i w:val="0"/>
          <w:color w:val="000000"/>
          <w:sz w:val="32"/>
        </w:rPr>
        <w:t>8 数据来源</w:t>
      </w:r>
    </w:p>
    <w:p>
      <w:pPr>
        <w:spacing w:line="360" w:lineRule="auto" w:after="0"/>
        <w:ind w:left="425" w:hanging="227"/>
      </w:pPr>
      <w:r>
        <w:rPr>
          <w:rFonts w:ascii="Arial" w:hAnsi="Arial" w:eastAsia="宋体"/>
          <w:b w:val="0"/>
          <w:i w:val="0"/>
          <w:color w:val="000000"/>
          <w:sz w:val="24"/>
        </w:rPr>
        <w:t xml:space="preserve">1. </w:t>
      </w:r>
      <w:r>
        <w:rPr>
          <w:rFonts w:ascii="Arial" w:hAnsi="Arial" w:eastAsia="宋体"/>
          <w:b w:val="0"/>
          <w:i w:val="0"/>
          <w:color w:val="000000"/>
          <w:sz w:val="24"/>
        </w:rPr>
        <w:t>零碳实验室. GHG S3.3 中国汽油和柴油上游排放因子（2024）[R]. 2025.（主依据：上游开采/运输/炼化/分销）</w:t>
      </w:r>
    </w:p>
    <w:p>
      <w:pPr>
        <w:spacing w:line="360" w:lineRule="auto" w:after="0"/>
        <w:ind w:left="425" w:hanging="227"/>
      </w:pPr>
      <w:r>
        <w:rPr>
          <w:rFonts w:ascii="Arial" w:hAnsi="Arial" w:eastAsia="宋体"/>
          <w:b w:val="0"/>
          <w:i w:val="0"/>
          <w:color w:val="000000"/>
          <w:sz w:val="24"/>
        </w:rPr>
        <w:t xml:space="preserve">2. </w:t>
      </w:r>
      <w:r>
        <w:rPr>
          <w:rFonts w:ascii="Arial" w:hAnsi="Arial" w:eastAsia="宋体"/>
          <w:b w:val="0"/>
          <w:i w:val="0"/>
          <w:color w:val="000000"/>
          <w:sz w:val="24"/>
        </w:rPr>
        <w:t>IPCC. 2006/2019 IPCC Guidelines for National Greenhouse Gas Inventories[R].（终端燃烧排放因子）</w:t>
      </w:r>
    </w:p>
    <w:p>
      <w:pPr>
        <w:spacing w:line="360" w:lineRule="auto" w:after="0"/>
        <w:ind w:left="425" w:hanging="227"/>
      </w:pPr>
      <w:r>
        <w:rPr>
          <w:rFonts w:ascii="Arial" w:hAnsi="Arial" w:eastAsia="宋体"/>
          <w:b w:val="0"/>
          <w:i w:val="0"/>
          <w:color w:val="000000"/>
          <w:sz w:val="24"/>
        </w:rPr>
        <w:t xml:space="preserve">3. </w:t>
      </w:r>
      <w:r>
        <w:rPr>
          <w:rFonts w:ascii="Arial" w:hAnsi="Arial" w:eastAsia="宋体"/>
          <w:b w:val="0"/>
          <w:i w:val="0"/>
          <w:color w:val="000000"/>
          <w:sz w:val="24"/>
        </w:rPr>
        <w:t>中国石油大学（北京）. 中国国内石油生产碳排放强度及影响研究[R]. 2023.（开采环节依据）</w:t>
      </w:r>
    </w:p>
    <w:p>
      <w:pPr>
        <w:spacing w:line="360" w:lineRule="auto" w:after="0"/>
        <w:ind w:left="425" w:hanging="227"/>
      </w:pPr>
      <w:r>
        <w:rPr>
          <w:rFonts w:ascii="Arial" w:hAnsi="Arial" w:eastAsia="宋体"/>
          <w:b w:val="0"/>
          <w:i w:val="0"/>
          <w:color w:val="000000"/>
          <w:sz w:val="24"/>
        </w:rPr>
        <w:t xml:space="preserve">4. </w:t>
      </w:r>
      <w:r>
        <w:rPr>
          <w:rFonts w:ascii="Arial" w:hAnsi="Arial" w:eastAsia="宋体"/>
          <w:b w:val="0"/>
          <w:i w:val="0"/>
          <w:color w:val="000000"/>
          <w:sz w:val="24"/>
        </w:rPr>
        <w:t>国家发展改革委、国家能源局等. 炼油行业节能降碳专项行动计划[Z].（炼化减排政策依据）</w:t>
      </w:r>
    </w:p>
    <w:p>
      <w:pPr>
        <w:spacing w:line="360" w:lineRule="auto" w:after="0"/>
        <w:ind w:left="425" w:hanging="227"/>
      </w:pPr>
      <w:r>
        <w:rPr>
          <w:rFonts w:ascii="Arial" w:hAnsi="Arial" w:eastAsia="宋体"/>
          <w:b w:val="0"/>
          <w:i w:val="0"/>
          <w:color w:val="000000"/>
          <w:sz w:val="24"/>
        </w:rPr>
        <w:t xml:space="preserve">5. </w:t>
      </w:r>
      <w:r>
        <w:rPr>
          <w:rFonts w:ascii="Arial" w:hAnsi="Arial" w:eastAsia="宋体"/>
          <w:b w:val="0"/>
          <w:i w:val="0"/>
          <w:color w:val="000000"/>
          <w:sz w:val="24"/>
        </w:rPr>
        <w:t>朱珠等. 考虑配送成本和油库利用率的成品油配送系统多目标优化[J]. 石油科学通报, 2023, 8(2).（配送环节参考）</w:t>
      </w:r>
    </w:p>
    <w:p>
      <w:pPr>
        <w:spacing w:line="360" w:lineRule="auto" w:after="0"/>
        <w:ind w:left="425" w:hanging="227"/>
      </w:pPr>
      <w:r>
        <w:rPr>
          <w:rFonts w:ascii="Arial" w:hAnsi="Arial" w:eastAsia="宋体"/>
          <w:b w:val="0"/>
          <w:i w:val="0"/>
          <w:color w:val="000000"/>
          <w:sz w:val="24"/>
        </w:rPr>
        <w:t xml:space="preserve">6. </w:t>
      </w:r>
      <w:r>
        <w:rPr>
          <w:rFonts w:ascii="Arial" w:hAnsi="Arial" w:eastAsia="宋体"/>
          <w:b w:val="0"/>
          <w:i w:val="0"/>
          <w:color w:val="000000"/>
          <w:sz w:val="24"/>
        </w:rPr>
        <w:t>生态环境部. 国家温室气体排放因子数据库（第二版）[DB/OL]. 2026.（官方排放因子数据库）</w:t>
      </w:r>
    </w:p>
    <w:p>
      <w:pPr>
        <w:spacing w:line="360" w:lineRule="auto" w:after="0"/>
        <w:ind w:left="425" w:hanging="227"/>
      </w:pPr>
      <w:r>
        <w:rPr>
          <w:rFonts w:ascii="Arial" w:hAnsi="Arial" w:eastAsia="宋体"/>
          <w:b w:val="0"/>
          <w:i w:val="0"/>
          <w:color w:val="000000"/>
          <w:sz w:val="24"/>
        </w:rPr>
        <w:t xml:space="preserve">7. </w:t>
      </w:r>
      <w:r>
        <w:rPr>
          <w:rFonts w:ascii="Arial" w:hAnsi="Arial" w:eastAsia="宋体"/>
          <w:b w:val="0"/>
          <w:i w:val="0"/>
          <w:color w:val="000000"/>
          <w:sz w:val="24"/>
        </w:rPr>
        <w:t>上海市生态环境局. 上海市温室气体排放核算和报告指南[Z].（汽油直接排放 3.105 tCO₂/吨，密度按 0.73 kg/L，终端燃烧官方交叉验证）</w:t>
      </w:r>
    </w:p>
    <w:p>
      <w:pPr>
        <w:spacing w:line="360" w:lineRule="auto"/>
        <w:ind w:firstLine="420"/>
        <w:jc w:val="both"/>
      </w:pPr>
      <w:r>
        <w:rPr>
          <w:rFonts w:ascii="Arial" w:hAnsi="Arial" w:eastAsia="宋体"/>
          <w:sz w:val="24"/>
        </w:rPr>
        <w:t>8. 生态环境部. 关于发布2024年电力碳足迹因子数据的公告[Z]. 2025.（电动车对比核算依据：全国电力平均碳足迹因子 0.5777 kgCO₂e/kWh）</w:t>
      </w:r>
    </w:p>
    <w:p>
      <w:pPr>
        <w:spacing w:line="360" w:lineRule="auto" w:after="0"/>
        <w:ind w:left="425" w:hanging="227"/>
      </w:pPr>
      <w:r>
        <w:rPr>
          <w:rFonts w:ascii="Arial" w:hAnsi="Arial" w:eastAsia="宋体"/>
          <w:b w:val="0"/>
          <w:i w:val="0"/>
          <w:color w:val="000000"/>
          <w:sz w:val="24"/>
        </w:rPr>
        <w:t>9. 国家市场监督管理总局、国家标准化管理委员会. GB/T 24067-2024 温室气体 产品碳足迹 量化要求和指南[S]. 2024.（系统核算方法学国标依据）</w:t>
      </w:r>
    </w:p>
    <w:p>
      <w:r>
        <w:rPr>
          <w:b w:val="0"/>
        </w:rPr>
        <w:t>10. 中国节能协会. T/CECA-G 0292—2024 温室气体 产品碳足迹 量化要求和指南 石油制汽油[S]. 2024.（2024-05-30 发布、2024-05-31 实施，边界为摇篮到大门；本作品在其上游边界基础上扩展至 Well-to-Wheel，方法学链条由报告级升级到标准级）</w:t>
      </w:r>
    </w:p>
    <w:p>
      <w:pPr>
        <w:spacing w:line="312" w:lineRule="auto" w:after="80"/>
        <w:ind w:left="425"/>
      </w:pPr>
      <w:r>
        <w:rPr>
          <w:rFonts w:ascii="Arial" w:hAnsi="Arial" w:eastAsia="楷体"/>
          <w:b w:val="0"/>
          <w:i w:val="0"/>
          <w:color w:val="000000"/>
          <w:sz w:val="24"/>
        </w:rPr>
        <w:t>✅ 系统数据已核实更新：上游 0.4691 kgCO₂e/L（零碳实验室 2024，按汽油密度 0.74 kg/L 由 kgCO₂e/吨油品换算）+ 终端燃烧约 2.21 kgCO₂e/L（IPCC），全生命周期约 2.68 kgCO₂e/L。</w:t>
      </w:r>
    </w:p>
    <w:p>
      <w:r>
        <w:rPr>
          <w:b w:val="0"/>
        </w:rPr>
        <w:t>✅ 五阶段三位小数口径已统一：原油勘探与开采 0.196 kgCO₂e/L（7.3%）、原油运输 0.039 kgCO₂e/L（1.5%）、炼油炼化 0.220 kgCO₂e/L（8.2%）、成品油配送储运 0.013 kgCO₂e/L（0.5%）、机动车终端燃烧 2.210 kgCO₂e/L（82.5%），合计 2.678 ≈ 2.68 kgCO₂e/L，占比合计 100.0%；开采与运输环节为上游合并值的估算拆分（按原油运输环节能耗占比约 16% 拆分），页面与本文档均已如实标注。</w:t>
      </w:r>
    </w:p>
    <w:p>
      <w:pPr>
        <w:spacing w:line="312" w:lineRule="auto" w:after="80"/>
        <w:ind w:left="425"/>
      </w:pPr>
      <w:r>
        <w:rPr>
          <w:rFonts w:ascii="Arial" w:hAnsi="Arial" w:eastAsia="楷体"/>
          <w:b w:val="0"/>
          <w:i w:val="0"/>
          <w:color w:val="000000"/>
          <w:sz w:val="24"/>
        </w:rPr>
        <w:t>✅ 终端燃烧已做官方交叉验证：上海市生态环境局指南汽油直接排放 3.105 tCO₂/吨 ≈ 2.27 kgCO₂/L，与 IPCC 换算的 2.21 kgCO₂/L 差异 &lt;3%（密度取值 0.73/0.74 不同所致），互相印证。</w:t>
      </w:r>
    </w:p>
    <w:p>
      <w:pPr>
        <w:spacing w:line="312" w:lineRule="auto" w:after="80"/>
        <w:ind w:left="425"/>
      </w:pPr>
      <w:r>
        <w:rPr>
          <w:rFonts w:ascii="Arial" w:hAnsi="Arial" w:eastAsia="楷体"/>
          <w:b w:val="0"/>
          <w:i w:val="0"/>
          <w:color w:val="000000"/>
          <w:sz w:val="24"/>
        </w:rPr>
        <w:t>⚠️ 网页中每个阶段图表均设有"查看数据来源"弹窗，保证数据可追溯；各环节拆分中，开采与运输环节为文献合并值的合理拆分估算，页面与本文档均已如实标注。</w:t>
      </w:r>
    </w:p>
    <w:p>
      <w:pPr>
        <w:pStyle w:val="Heading1"/>
        <w:spacing w:line="312" w:lineRule="auto" w:before="280" w:after="120"/>
        <w:jc w:val="left"/>
      </w:pPr>
      <w:r>
        <w:rPr>
          <w:rFonts w:ascii="Arial" w:hAnsi="Arial" w:eastAsia="黑体"/>
          <w:b/>
          <w:i w:val="0"/>
          <w:color w:val="000000"/>
          <w:sz w:val="32"/>
        </w:rPr>
        <w:t>9 AI 功能设计与约束策略</w:t>
      </w:r>
    </w:p>
    <w:p>
      <w:pPr>
        <w:spacing w:line="360" w:lineRule="auto" w:before="0" w:after="0"/>
        <w:ind w:firstLine="420"/>
        <w:jc w:val="both"/>
      </w:pPr>
      <w:r>
        <w:rPr>
          <w:rFonts w:ascii="Arial" w:hAnsi="Arial" w:eastAsia="宋体"/>
          <w:b/>
          <w:i w:val="0"/>
          <w:color w:val="000000"/>
          <w:sz w:val="24"/>
        </w:rPr>
        <w:t>（1）模型与接入。 采用阿里云百炼 · 通义千问 qwen-plus 大模型，通过 OpenAI 兼容接口在前端直接调用（演示版直连；正式公开部署需后端代理转发，避免 API Key 暴露，如 Vercel Serverless / Cloudflare Workers），真实可演示。</w:t>
      </w:r>
    </w:p>
    <w:p>
      <w:pPr>
        <w:spacing w:line="360" w:lineRule="auto" w:before="0" w:after="0"/>
        <w:ind w:firstLine="420"/>
        <w:jc w:val="both"/>
      </w:pPr>
      <w:r>
        <w:t>（2）知识库范围。 AI 回答基于系统内置碳足迹知识库（js/kb.js，38 条科普条目、11 项权威来源，覆盖五阶段数据与核算、政策与标准、减排路径、科普概念与 FAQ 边界）：包括国家温室气体排放因子数据库（2026 第二版、576 个因子）、生态环境部《2024年全国电力碳足迹因子》、国务院《2024—2025年节能降碳行动方案》、《石油天然气发展“十五五”规划》、《中华人民共和国能源法》、GB/T 24067-2024、零碳实验室中国汽油上游排放因子研究、炼油行业节能降碳专项行动计划及页面展示的系统数据。回答时按问题关键词检索命中条目并标注编号与来源，禁止回答知识库之外、且与系统主题无关的内容。</w:t>
      </w:r>
    </w:p>
    <w:p>
      <w:pPr>
        <w:spacing w:line="360" w:lineRule="auto" w:before="0" w:after="0"/>
        <w:ind w:firstLine="420"/>
        <w:jc w:val="both"/>
      </w:pPr>
      <w:r>
        <w:t>（3）系统提示词策略。 提示词明确要求：仅基于项目资料与知识库命中条目回答；涉及数值时优先引用页面数据（如 2.68 kgCO₂e/L、占比 82.5%）并标注知识库条目编号与来源名称；不得编造数据与来源；用户问题超出知识库时明确说明“该内容不在本系统资料范围内”。</w:t>
      </w:r>
    </w:p>
    <w:p>
      <w:pPr>
        <w:spacing w:line="360" w:lineRule="auto" w:before="0" w:after="0"/>
        <w:ind w:firstLine="420"/>
        <w:jc w:val="both"/>
      </w:pPr>
      <w:r>
        <w:rPr>
          <w:rFonts w:ascii="Arial" w:hAnsi="Arial" w:eastAsia="宋体"/>
          <w:b/>
          <w:i w:val="0"/>
          <w:color w:val="000000"/>
          <w:sz w:val="24"/>
        </w:rPr>
        <w:t>（4）越界处理与免责。 所有 AI 输出末尾统一附注："以上内容由 AI 生成，仅供科普参考，不构成专业碳足迹认证依据；精确数据以系统页面数据与作品说明文档为准。"防止 AI 回答被误用为权威结论。同时由前端代码强制附加“（AI 生成内容，仅供科普参考，不构成专业碳足迹认证依据）”标识，确保 AI 生成内容始终可辨识。</w:t>
      </w:r>
    </w:p>
    <w:p>
      <w:pPr>
        <w:spacing w:line="360" w:lineRule="auto" w:before="0" w:after="0"/>
        <w:ind w:firstLine="420"/>
        <w:jc w:val="both"/>
      </w:pPr>
      <w:r>
        <w:rPr>
          <w:rFonts w:ascii="Arial" w:hAnsi="Arial" w:eastAsia="宋体"/>
          <w:b/>
          <w:i w:val="0"/>
          <w:color w:val="000000"/>
          <w:sz w:val="24"/>
        </w:rPr>
        <w:t>（5）合规披露。</w:t>
      </w:r>
      <w:r>
        <w:rPr>
          <w:rFonts w:ascii="Arial" w:hAnsi="Arial" w:eastAsia="宋体"/>
          <w:b w:val="0"/>
          <w:i w:val="0"/>
          <w:color w:val="000000"/>
          <w:sz w:val="24"/>
        </w:rPr>
        <w:t xml:space="preserve"> 本作品已按竞赛要求如实填写《人工智能工具使用情况说明》，完整披露 AI 辅助开发、大模型 API 接入、文生图、视频制作等使用情况，全部可核验。</w:t>
      </w:r>
    </w:p>
    <w:p>
      <w:pPr>
        <w:pStyle w:val="Heading1"/>
        <w:spacing w:line="312" w:lineRule="auto" w:before="280" w:after="120"/>
        <w:jc w:val="left"/>
      </w:pPr>
      <w:r>
        <w:rPr>
          <w:rFonts w:ascii="Arial" w:hAnsi="Arial" w:eastAsia="黑体"/>
          <w:b/>
          <w:i w:val="0"/>
          <w:color w:val="000000"/>
          <w:sz w:val="32"/>
        </w:rPr>
        <w:t>10 完成情况</w:t>
      </w:r>
    </w:p>
    <w:p>
      <w:pPr>
        <w:pStyle w:val="Heading2"/>
        <w:spacing w:line="312" w:lineRule="auto" w:before="220" w:after="100"/>
        <w:jc w:val="left"/>
      </w:pPr>
      <w:r>
        <w:rPr>
          <w:rFonts w:ascii="Arial" w:hAnsi="Arial" w:eastAsia="黑体"/>
          <w:b/>
          <w:i w:val="0"/>
          <w:color w:val="000000"/>
          <w:sz w:val="28"/>
        </w:rPr>
        <w:t>10.1 已完成</w:t>
      </w:r>
    </w:p>
    <w:p>
      <w:pPr>
        <w:pStyle w:val="ListBullet"/>
        <w:spacing w:line="360" w:lineRule="auto" w:after="0"/>
        <w:ind w:left="425"/>
      </w:pPr>
      <w:r>
        <w:rPr>
          <w:rFonts w:ascii="Arial" w:hAnsi="Arial" w:eastAsia="宋体"/>
          <w:b w:val="0"/>
          <w:i w:val="0"/>
          <w:color w:val="000000"/>
          <w:sz w:val="24"/>
        </w:rPr>
        <w:t>五阶段全生命周期碳足迹数据整理与核实（权威口径 2.68 kgCO₂e/L，数据可追溯、可核算）</w:t>
      </w:r>
    </w:p>
    <w:p>
      <w:pPr>
        <w:pStyle w:val="ListBullet"/>
        <w:spacing w:line="360" w:lineRule="auto" w:after="0"/>
        <w:ind w:left="425"/>
      </w:pPr>
      <w:r>
        <w:rPr>
          <w:rFonts w:ascii="Arial" w:hAnsi="Arial" w:eastAsia="宋体"/>
          <w:b w:val="0"/>
          <w:i w:val="0"/>
          <w:color w:val="000000"/>
          <w:sz w:val="24"/>
        </w:rPr>
        <w:t>网页可视化系统完整实现（叙事流首页八幕、证据库生命周期详情、证据库对比页、AI 助手）</w:t>
      </w:r>
    </w:p>
    <w:p>
      <w:pPr>
        <w:pStyle w:val="ListBullet"/>
        <w:spacing w:line="360" w:lineRule="auto" w:after="0"/>
        <w:ind w:left="425"/>
      </w:pPr>
      <w:r>
        <w:rPr>
          <w:rFonts w:ascii="Arial" w:hAnsi="Arial" w:eastAsia="宋体"/>
          <w:b w:val="0"/>
          <w:i w:val="0"/>
          <w:color w:val="000000"/>
          <w:sz w:val="24"/>
        </w:rPr>
        <w:t>AI 功能接入真实大模型 API（通义千问 qwen-plus），解读 / 问答 / 场景化减排建议 / 环节级减排建议四项功能可实机演示</w:t>
      </w:r>
    </w:p>
    <w:p>
      <w:pPr>
        <w:pStyle w:val="ListBullet"/>
        <w:spacing w:line="360" w:lineRule="auto" w:after="0"/>
        <w:ind w:left="425"/>
      </w:pPr>
      <w:r>
        <w:rPr>
          <w:rFonts w:ascii="Arial" w:hAnsi="Arial" w:eastAsia="宋体"/>
          <w:b w:val="0"/>
          <w:i w:val="0"/>
          <w:color w:val="000000"/>
          <w:sz w:val="24"/>
        </w:rPr>
        <w:t>视觉素材制作（AI 生成 + PS 修正，页面配色统一）</w:t>
      </w:r>
    </w:p>
    <w:p>
      <w:pPr>
        <w:pStyle w:val="ListBullet"/>
        <w:spacing w:line="360" w:lineRule="auto" w:after="0"/>
        <w:ind w:left="425"/>
      </w:pPr>
      <w:r>
        <w:rPr>
          <w:rFonts w:ascii="Arial" w:hAnsi="Arial" w:eastAsia="宋体"/>
          <w:b w:val="0"/>
          <w:i w:val="0"/>
          <w:color w:val="000000"/>
          <w:sz w:val="24"/>
        </w:rPr>
        <w:t>静态部署上线：https://happies-yang.github.io/carbon-track/</w:t>
      </w:r>
    </w:p>
    <w:p>
      <w:pPr>
        <w:pStyle w:val="ListBullet"/>
        <w:spacing w:line="360" w:lineRule="auto" w:after="0"/>
        <w:ind w:left="425"/>
      </w:pPr>
      <w:r>
        <w:rPr>
          <w:rFonts w:ascii="Arial" w:hAnsi="Arial" w:eastAsia="宋体"/>
          <w:b w:val="0"/>
          <w:i w:val="0"/>
          <w:color w:val="000000"/>
          <w:sz w:val="24"/>
        </w:rPr>
        <w:t>3 分 33 秒剪映图文成片演示视频（成片《碳迹油链-演示视频-v3.mp4》，AI 配图 + AI 配音 + 字幕，完整呈现系统功能与 AI 实测，2026-10 版）</w:t>
      </w:r>
    </w:p>
    <w:p>
      <w:pPr>
        <w:pStyle w:val="ListBullet"/>
        <w:spacing w:line="360" w:lineRule="auto" w:after="0"/>
        <w:ind w:left="425"/>
      </w:pPr>
      <w:r>
        <w:rPr>
          <w:rFonts w:ascii="Arial" w:hAnsi="Arial" w:eastAsia="宋体"/>
          <w:b w:val="0"/>
          <w:i w:val="0"/>
          <w:color w:val="000000"/>
          <w:sz w:val="24"/>
        </w:rPr>
        <w:t>作品说明文档、AI 使用情况说明、原创性与知识产权声明、答辩 PPT、评委问题清单</w:t>
      </w:r>
    </w:p>
    <w:p>
      <w:pPr>
        <w:pStyle w:val="Heading2"/>
        <w:spacing w:line="312" w:lineRule="auto" w:before="220" w:after="100"/>
        <w:jc w:val="left"/>
      </w:pPr>
      <w:r>
        <w:rPr>
          <w:rFonts w:ascii="Arial" w:hAnsi="Arial" w:eastAsia="黑体"/>
          <w:b/>
          <w:i w:val="0"/>
          <w:color w:val="000000"/>
          <w:sz w:val="28"/>
        </w:rPr>
        <w:t>10.2 后续迭代计划</w:t>
      </w:r>
    </w:p>
    <w:p>
      <w:pPr>
        <w:pStyle w:val="ListBullet"/>
        <w:spacing w:line="360" w:lineRule="auto" w:after="0"/>
        <w:ind w:left="425"/>
      </w:pPr>
      <w:r>
        <w:rPr>
          <w:rFonts w:ascii="Arial" w:hAnsi="Arial" w:eastAsia="宋体"/>
          <w:b w:val="0"/>
          <w:i w:val="0"/>
          <w:color w:val="000000"/>
          <w:sz w:val="24"/>
        </w:rPr>
        <w:t>数据随最新权威研究发布定期更新（架构上仅需更新数据文件）</w:t>
      </w:r>
    </w:p>
    <w:p>
      <w:pPr>
        <w:pStyle w:val="ListBullet"/>
        <w:spacing w:line="360" w:lineRule="auto" w:after="0"/>
        <w:ind w:left="425"/>
      </w:pPr>
      <w:r>
        <w:rPr>
          <w:rFonts w:ascii="Arial" w:hAnsi="Arial" w:eastAsia="宋体"/>
          <w:b w:val="0"/>
          <w:i w:val="0"/>
          <w:color w:val="000000"/>
          <w:sz w:val="24"/>
        </w:rPr>
        <w:t>AI 知识库扩展（炼化工艺细节、CCUS 案例等）</w:t>
      </w:r>
    </w:p>
    <w:p>
      <w:pPr>
        <w:pStyle w:val="ListBullet"/>
        <w:spacing w:line="360" w:lineRule="auto" w:after="0"/>
        <w:ind w:left="425"/>
      </w:pPr>
      <w:r>
        <w:rPr>
          <w:rFonts w:ascii="Arial" w:hAnsi="Arial" w:eastAsia="宋体"/>
          <w:b w:val="0"/>
          <w:i w:val="0"/>
          <w:color w:val="000000"/>
          <w:sz w:val="24"/>
        </w:rPr>
        <w:t>增加"个人低碳出行测算"入口，扩大科普传播面</w:t>
      </w:r>
    </w:p>
    <w:p>
      <w:pPr>
        <w:pStyle w:val="Heading1"/>
        <w:spacing w:line="312" w:lineRule="auto" w:before="280" w:after="120"/>
        <w:jc w:val="left"/>
      </w:pPr>
      <w:r>
        <w:rPr>
          <w:rFonts w:ascii="Arial" w:hAnsi="Arial" w:eastAsia="黑体"/>
          <w:b/>
          <w:i w:val="0"/>
          <w:color w:val="000000"/>
          <w:sz w:val="32"/>
        </w:rPr>
        <w:t>11 应用与传播价值</w:t>
      </w:r>
    </w:p>
    <w:p>
      <w:pPr>
        <w:spacing w:line="360" w:lineRule="auto" w:before="0" w:after="0"/>
        <w:ind w:firstLine="420"/>
        <w:jc w:val="both"/>
      </w:pPr>
      <w:r>
        <w:rPr>
          <w:rFonts w:ascii="Arial" w:hAnsi="Arial" w:eastAsia="宋体"/>
          <w:b/>
          <w:i w:val="0"/>
          <w:color w:val="000000"/>
          <w:sz w:val="24"/>
        </w:rPr>
        <w:t>（1）教学科普。</w:t>
      </w:r>
      <w:r>
        <w:rPr>
          <w:rFonts w:ascii="Arial" w:hAnsi="Arial" w:eastAsia="宋体"/>
          <w:b w:val="0"/>
          <w:i w:val="0"/>
          <w:color w:val="000000"/>
          <w:sz w:val="24"/>
        </w:rPr>
        <w:t xml:space="preserve"> 可作为石油化工技术专业课程（化工原理、油品分析、绿色化工等）的双碳教学辅助素材，也可用于中小学科普课堂，服务"双碳知识进课堂、进社区"。</w:t>
      </w:r>
    </w:p>
    <w:p>
      <w:pPr>
        <w:spacing w:line="360" w:lineRule="auto" w:before="0" w:after="0"/>
        <w:ind w:firstLine="420"/>
        <w:jc w:val="both"/>
      </w:pPr>
      <w:r>
        <w:rPr>
          <w:rFonts w:ascii="Arial" w:hAnsi="Arial" w:eastAsia="宋体"/>
          <w:b/>
          <w:i w:val="0"/>
          <w:color w:val="000000"/>
          <w:sz w:val="24"/>
        </w:rPr>
        <w:t>（2）行业宣传。</w:t>
      </w:r>
      <w:r>
        <w:rPr>
          <w:rFonts w:ascii="Arial" w:hAnsi="Arial" w:eastAsia="宋体"/>
          <w:b w:val="0"/>
          <w:i w:val="0"/>
          <w:color w:val="000000"/>
          <w:sz w:val="24"/>
        </w:rPr>
        <w:t xml:space="preserve"> 系统直观呈现炼化环节在汽油全生命周期中的排放占比与减排空间（如 CCUS 技术应用），可作为石化行业绿色转型宣传的科普窗口。</w:t>
      </w:r>
    </w:p>
    <w:p>
      <w:pPr>
        <w:spacing w:line="360" w:lineRule="auto" w:before="0" w:after="0"/>
        <w:ind w:firstLine="420"/>
        <w:jc w:val="both"/>
      </w:pPr>
      <w:r>
        <w:rPr>
          <w:rFonts w:ascii="Arial" w:hAnsi="Arial" w:eastAsia="宋体"/>
          <w:b/>
          <w:i w:val="0"/>
          <w:color w:val="000000"/>
          <w:sz w:val="24"/>
        </w:rPr>
        <w:t>（3）政策宣讲。</w:t>
      </w:r>
      <w:r>
        <w:rPr>
          <w:rFonts w:ascii="Arial" w:hAnsi="Arial" w:eastAsia="宋体"/>
          <w:b w:val="0"/>
          <w:i w:val="0"/>
          <w:color w:val="000000"/>
          <w:sz w:val="24"/>
        </w:rPr>
        <w:t xml:space="preserve"> 以可视化方式讲清"双碳"目标下汽油消费端的排放事实，配合绿色出行宣传与政策宣讲，讲好中国"双碳"故事。</w:t>
      </w:r>
    </w:p>
    <w:p>
      <w:pPr>
        <w:spacing w:line="360" w:lineRule="auto" w:before="0" w:after="0"/>
        <w:ind w:firstLine="420"/>
        <w:jc w:val="both"/>
      </w:pPr>
      <w:r>
        <w:rPr>
          <w:rFonts w:ascii="Arial" w:hAnsi="Arial" w:eastAsia="宋体"/>
          <w:b/>
          <w:i w:val="0"/>
          <w:color w:val="000000"/>
          <w:sz w:val="24"/>
        </w:rPr>
        <w:t>（4）传播适配。</w:t>
      </w:r>
      <w:r>
        <w:rPr>
          <w:rFonts w:ascii="Arial" w:hAnsi="Arial" w:eastAsia="宋体"/>
          <w:b w:val="0"/>
          <w:i w:val="0"/>
          <w:color w:val="000000"/>
          <w:sz w:val="24"/>
        </w:rPr>
        <w:t xml:space="preserve"> 系统可截图、录屏二次传播，演示视频可投放短视频平台，数据与口径均可溯源，适合面向公众的科普传播。</w:t>
      </w:r>
    </w:p>
    <w:p>
      <w:pPr>
        <w:spacing w:line="360" w:lineRule="auto" w:before="0" w:after="0"/>
        <w:ind w:firstLine="420"/>
        <w:jc w:val="both"/>
      </w:pPr>
      <w:r>
        <w:t>（5）讲好中国故事。 本作品以"一滴汽油"为切口，用八幕叙事讲清"中国双碳故事"——从大庆油田到 3060 目标、从 GB/T 24067 落地到你我参与，把国家战略转化为大众可感知、可参与的故事，契合竞赛指定命题"科技+创意，讲好中国故事"，具备向公众传播的现实感染力。</w:t>
      </w:r>
    </w:p>
    <w:p>
      <w:pPr>
        <w:spacing w:line="360" w:lineRule="auto" w:before="0" w:after="0"/>
        <w:ind w:firstLine="420"/>
        <w:jc w:val="both"/>
      </w:pPr>
      <w:r>
        <w:t>（6）典型传播场景。 作品面向校园课堂、社区科普、新媒体三大场景落地，均可在线打开、扫码访问、无需安装，适合现场演示与二次传播：</w:t>
      </w:r>
    </w:p>
    <w:p>
      <w:pPr>
        <w:spacing w:line="360" w:lineRule="auto" w:before="0" w:after="0"/>
        <w:ind w:firstLine="420"/>
        <w:jc w:val="both"/>
      </w:pPr>
      <w:r>
        <w:t>场景一 · 校园双碳课堂：面向石油化工类高职学生与中小学科普课堂。在《化工原理》《油品分析》《绿色化工》等课程中，教师以网页五阶段环形图讲解"加一升油排多少碳"，学生用 AI 助手现场提问炼化减排与 CCUS 原理；课后以页面截图制作手抄报、展板，延伸为"双碳知识进课堂"主题活动。</w:t>
      </w:r>
    </w:p>
    <w:p>
      <w:pPr>
        <w:spacing w:line="360" w:lineRule="auto" w:before="0" w:after="0"/>
        <w:ind w:firstLine="420"/>
        <w:jc w:val="both"/>
      </w:pPr>
      <w:r>
        <w:t>场景二 · 社区科普活动：面向社区居民与家庭用户。结合社区服务中心、街道宣传活动与"双碳知识进社区"摊位，志愿者用平板或大屏演示燃油车 vs 电动车对比页，引导居民现场算"自家出行碳账"，扫码在线体验；对比结论直观，适合老年人与亲子家庭理解。</w:t>
      </w:r>
    </w:p>
    <w:p>
      <w:pPr>
        <w:spacing w:line="360" w:lineRule="auto" w:before="0" w:after="0"/>
        <w:ind w:firstLine="420"/>
        <w:jc w:val="both"/>
      </w:pPr>
      <w:r>
        <w:t>场景三 · 新媒体传播：面向短视频与图文平台公众用户。以 3-5 分钟演示视频投放抖音、B 站、小红书等平台，把八幕叙事拆解为系列科普图文（一幕一条）；页面截图制作信息图长图用于公众号与社区群传播；所有数据可溯源，内容经得起公众与媒体核验。</w:t>
      </w:r>
    </w:p>
    <w:p>
      <w:pPr>
        <w:pStyle w:val="Heading1"/>
        <w:spacing w:line="312" w:lineRule="auto" w:before="280" w:after="120"/>
        <w:jc w:val="left"/>
      </w:pPr>
      <w:r>
        <w:rPr>
          <w:rFonts w:ascii="Arial" w:hAnsi="Arial" w:eastAsia="黑体"/>
          <w:b/>
          <w:i w:val="0"/>
          <w:color w:val="000000"/>
          <w:sz w:val="32"/>
        </w:rPr>
        <w:t>12 团队分工</w:t>
      </w:r>
    </w:p>
    <w:tbl>
      <w:tblPr>
        <w:tblW w:type="auto" w:w="0"/>
        <w:jc w:val="center"/>
        <w:tblLayout w:type="fixed"/>
        <w:tblLook w:firstColumn="1" w:firstRow="1" w:lastColumn="0" w:lastRow="0" w:noHBand="0" w:noVBand="1" w:val="04A0"/>
        <w:tblBorders>
          <w:top w:val="single" w:sz="8" w:color="000000"/>
          <w:bottom w:val="single" w:sz="8" w:color="000000"/>
          <w:left w:val="single" w:sz="8" w:color="000000"/>
          <w:right w:val="single" w:sz="8" w:color="000000"/>
          <w:insideH w:val="single" w:sz="4" w:color="000000"/>
          <w:insideV w:val="single" w:sz="4" w:color="000000"/>
        </w:tblBorders>
      </w:tblPr>
      <w:tblGrid>
        <w:gridCol w:w="3024"/>
        <w:gridCol w:w="3024"/>
        <w:gridCol w:w="3024"/>
      </w:tblGrid>
      <w:tr>
        <w:tc>
          <w:tcPr>
            <w:tcW w:type="dxa" w:w="1701"/>
            <w:vAlign w:val="center"/>
            <w:shd w:val="clear" w:fill="D9D9D9"/>
          </w:tcPr>
          <w:p>
            <w:pPr>
              <w:spacing w:line="276" w:lineRule="auto"/>
              <w:jc w:val="center"/>
            </w:pPr>
            <w:r>
              <w:rPr>
                <w:rFonts w:ascii="Arial" w:hAnsi="Arial" w:eastAsia="宋体"/>
                <w:b/>
                <w:i w:val="0"/>
                <w:color w:val="000000"/>
                <w:sz w:val="21"/>
              </w:rPr>
              <w:t>成员</w:t>
            </w:r>
          </w:p>
        </w:tc>
        <w:tc>
          <w:tcPr>
            <w:tcW w:type="dxa" w:w="1474"/>
            <w:vAlign w:val="center"/>
            <w:shd w:val="clear" w:fill="D9D9D9"/>
          </w:tcPr>
          <w:p>
            <w:pPr>
              <w:spacing w:line="276" w:lineRule="auto"/>
              <w:jc w:val="center"/>
            </w:pPr>
            <w:r>
              <w:rPr>
                <w:rFonts w:ascii="Arial" w:hAnsi="Arial" w:eastAsia="宋体"/>
                <w:b/>
                <w:i w:val="0"/>
                <w:color w:val="000000"/>
                <w:sz w:val="21"/>
              </w:rPr>
              <w:t>角色</w:t>
            </w:r>
          </w:p>
        </w:tc>
        <w:tc>
          <w:tcPr>
            <w:tcW w:type="dxa" w:w="5783"/>
            <w:vAlign w:val="center"/>
            <w:shd w:val="clear" w:fill="D9D9D9"/>
          </w:tcPr>
          <w:p>
            <w:pPr>
              <w:spacing w:line="276" w:lineRule="auto"/>
              <w:jc w:val="center"/>
            </w:pPr>
            <w:r>
              <w:rPr>
                <w:rFonts w:ascii="Arial" w:hAnsi="Arial" w:eastAsia="宋体"/>
                <w:b/>
                <w:i w:val="0"/>
                <w:color w:val="000000"/>
                <w:sz w:val="21"/>
              </w:rPr>
              <w:t>核心工作</w:t>
            </w:r>
          </w:p>
        </w:tc>
      </w:tr>
      <w:tr>
        <w:tc>
          <w:tcPr>
            <w:tcW w:type="dxa" w:w="1701"/>
            <w:vAlign w:val="center"/>
          </w:tcPr>
          <w:p>
            <w:pPr>
              <w:spacing w:line="276" w:lineRule="auto"/>
              <w:jc w:val="center"/>
            </w:pPr>
            <w:r>
              <w:rPr>
                <w:rFonts w:ascii="Arial" w:hAnsi="Arial" w:eastAsia="宋体"/>
                <w:b w:val="0"/>
                <w:i w:val="0"/>
                <w:color w:val="000000"/>
                <w:sz w:val="21"/>
              </w:rPr>
              <w:t>杨德运</w:t>
            </w:r>
          </w:p>
        </w:tc>
        <w:tc>
          <w:tcPr>
            <w:tcW w:type="dxa" w:w="1474"/>
            <w:vAlign w:val="center"/>
          </w:tcPr>
          <w:p>
            <w:pPr>
              <w:spacing w:line="276" w:lineRule="auto"/>
              <w:jc w:val="center"/>
            </w:pPr>
            <w:r>
              <w:rPr>
                <w:rFonts w:ascii="Arial" w:hAnsi="Arial" w:eastAsia="宋体"/>
                <w:b w:val="0"/>
                <w:i w:val="0"/>
                <w:color w:val="000000"/>
                <w:sz w:val="21"/>
              </w:rPr>
              <w:t>项目负责人 · 数据与核算 · 前端与 AI</w:t>
            </w:r>
          </w:p>
        </w:tc>
        <w:tc>
          <w:tcPr>
            <w:tcW w:type="dxa" w:w="5783"/>
            <w:vAlign w:val="center"/>
          </w:tcPr>
          <w:p>
            <w:pPr>
              <w:spacing w:line="276" w:lineRule="auto"/>
              <w:jc w:val="left"/>
            </w:pPr>
            <w:r>
              <w:rPr>
                <w:rFonts w:ascii="Arial" w:hAnsi="Arial" w:eastAsia="宋体"/>
                <w:b w:val="0"/>
                <w:i w:val="0"/>
                <w:color w:val="000000"/>
                <w:sz w:val="21"/>
              </w:rPr>
              <w:t>系统边界确认；五阶段数据收集、换算与口径校验；网页前端开发与 ECharts 可视化；AI 功能 API 接入与提示词设计；材料统筹</w:t>
            </w:r>
          </w:p>
        </w:tc>
      </w:tr>
      <w:tr>
        <w:tc>
          <w:tcPr>
            <w:tcW w:type="dxa" w:w="1701"/>
            <w:vAlign w:val="center"/>
          </w:tcPr>
          <w:p>
            <w:pPr>
              <w:spacing w:line="276" w:lineRule="auto"/>
              <w:jc w:val="center"/>
            </w:pPr>
            <w:r>
              <w:rPr>
                <w:rFonts w:ascii="Arial" w:hAnsi="Arial" w:eastAsia="宋体"/>
                <w:b w:val="0"/>
                <w:i w:val="0"/>
                <w:color w:val="000000"/>
                <w:sz w:val="21"/>
              </w:rPr>
              <w:t>孟玉如</w:t>
            </w:r>
          </w:p>
        </w:tc>
        <w:tc>
          <w:tcPr>
            <w:tcW w:type="dxa" w:w="1474"/>
            <w:vAlign w:val="center"/>
          </w:tcPr>
          <w:p>
            <w:pPr>
              <w:spacing w:line="276" w:lineRule="auto"/>
              <w:jc w:val="center"/>
            </w:pPr>
            <w:r>
              <w:rPr>
                <w:rFonts w:ascii="Arial" w:hAnsi="Arial" w:eastAsia="宋体"/>
                <w:b w:val="0"/>
                <w:i w:val="0"/>
                <w:color w:val="000000"/>
                <w:sz w:val="21"/>
              </w:rPr>
              <w:t>视觉与内容 · 前端辅助</w:t>
            </w:r>
          </w:p>
        </w:tc>
        <w:tc>
          <w:tcPr>
            <w:tcW w:type="dxa" w:w="5783"/>
            <w:vAlign w:val="center"/>
          </w:tcPr>
          <w:p>
            <w:pPr>
              <w:spacing w:line="276" w:lineRule="auto"/>
              <w:jc w:val="left"/>
            </w:pPr>
            <w:r>
              <w:rPr>
                <w:rFonts w:ascii="Arial" w:hAnsi="Arial" w:eastAsia="宋体"/>
                <w:b w:val="0"/>
                <w:i w:val="0"/>
                <w:color w:val="000000"/>
                <w:sz w:val="21"/>
              </w:rPr>
              <w:t>AI 生成素材的 Photoshop 修正与整套视觉风格统一；页面内容文案整理；配合前端开发与页面测试</w:t>
            </w:r>
          </w:p>
        </w:tc>
      </w:tr>
      <w:tr>
        <w:tc>
          <w:tcPr>
            <w:tcW w:type="dxa" w:w="1701"/>
            <w:vAlign w:val="center"/>
          </w:tcPr>
          <w:p>
            <w:pPr>
              <w:spacing w:line="276" w:lineRule="auto"/>
              <w:jc w:val="center"/>
            </w:pPr>
            <w:r>
              <w:rPr>
                <w:rFonts w:ascii="Arial" w:hAnsi="Arial" w:eastAsia="宋体"/>
                <w:b w:val="0"/>
                <w:i w:val="0"/>
                <w:color w:val="000000"/>
                <w:sz w:val="21"/>
              </w:rPr>
              <w:t>乔嘉悦</w:t>
            </w:r>
          </w:p>
        </w:tc>
        <w:tc>
          <w:tcPr>
            <w:tcW w:type="dxa" w:w="1474"/>
            <w:vAlign w:val="center"/>
          </w:tcPr>
          <w:p>
            <w:pPr>
              <w:spacing w:line="276" w:lineRule="auto"/>
              <w:jc w:val="center"/>
            </w:pPr>
            <w:r>
              <w:rPr>
                <w:rFonts w:ascii="Arial" w:hAnsi="Arial" w:eastAsia="宋体"/>
                <w:b w:val="0"/>
                <w:i w:val="0"/>
                <w:color w:val="000000"/>
                <w:sz w:val="21"/>
              </w:rPr>
              <w:t>材料与答辩 · 内容与传播</w:t>
            </w:r>
          </w:p>
        </w:tc>
        <w:tc>
          <w:tcPr>
            <w:tcW w:type="dxa" w:w="5783"/>
            <w:vAlign w:val="center"/>
          </w:tcPr>
          <w:p>
            <w:pPr>
              <w:spacing w:line="276" w:lineRule="auto"/>
              <w:jc w:val="left"/>
            </w:pPr>
            <w:r>
              <w:rPr>
                <w:rFonts w:ascii="Arial" w:hAnsi="Arial" w:eastAsia="宋体"/>
                <w:b w:val="0"/>
                <w:i w:val="0"/>
                <w:color w:val="000000"/>
                <w:sz w:val="21"/>
              </w:rPr>
              <w:t>演示视频素材整理与剪辑配合；作品说明与答辩材料编写；官网报名与材料提交</w:t>
            </w:r>
          </w:p>
        </w:tc>
      </w:tr>
      <w:tr>
        <w:tc>
          <w:tcPr>
            <w:tcW w:type="dxa" w:w="1701"/>
            <w:vAlign w:val="center"/>
          </w:tcPr>
          <w:p>
            <w:pPr>
              <w:spacing w:line="276" w:lineRule="auto"/>
              <w:jc w:val="center"/>
            </w:pPr>
            <w:r>
              <w:rPr>
                <w:rFonts w:ascii="Arial" w:hAnsi="Arial" w:eastAsia="宋体"/>
                <w:b w:val="0"/>
                <w:i w:val="0"/>
                <w:color w:val="000000"/>
                <w:sz w:val="21"/>
              </w:rPr>
              <w:t>陈卫东（指导教师）</w:t>
            </w:r>
          </w:p>
        </w:tc>
        <w:tc>
          <w:tcPr>
            <w:tcW w:type="dxa" w:w="1474"/>
            <w:vAlign w:val="center"/>
          </w:tcPr>
          <w:p>
            <w:pPr>
              <w:spacing w:line="276" w:lineRule="auto"/>
              <w:jc w:val="center"/>
            </w:pPr>
            <w:r>
              <w:rPr>
                <w:rFonts w:ascii="Arial" w:hAnsi="Arial" w:eastAsia="宋体"/>
                <w:b w:val="0"/>
                <w:i w:val="0"/>
                <w:color w:val="000000"/>
                <w:sz w:val="21"/>
              </w:rPr>
              <w:t>技术指导</w:t>
            </w:r>
          </w:p>
        </w:tc>
        <w:tc>
          <w:tcPr>
            <w:tcW w:type="dxa" w:w="5783"/>
            <w:vAlign w:val="center"/>
          </w:tcPr>
          <w:p>
            <w:pPr>
              <w:spacing w:line="276" w:lineRule="auto"/>
              <w:jc w:val="left"/>
            </w:pPr>
            <w:r>
              <w:rPr>
                <w:rFonts w:ascii="Arial" w:hAnsi="Arial" w:eastAsia="宋体"/>
                <w:b w:val="0"/>
                <w:i w:val="0"/>
                <w:color w:val="000000"/>
                <w:sz w:val="21"/>
              </w:rPr>
              <w:t>选题论证、技术路线指导、数据口径把关、材料规范审核</w:t>
            </w:r>
          </w:p>
        </w:tc>
      </w:tr>
      <w:tr>
        <w:tc>
          <w:tcPr>
            <w:tcW w:type="dxa" w:w="1701"/>
            <w:vAlign w:val="center"/>
          </w:tcPr>
          <w:p>
            <w:pPr>
              <w:spacing w:line="276" w:lineRule="auto"/>
              <w:jc w:val="center"/>
            </w:pPr>
            <w:r>
              <w:rPr>
                <w:rFonts w:ascii="Arial" w:hAnsi="Arial" w:eastAsia="宋体"/>
                <w:b w:val="0"/>
                <w:i w:val="0"/>
                <w:color w:val="000000"/>
                <w:sz w:val="21"/>
              </w:rPr>
              <w:t>陈艳丽（指导教师）</w:t>
            </w:r>
          </w:p>
        </w:tc>
        <w:tc>
          <w:tcPr>
            <w:tcW w:type="dxa" w:w="1474"/>
            <w:vAlign w:val="center"/>
          </w:tcPr>
          <w:p>
            <w:pPr>
              <w:spacing w:line="276" w:lineRule="auto"/>
              <w:jc w:val="center"/>
            </w:pPr>
            <w:r>
              <w:rPr>
                <w:rFonts w:ascii="Arial" w:hAnsi="Arial" w:eastAsia="宋体"/>
                <w:b w:val="0"/>
                <w:i w:val="0"/>
                <w:color w:val="000000"/>
                <w:sz w:val="21"/>
              </w:rPr>
              <w:t>专业指导</w:t>
            </w:r>
          </w:p>
        </w:tc>
        <w:tc>
          <w:tcPr>
            <w:tcW w:type="dxa" w:w="5783"/>
            <w:vAlign w:val="center"/>
          </w:tcPr>
          <w:p>
            <w:pPr>
              <w:spacing w:line="276" w:lineRule="auto"/>
              <w:jc w:val="left"/>
            </w:pPr>
            <w:r>
              <w:rPr>
                <w:rFonts w:ascii="Arial" w:hAnsi="Arial" w:eastAsia="宋体"/>
                <w:b w:val="0"/>
                <w:i w:val="0"/>
                <w:color w:val="000000"/>
                <w:sz w:val="21"/>
              </w:rPr>
              <w:t>石化工艺环节内容校验、科普表达把关、合规审核</w:t>
            </w:r>
          </w:p>
        </w:tc>
      </w:tr>
    </w:tbl>
    <w:p>
      <w:pPr>
        <w:spacing w:line="240" w:lineRule="auto" w:before="0" w:after="0"/>
        <w:jc w:val="both"/>
      </w:pPr>
    </w:p>
    <w:p>
      <w:pPr>
        <w:pStyle w:val="Heading1"/>
        <w:spacing w:line="312" w:lineRule="auto" w:before="280" w:after="120"/>
        <w:jc w:val="left"/>
      </w:pPr>
      <w:r>
        <w:rPr>
          <w:rFonts w:ascii="Arial" w:hAnsi="Arial" w:eastAsia="黑体"/>
          <w:b/>
          <w:i w:val="0"/>
          <w:color w:val="000000"/>
          <w:sz w:val="32"/>
        </w:rPr>
        <w:t>13 参考文献</w:t>
      </w:r>
    </w:p>
    <w:p>
      <w:pPr>
        <w:spacing w:line="360" w:lineRule="auto" w:after="0"/>
        <w:ind w:left="425" w:hanging="227"/>
      </w:pPr>
      <w:r>
        <w:rPr>
          <w:rFonts w:ascii="Arial" w:hAnsi="Arial" w:eastAsia="宋体"/>
          <w:b w:val="0"/>
          <w:i w:val="0"/>
          <w:color w:val="000000"/>
          <w:sz w:val="24"/>
        </w:rPr>
        <w:t>1. 零碳实验室. GHG S3.3 中国汽油和柴油上游排放因子（2024）[R]. 北京: 零碳实验室, 2025.</w:t>
      </w:r>
      <w:r>
        <w:rPr>
          <w:rFonts w:ascii="Arial" w:hAnsi="Arial" w:eastAsia="宋体"/>
          <w:b w:val="0"/>
          <w:i w:val="0"/>
          <w:color w:val="000000"/>
          <w:sz w:val="24"/>
        </w:rPr>
      </w:r>
    </w:p>
    <w:p>
      <w:pPr>
        <w:spacing w:line="360" w:lineRule="auto" w:after="0"/>
        <w:ind w:left="425" w:hanging="227"/>
      </w:pPr>
      <w:r>
        <w:rPr>
          <w:rFonts w:ascii="Arial" w:hAnsi="Arial" w:eastAsia="宋体"/>
          <w:b w:val="0"/>
          <w:i w:val="0"/>
          <w:color w:val="000000"/>
          <w:sz w:val="24"/>
        </w:rPr>
        <w:t>2. IPCC. 2006 IPCC Guidelines for National Greenhouse Gas Inventories[R]. Geneva: IPCC, 2006.</w:t>
      </w:r>
      <w:r>
        <w:rPr>
          <w:rFonts w:ascii="Arial" w:hAnsi="Arial" w:eastAsia="宋体"/>
          <w:b w:val="0"/>
          <w:i w:val="0"/>
          <w:color w:val="000000"/>
          <w:sz w:val="24"/>
        </w:rPr>
      </w:r>
    </w:p>
    <w:p>
      <w:pPr>
        <w:spacing w:line="360" w:lineRule="auto" w:after="0"/>
        <w:ind w:left="425" w:hanging="227"/>
      </w:pPr>
      <w:r>
        <w:rPr>
          <w:rFonts w:ascii="Arial" w:hAnsi="Arial" w:eastAsia="宋体"/>
          <w:b w:val="0"/>
          <w:i w:val="0"/>
          <w:color w:val="000000"/>
          <w:sz w:val="24"/>
        </w:rPr>
        <w:t>3. 中国石油大学（北京）. 中国国内石油生产碳排放强度及影响研究[R]. 2023.</w:t>
      </w:r>
      <w:r>
        <w:rPr>
          <w:rFonts w:ascii="Arial" w:hAnsi="Arial" w:eastAsia="宋体"/>
          <w:b w:val="0"/>
          <w:i w:val="0"/>
          <w:color w:val="000000"/>
          <w:sz w:val="24"/>
        </w:rPr>
      </w:r>
    </w:p>
    <w:p>
      <w:pPr>
        <w:spacing w:line="360" w:lineRule="auto" w:after="0"/>
        <w:ind w:left="425" w:hanging="227"/>
      </w:pPr>
      <w:r>
        <w:rPr>
          <w:rFonts w:ascii="Arial" w:hAnsi="Arial" w:eastAsia="宋体"/>
          <w:b w:val="0"/>
          <w:i w:val="0"/>
          <w:color w:val="000000"/>
          <w:sz w:val="24"/>
        </w:rPr>
        <w:t>4. 吴明, 姜国强, 贾冯睿, 等. 基于物质流和生命周期分析的石油行业碳排放[J]. 资源科学, 2018, 40(6): 1287-1296.</w:t>
      </w:r>
      <w:r>
        <w:rPr>
          <w:rFonts w:ascii="Arial" w:hAnsi="Arial" w:eastAsia="宋体"/>
          <w:b w:val="0"/>
          <w:i w:val="0"/>
          <w:color w:val="000000"/>
          <w:sz w:val="24"/>
        </w:rPr>
      </w:r>
    </w:p>
    <w:p>
      <w:pPr>
        <w:spacing w:line="360" w:lineRule="auto" w:after="0"/>
        <w:ind w:left="425" w:hanging="227"/>
      </w:pPr>
      <w:r>
        <w:rPr>
          <w:rFonts w:ascii="Arial" w:hAnsi="Arial" w:eastAsia="宋体"/>
          <w:b w:val="0"/>
          <w:i w:val="0"/>
          <w:color w:val="000000"/>
          <w:sz w:val="24"/>
        </w:rPr>
        <w:t>5. 国家发展改革委, 国家能源局, 等. 炼油行业节能降碳专项行动计划[Z]. 2024.</w:t>
      </w:r>
      <w:r>
        <w:rPr>
          <w:rFonts w:ascii="Arial" w:hAnsi="Arial" w:eastAsia="宋体"/>
          <w:b w:val="0"/>
          <w:i w:val="0"/>
          <w:color w:val="000000"/>
          <w:sz w:val="24"/>
        </w:rPr>
      </w:r>
    </w:p>
    <w:p>
      <w:pPr>
        <w:spacing w:line="360" w:lineRule="auto" w:after="0"/>
        <w:ind w:left="425" w:hanging="227"/>
      </w:pPr>
      <w:r>
        <w:rPr>
          <w:rFonts w:ascii="Arial" w:hAnsi="Arial" w:eastAsia="宋体"/>
          <w:b w:val="0"/>
          <w:i w:val="0"/>
          <w:color w:val="000000"/>
          <w:sz w:val="24"/>
        </w:rPr>
        <w:t>6. 生态环境部. 国家温室气体排放因子数据库（第二版）[DB/OL]. 2026.</w:t>
      </w:r>
      <w:r>
        <w:rPr>
          <w:rFonts w:ascii="Arial" w:hAnsi="Arial" w:eastAsia="宋体"/>
          <w:b w:val="0"/>
          <w:i w:val="0"/>
          <w:color w:val="000000"/>
          <w:sz w:val="24"/>
        </w:rPr>
      </w:r>
    </w:p>
    <w:p>
      <w:pPr>
        <w:spacing w:line="360" w:lineRule="auto" w:after="0"/>
        <w:ind w:left="425" w:hanging="227"/>
      </w:pPr>
      <w:r>
        <w:rPr>
          <w:rFonts w:ascii="Arial" w:hAnsi="Arial" w:eastAsia="宋体"/>
          <w:b w:val="0"/>
          <w:i w:val="0"/>
          <w:color w:val="000000"/>
          <w:sz w:val="24"/>
        </w:rPr>
        <w:t>7. 上海市生态环境局. 上海市温室气体排放核算和报告指南[Z].</w:t>
      </w:r>
      <w:r>
        <w:rPr>
          <w:rFonts w:ascii="Arial" w:hAnsi="Arial" w:eastAsia="宋体"/>
          <w:b w:val="0"/>
          <w:i w:val="0"/>
          <w:color w:val="000000"/>
          <w:sz w:val="24"/>
        </w:rPr>
      </w:r>
    </w:p>
    <w:p>
      <w:pPr>
        <w:spacing w:line="360" w:lineRule="auto" w:after="0"/>
        <w:ind w:left="425" w:hanging="227"/>
      </w:pPr>
      <w:r>
        <w:rPr>
          <w:rFonts w:ascii="Arial" w:hAnsi="Arial" w:eastAsia="宋体"/>
          <w:b w:val="0"/>
          <w:i w:val="0"/>
          <w:color w:val="000000"/>
          <w:sz w:val="24"/>
        </w:rPr>
        <w:t>8. 生态环境部. 关于发布2024年电力碳足迹因子数据的公告[Z]. 2025.</w:t>
      </w:r>
    </w:p>
    <w:p>
      <w:pPr>
        <w:spacing w:line="360" w:lineRule="auto" w:after="0"/>
        <w:ind w:left="425" w:hanging="227"/>
      </w:pPr>
      <w:r>
        <w:rPr>
          <w:rFonts w:ascii="Arial" w:hAnsi="Arial" w:eastAsia="宋体"/>
          <w:b w:val="0"/>
          <w:i w:val="0"/>
          <w:color w:val="000000"/>
          <w:sz w:val="24"/>
        </w:rPr>
        <w:t>9. 国家市场监督管理总局、国家标准化管理委员会. GB/T 24067-2024 温室气体 产品碳足迹 量化要求和指南[S]. 2024.</w:t>
      </w:r>
      <w:r>
        <w:rPr>
          <w:rFonts w:ascii="Arial" w:hAnsi="Arial" w:eastAsia="宋体"/>
          <w:b w:val="0"/>
          <w:i w:val="0"/>
          <w:color w:val="000000"/>
          <w:sz w:val="24"/>
        </w:rPr>
      </w:r>
    </w:p>
    <w:p>
      <w:pPr>
        <w:spacing w:line="360" w:lineRule="auto" w:after="0"/>
        <w:ind w:left="425" w:hanging="227"/>
      </w:pPr>
      <w:r>
        <w:rPr>
          <w:rFonts w:ascii="Arial" w:hAnsi="Arial" w:eastAsia="宋体"/>
          <w:b w:val="0"/>
          <w:i w:val="0"/>
          <w:color w:val="000000"/>
          <w:sz w:val="24"/>
        </w:rPr>
        <w:t>10. 中国节能协会. T/CECA-G 0292—2024 温室气体 产品碳足迹 量化要求和指南 石油制汽油[S]. 2024.（本作品在其上游边界基础上扩展至 Well-to-Wheel）</w:t>
      </w:r>
      <w:r>
        <w:rPr>
          <w:rFonts w:ascii="Arial" w:hAnsi="Arial" w:eastAsia="宋体"/>
          <w:b w:val="0"/>
          <w:i w:val="0"/>
          <w:color w:val="000000"/>
          <w:sz w:val="24"/>
        </w:rPr>
      </w:r>
    </w:p>
    <w:p>
      <w:r>
        <w:rPr>
          <w:b w:val="0"/>
        </w:rPr>
        <w:t>11. 国家能源局石油天然气司, 等. 中国油气勘探开发发展报告 2025[R]. 2025.</w:t>
      </w:r>
    </w:p>
    <w:p>
      <w:pPr>
        <w:spacing w:line="360" w:lineRule="auto" w:after="0"/>
        <w:ind w:left="425" w:hanging="227"/>
      </w:pPr>
      <w:r>
        <w:rPr>
          <w:rFonts w:ascii="Arial" w:hAnsi="Arial" w:eastAsia="宋体"/>
          <w:b w:val="0"/>
          <w:i w:val="0"/>
          <w:color w:val="000000"/>
          <w:sz w:val="24"/>
        </w:rPr>
        <w:t>12. 朱珠, 张泽洲, 邱睿, 等. 考虑配送成本和油库利用率的成品油配送系统多目标优化[J]. 石油科学通报, 2023, 8(2): 204-213.</w:t>
      </w:r>
      <w:r>
        <w:rPr>
          <w:rFonts w:ascii="Arial" w:hAnsi="Arial" w:eastAsia="宋体"/>
          <w:b w:val="0"/>
          <w:i w:val="0"/>
          <w:color w:val="000000"/>
          <w:sz w:val="24"/>
        </w:rPr>
      </w:r>
    </w:p>
    <w:p>
      <w:pPr>
        <w:spacing w:line="240" w:lineRule="auto" w:before="0" w:after="0"/>
        <w:jc w:val="both"/>
        <w:pBdr>
          <w:bottom w:val="single" w:sz="6" w:color="000000"/>
        </w:pBdr>
      </w:pPr>
    </w:p>
    <w:p>
      <w:pPr>
        <w:spacing w:line="312" w:lineRule="auto" w:before="0" w:after="0"/>
        <w:jc w:val="center"/>
      </w:pPr>
      <w:r>
        <w:rPr>
          <w:rFonts w:ascii="Arial" w:hAnsi="Arial" w:eastAsia="楷体"/>
          <w:b w:val="0"/>
          <w:i w:val="0"/>
          <w:color w:val="000000"/>
          <w:sz w:val="24"/>
        </w:rPr>
        <w:t>本文档与《人工智能工具使用情况说明》《原创性声明与知识产权说明》共同构成作品申报材料。</w:t>
      </w:r>
    </w:p>
    <w:p>
      <w:pPr>
        <w:pStyle w:val="Heading1"/>
      </w:pPr>
      <w:r>
        <w:rPr>
          <w:rFonts w:ascii="微软雅黑" w:hAnsi="微软雅黑"/>
          <w:sz w:val="32"/>
        </w:rPr>
        <w:t>14 演示与访问方式</w:t>
      </w:r>
    </w:p>
    <w:p>
      <w:r>
        <w:rPr>
          <w:rFonts w:ascii="微软雅黑" w:hAnsi="微软雅黑"/>
          <w:sz w:val="24"/>
        </w:rPr>
        <w:t>14.1 线上访问（推荐）</w:t>
      </w:r>
    </w:p>
    <w:p>
      <w:r>
        <w:rPr>
          <w:rFonts w:ascii="微软雅黑" w:hAnsi="微软雅黑"/>
          <w:sz w:val="24"/>
        </w:rPr>
        <w:t>· 主链接：https://happies-yang.github.io/carbon-track/（已公开上线，评委可直接打开验证，无需安装任何软件）。</w:t>
      </w:r>
    </w:p>
    <w:p>
      <w:r>
        <w:rPr>
          <w:rFonts w:ascii="微软雅黑" w:hAnsi="微软雅黑"/>
          <w:sz w:val="24"/>
        </w:rPr>
        <w:t>· 建议使用 Chrome / Edge 等现代浏览器访问，手机与电脑均可正常显示。</w:t>
      </w:r>
    </w:p>
    <w:p>
      <w:r>
        <w:rPr>
          <w:rFonts w:ascii="微软雅黑" w:hAnsi="微软雅黑"/>
          <w:sz w:val="24"/>
        </w:rPr>
        <w:t>14.2 本地离线演示（备选方案）</w:t>
      </w:r>
    </w:p>
    <w:p>
      <w:r>
        <w:rPr>
          <w:rFonts w:ascii="微软雅黑" w:hAnsi="微软雅黑"/>
          <w:sz w:val="24"/>
        </w:rPr>
        <w:t>若答辩现场无法访问 GitHub Pages，可使用本材料包内“网页源码”文件夹：将文件夹复制到任意电脑，双击 index.html 即可在浏览器中打开，无需安装软件、无需联网。</w:t>
      </w:r>
    </w:p>
    <w:p>
      <w:r>
        <w:rPr>
          <w:rFonts w:ascii="微软雅黑" w:hAnsi="微软雅黑"/>
          <w:sz w:val="24"/>
        </w:rPr>
        <w:t>· 依赖说明：ECharts 图表库已本地化（js/echarts.min.js 随包分发），除 AI 功能外全部功能离线可用；</w:t>
      </w:r>
    </w:p>
    <w:p>
      <w:r>
        <w:rPr>
          <w:rFonts w:ascii="微软雅黑" w:hAnsi="微软雅黑"/>
          <w:sz w:val="24"/>
        </w:rPr>
        <w:t>· AI 功能：需联网调用大模型 API，API Key 已在前端配置（演示版直连；正式公开部署将改用后端代理转发，避免 Key 暴露）。</w:t>
      </w:r>
    </w:p>
    <w:p>
      <w:r>
        <w:rPr>
          <w:rFonts w:ascii="微软雅黑" w:hAnsi="微软雅黑"/>
          <w:sz w:val="24"/>
        </w:rPr>
        <w:t>14.3 素材来源与版权说明</w:t>
      </w:r>
    </w:p>
    <w:p>
      <w:r>
        <w:rPr>
          <w:rFonts w:ascii="微软雅黑" w:hAnsi="微软雅黑"/>
          <w:sz w:val="24"/>
        </w:rPr>
        <w:t>· 页面插画由 AI 图像生成工具生成初稿，经团队使用 Photoshop 人工修改（修正化工工艺结构错误、统一整套视觉风格）后使用；</w:t>
      </w:r>
    </w:p>
    <w:p>
      <w:r>
        <w:rPr>
          <w:rFonts w:ascii="微软雅黑" w:hAnsi="微软雅黑"/>
          <w:sz w:val="24"/>
        </w:rPr>
        <w:t>· 可视化图表（环形图、柱状图、折线图、雷达图）由学生基于核实数据自行设计与编码呈现；</w:t>
      </w:r>
    </w:p>
    <w:p>
      <w:r>
        <w:rPr>
          <w:rFonts w:ascii="微软雅黑" w:hAnsi="微软雅黑"/>
          <w:sz w:val="24"/>
        </w:rPr>
        <w:t>· 所用字体、图标均为开源或系统默认资源，无第三方商业素材版权风险；</w:t>
      </w:r>
    </w:p>
    <w:p>
      <w:r>
        <w:rPr>
          <w:rFonts w:ascii="微软雅黑" w:hAnsi="微软雅黑"/>
          <w:sz w:val="24"/>
        </w:rPr>
        <w:t>· 全部数据来源见第 13 章参考文献清单，AI 生成内容已按要求标识。</w:t>
      </w:r>
    </w:p>
    <w:p>
      <w:r>
        <w:rPr>
          <w:rFonts w:ascii="微软雅黑" w:hAnsi="微软雅黑"/>
          <w:sz w:val="24"/>
        </w:rPr>
        <w:t>14.4 答辩前自检提醒</w:t>
      </w:r>
    </w:p>
    <w:p>
      <w:r>
        <w:rPr>
          <w:rFonts w:ascii="微软雅黑" w:hAnsi="微软雅黑"/>
          <w:sz w:val="24"/>
        </w:rPr>
        <w:t>答辩前请再次访问主链接确认可打开；如现场网络受限，直接使用本地离线包演示。</w:t>
      </w:r>
    </w:p>
    <w:p>
      <w:r>
        <w:rPr>
          <w:b/>
        </w:rPr>
        <w:t>15 附件清单</w:t>
      </w:r>
    </w:p>
    <w:p>
      <w:r>
        <w:t>① 作品链接：https://happies-yang.github.io/carbon-track/（已公开上线，评委可直接打开验证，无需安装任何软件）</w:t>
      </w:r>
    </w:p>
    <w:p>
      <w:r>
        <w:t>② 演示视频：3 分 33 秒《碳迹油链-演示视频-v3.mp4》（AI 配图 + AI 配音 + 字幕的图文成片，完整呈现系统功能与 AI 实测）</w:t>
      </w:r>
    </w:p>
    <w:p>
      <w:r>
        <w:t>③ 《人工智能工具使用情况说明》（含全体成员签字）</w:t>
      </w:r>
    </w:p>
    <w:p>
      <w:r>
        <w:t>④ 《原创性声明与知识产权说明》（含全体成员与指导教师签字）</w:t>
      </w:r>
    </w:p>
    <w:p>
      <w:r>
        <w:t>⑤ 答辩 PPT（12 页评委导向版）</w:t>
      </w:r>
    </w:p>
    <w:p>
      <w:r>
        <w:t>⑥ 评委问题清单（答辩话术）</w:t>
      </w:r>
    </w:p>
    <w:p>
      <w:r>
        <w:t>⑦ 线上演示地址说明（含本地离线运行方式与依赖说明）</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i w:val="0"/>
        <w:color w:val="000000"/>
        <w:sz w:val="21"/>
      </w:r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