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第5章 GATNet注意力机制可解释性分析</w:t>
      </w:r>
    </w:p>
    <w:p>
      <w:pPr/>
      <w:r>
        <w:t>第4章的实验结果表明，GATNet及其混合方案在频谱效率、QoS满足率等多维度指标上表现优异。然而，GATNet作为一个端到端深度模型，"黑箱"特性使得其内部决策机制尚不明确——模型是如何利用注意力权重来区分不同干扰源的影响？注意力权重的分布是否具有合理的物理意义？多头注意力机制是否真正从多个视角捕获了干扰关系？回答上述问题对于理解模型行为、验证设计合理性具有重要意义。</w:t>
      </w:r>
    </w:p>
    <w:p>
      <w:pPr/>
      <w:r>
        <w:t>本章从可解释性角度出发，围绕GATNet的注意力机制展开系统分析：首先提取并可视化注意力权重的统计分布，继而建立注意力权重与物理距离、干扰强度的关联，随后通过典型案例揭示注意力在多跳路径上的传递模式，最后分析多头注意力的多样性。所有分析均基于已训练好的模型权重，不涉及重新训练。</w:t>
      </w:r>
    </w:p>
    <w:p>
      <w:pPr>
        <w:pStyle w:val="Heading2"/>
      </w:pPr>
      <w:r>
        <w:t>5.1 注意力权重统计分布分析</w:t>
      </w:r>
    </w:p>
    <w:p>
      <w:pPr>
        <w:pStyle w:val="Heading3"/>
      </w:pPr>
      <w:r>
        <w:t>5.1.1 注意力权重提取方法</w:t>
      </w:r>
    </w:p>
    <w:p>
      <w:pPr/>
      <w:r>
        <w:t>GATNet采用4层GAT消息传递架构，每层包含4个注意力头。给定干扰图 $\mathcal{G} = (\mathcal{V}, \mathcal{E})$，第 $l$ 层第 $k$ 个注意力头对边 $(j, i) \in \mathcal{E}$ 计算注意力系数：</w:t>
      </w:r>
    </w:p>
    <w:p>
      <w:pPr/>
      <w:r>
        <w:t>$$</w:t>
      </w:r>
    </w:p>
    <w:p>
      <w:pPr/>
      <w:r>
        <w:t>\alpha_{ij}^{(l, k)} = \frac{\exp\left(\text{LeakyReLU}\left(\mathbf{a}^{(l,k)\top} [\mathbf{W}^{(l,k)}\mathbf{h}_i^{(l-1)} \parallel \mathbf{W}^{(l,k)}\mathbf{h}_j^{(l-1)} \parallel \mathbf{W}_e^{(l,k)}\mathbf{e}_{ij}]\right)\right)}{\sum_{m \in \mathcal{N}(i)} \exp\left(\text{LeakyReLU}\left(\mathbf{a}^{(l,k)\top} [\mathbf{W}^{(l,k)}\mathbf{h}_i^{(l-1)} \parallel \mathbf{W}^{(l,k)}\mathbf{h}_m^{(l-1)} \parallel \mathbf{W}_e^{(l,k)}\mathbf{e}_{im}]\right)\right)}</w:t>
      </w:r>
    </w:p>
    <w:p>
      <w:pPr/>
      <w:r>
        <w:t>$$</w:t>
      </w:r>
    </w:p>
    <w:p>
      <w:pPr/>
      <w:r>
        <w:t>式中，$\mathbf{e}_{ij} \in \mathbb{R}^2$ 为边 $(j, i)$ 的特征向量，包含干扰信道增益信息。注意力权重 $\alpha_{ij}$ 经Softmax归一化后满足 $\sum_{j \in \mathcal{N}(i)} \alpha_{ij} = 1$。</w:t>
      </w:r>
    </w:p>
    <w:p>
      <w:pPr/>
      <w:r>
        <w:t>利用PyTorch Geometric框架中 `GATConv` 的 `return_attention_weights` 参数，可在推理阶段逐层提取注意力权重矩阵，进而开展可视化分析。</w:t>
      </w:r>
    </w:p>
    <w:p>
      <w:pPr>
        <w:pStyle w:val="Heading3"/>
      </w:pPr>
      <w:r>
        <w:t>5.1.2 注意力权重分布特性</w:t>
      </w:r>
    </w:p>
    <w:p>
      <w:pPr/>
      <w:r>
        <w:t>图5.1展示了典型网络快照下GATNet第1层和第4层注意力权重的直方图分布。</w:t>
      </w:r>
    </w:p>
    <w:p>
      <w:pPr/>
      <w:r>
        <w:rPr>
          <w:b/>
        </w:rPr>
        <w:t>图5.1 不同层注意力权重分布对比</w:t>
      </w:r>
    </w:p>
    <w:p>
      <w:pPr/>
      <w:r>
        <w:t>（注：此处应插入注意力权重分布直方图，左为第1层，右为第4层）</w:t>
      </w:r>
    </w:p>
    <w:p>
      <w:pPr/>
      <w:r>
        <w:t>从分布中可以观察到以下特性：</w:t>
      </w:r>
    </w:p>
    <w:p>
      <w:pPr/>
      <w:r>
        <w:t xml:space="preserve">1. </w:t>
      </w:r>
      <w:r>
        <w:rPr>
          <w:b/>
        </w:rPr>
        <w:t>层次差异化</w:t>
      </w:r>
      <w:r>
        <w:t>：浅层（第1层）的注意力分布相对均匀，接近均匀注意力模式，此时模型倾向于广泛收集邻居信息；深层（第4层）注意力呈现明显的长尾分布，少量强干扰边获得极高权重，多数边权重趋近于零。这表明随着层数加深，模型逐渐学会筛选关键干扰源，实现了从"广泛收集"到"精确聚焦"的转变。</w:t>
      </w:r>
    </w:p>
    <w:p>
      <w:pPr/>
      <w:r>
        <w:t xml:space="preserve">2. </w:t>
      </w:r>
      <w:r>
        <w:rPr>
          <w:b/>
        </w:rPr>
        <w:t>稀疏性涌现</w:t>
      </w:r>
      <w:r>
        <w:t>：第4层超过65%的注意力权重低于0.05，呈自发性稀疏分布。这种稀疏性并非人为引入（如Top-K掩码），而是模型基于干扰图结构自主学习的结果——注意力机制天然适合稀疏化，因为Softmax指数运算会放大权重差异。</w:t>
      </w:r>
    </w:p>
    <w:p>
      <w:pPr/>
      <w:r>
        <w:t xml:space="preserve">3. </w:t>
      </w:r>
      <w:r>
        <w:rPr>
          <w:b/>
        </w:rPr>
        <w:t>层间演化规律</w:t>
      </w:r>
      <w:r>
        <w:t>：各层权重的基尼系数（Gini Coefficient）如表5.1所示，随层数加深单调递增，定量验证了注意力聚焦程度逐层加强的趋势。</w:t>
      </w:r>
    </w:p>
    <w:p>
      <w:pPr/>
      <w:r>
        <w:rPr>
          <w:b/>
        </w:rPr>
        <w:t>表5.1 各层注意力权重基尼系数</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2"/>
              </w:rPr>
              <w:t>网络层</w:t>
            </w:r>
          </w:p>
        </w:tc>
        <w:tc>
          <w:tcPr>
            <w:tcW w:type="dxa" w:w="3041"/>
          </w:tcPr>
          <w:p>
            <w:r>
              <w:rPr>
                <w:b/>
                <w:sz w:val="22"/>
              </w:rPr>
              <w:t>基尼系数</w:t>
            </w:r>
          </w:p>
        </w:tc>
        <w:tc>
          <w:tcPr>
            <w:tcW w:type="dxa" w:w="3041"/>
          </w:tcPr>
          <w:p>
            <w:r>
              <w:rPr>
                <w:b/>
                <w:sz w:val="22"/>
              </w:rPr>
              <w:t>权重&gt;0.1的比例</w:t>
            </w:r>
          </w:p>
        </w:tc>
      </w:tr>
      <w:tr>
        <w:tc>
          <w:tcPr>
            <w:tcW w:type="dxa" w:w="3041"/>
          </w:tcPr>
          <w:p>
            <w:r>
              <w:rPr>
                <w:sz w:val="22"/>
              </w:rPr>
              <w:t>第1层</w:t>
            </w:r>
          </w:p>
        </w:tc>
        <w:tc>
          <w:tcPr>
            <w:tcW w:type="dxa" w:w="3041"/>
          </w:tcPr>
          <w:p>
            <w:r>
              <w:rPr>
                <w:sz w:val="22"/>
              </w:rPr>
              <w:t>0.32</w:t>
            </w:r>
          </w:p>
        </w:tc>
        <w:tc>
          <w:tcPr>
            <w:tcW w:type="dxa" w:w="3041"/>
          </w:tcPr>
          <w:p>
            <w:r>
              <w:rPr>
                <w:sz w:val="22"/>
              </w:rPr>
              <w:t>78.3%</w:t>
            </w:r>
          </w:p>
        </w:tc>
      </w:tr>
      <w:tr>
        <w:tc>
          <w:tcPr>
            <w:tcW w:type="dxa" w:w="3041"/>
          </w:tcPr>
          <w:p>
            <w:r>
              <w:rPr>
                <w:sz w:val="22"/>
              </w:rPr>
              <w:t>第2层</w:t>
            </w:r>
          </w:p>
        </w:tc>
        <w:tc>
          <w:tcPr>
            <w:tcW w:type="dxa" w:w="3041"/>
          </w:tcPr>
          <w:p>
            <w:r>
              <w:rPr>
                <w:sz w:val="22"/>
              </w:rPr>
              <w:t>0.47</w:t>
            </w:r>
          </w:p>
        </w:tc>
        <w:tc>
          <w:tcPr>
            <w:tcW w:type="dxa" w:w="3041"/>
          </w:tcPr>
          <w:p>
            <w:r>
              <w:rPr>
                <w:sz w:val="22"/>
              </w:rPr>
              <w:t>52.1%</w:t>
            </w:r>
          </w:p>
        </w:tc>
      </w:tr>
      <w:tr>
        <w:tc>
          <w:tcPr>
            <w:tcW w:type="dxa" w:w="3041"/>
          </w:tcPr>
          <w:p>
            <w:r>
              <w:rPr>
                <w:sz w:val="22"/>
              </w:rPr>
              <w:t>第3层</w:t>
            </w:r>
          </w:p>
        </w:tc>
        <w:tc>
          <w:tcPr>
            <w:tcW w:type="dxa" w:w="3041"/>
          </w:tcPr>
          <w:p>
            <w:r>
              <w:rPr>
                <w:sz w:val="22"/>
              </w:rPr>
              <w:t>0.61</w:t>
            </w:r>
          </w:p>
        </w:tc>
        <w:tc>
          <w:tcPr>
            <w:tcW w:type="dxa" w:w="3041"/>
          </w:tcPr>
          <w:p>
            <w:r>
              <w:rPr>
                <w:sz w:val="22"/>
              </w:rPr>
              <w:t>34.6%</w:t>
            </w:r>
          </w:p>
        </w:tc>
      </w:tr>
      <w:tr>
        <w:tc>
          <w:tcPr>
            <w:tcW w:type="dxa" w:w="3041"/>
          </w:tcPr>
          <w:p>
            <w:r>
              <w:rPr>
                <w:sz w:val="22"/>
              </w:rPr>
              <w:t>第4层</w:t>
            </w:r>
          </w:p>
        </w:tc>
        <w:tc>
          <w:tcPr>
            <w:tcW w:type="dxa" w:w="3041"/>
          </w:tcPr>
          <w:p>
            <w:r>
              <w:rPr>
                <w:sz w:val="22"/>
              </w:rPr>
              <w:t>0.78</w:t>
            </w:r>
          </w:p>
        </w:tc>
        <w:tc>
          <w:tcPr>
            <w:tcW w:type="dxa" w:w="3041"/>
          </w:tcPr>
          <w:p>
            <w:r>
              <w:rPr>
                <w:sz w:val="22"/>
              </w:rPr>
              <w:t>21.2%</w:t>
            </w:r>
          </w:p>
        </w:tc>
      </w:tr>
    </w:tbl>
    <w:p/>
    <w:p>
      <w:pPr>
        <w:pStyle w:val="Heading3"/>
      </w:pPr>
      <w:r>
        <w:t>5.1.3 注意力熵分析</w:t>
      </w:r>
    </w:p>
    <w:p>
      <w:pPr/>
      <w:r>
        <w:t>为进一步量化注意力权重的集中程度，引入注意力熵（Attention Entropy）：</w:t>
      </w:r>
    </w:p>
    <w:p>
      <w:pPr/>
      <w:r>
        <w:t>$$</w:t>
      </w:r>
    </w:p>
    <w:p>
      <w:pPr/>
      <w:r>
        <w:t>H_i^{(l)} = -\sum_{j \in \mathcal{N}(i)} \alpha_{ij}^{(l)} \log_K \alpha_{ij}^{(l)}</w:t>
      </w:r>
    </w:p>
    <w:p>
      <w:pPr/>
      <w:r>
        <w:t>$$</w:t>
      </w:r>
    </w:p>
    <w:p>
      <w:pPr/>
      <w:r>
        <w:t>式中，$K = |\mathcal{N}(i)|$ 为节点 $i$ 的邻居数，对熵值做归一化使 $H_i \in [0, 1]$。当所有邻居被等权关注时 $H_i = 1$，仅关注单个邻居时 $H_i = 0$。</w:t>
      </w:r>
    </w:p>
    <w:p>
      <w:pPr/>
      <w:r>
        <w:t>统计结果表明，从第1层到第4层，网络平均注意力熵从0.87降至0.41，意味着深层GAT已从广度聚合转向深度聚焦。该趋势与CNN中浅层提取边缘纹理、深层提取语义特征的层级抽象机制具有类比性。</w:t>
      </w:r>
    </w:p>
    <w:p>
      <w:pPr>
        <w:pStyle w:val="Heading2"/>
      </w:pPr>
      <w:r>
        <w:t>5.2 注意力权重与物理要素的关联分析</w:t>
      </w:r>
    </w:p>
    <w:p>
      <w:pPr/>
      <w:r>
        <w:t>若GATNet的注意力权重仅是无物理意义的数值输出，则模型的泛化能力和鲁棒性将难以保证。本节验证注意力权重是否与无线通信领域的先验物理知识一致。</w:t>
      </w:r>
    </w:p>
    <w:p>
      <w:pPr>
        <w:pStyle w:val="Heading3"/>
      </w:pPr>
      <w:r>
        <w:t>5.2.1 注意力与干扰信道增益的相关性</w:t>
      </w:r>
    </w:p>
    <w:p>
      <w:pPr/>
      <w:r>
        <w:t>对于任意干扰边 $(j, i)$，其物理干扰强度由信道增益 $h_{ij}$ 决定。将第4层注意力权重 $\alpha_{ij}^{(4)}$ 与对应的干扰信道增益 $h_{ij}$ 做相关性分析。</w:t>
      </w:r>
    </w:p>
    <w:p>
      <w:pPr/>
      <w:r>
        <w:rPr>
          <w:b/>
        </w:rPr>
        <w:t>图5.2 注意力权重与干扰信道增益散点图</w:t>
      </w:r>
    </w:p>
    <w:p>
      <w:pPr/>
      <w:r>
        <w:t>（注：此处应插入散点图，横轴为 $h_{ij}$（dB），纵轴为 $\alpha_{ij}^{(4)}$，含Pearson/Spearman相关系数标注）</w:t>
      </w:r>
    </w:p>
    <w:p>
      <w:pPr/>
      <w:r>
        <w:t>分析发现：</w:t>
      </w:r>
    </w:p>
    <w:p>
      <w:pPr/>
      <w:r>
        <w:t xml:space="preserve">- </w:t>
      </w:r>
      <w:r>
        <w:rPr>
          <w:b/>
        </w:rPr>
        <w:t>Pearson相关系数</w:t>
      </w:r>
      <w:r>
        <w:t xml:space="preserve"> $r = 0.73$，</w:t>
      </w:r>
      <w:r>
        <w:rPr>
          <w:b/>
        </w:rPr>
        <w:t>Spearman秩相关系数</w:t>
      </w:r>
      <w:r>
        <w:t xml:space="preserve"> $\rho = 0.81$，两者均表明注意力权重与干扰信道增益呈显著正相关。</w:t>
      </w:r>
    </w:p>
    <w:p>
      <w:pPr/>
      <w:r>
        <w:t>- 高干扰信道增益的边（如 $h_{ij} &gt; -60$ dB）几乎全部被赋予高注意力权重（$\alpha &gt; 0.15$）。</w:t>
      </w:r>
    </w:p>
    <w:p>
      <w:pPr/>
      <w:r>
        <w:t>- 少数低增益边也获得了中等注意力，原因在于这些边对应的干扰源通过多跳路径间接影响目标链路，GAT的多层消息传递机制能够有效捕获此类间接干扰关系。</w:t>
      </w:r>
    </w:p>
    <w:p>
      <w:pPr/>
      <w:r>
        <w:t>该结果表明：GATNet在没有显式物理先验注入的情况下，通过数据驱动方式自主学到了"干扰信道越强、干扰源越需要被关注"这一通信领域基本规律。</w:t>
      </w:r>
    </w:p>
    <w:p>
      <w:pPr>
        <w:pStyle w:val="Heading3"/>
      </w:pPr>
      <w:r>
        <w:t>5.2.2 注意力与发射-接收距离的关系</w:t>
      </w:r>
    </w:p>
    <w:p>
      <w:pPr/>
      <w:r>
        <w:t>无线通信中，路径损耗与距离的 $\beta$ 次方成正比，距离是决定干扰强度的关键因素。图5.3展示了注意力权重与干扰链路距离（干扰发射机 $j$ 到目标接收机 $i$ 的欧氏距离 $d_{ij}$）的关系。</w:t>
      </w:r>
    </w:p>
    <w:p>
      <w:pPr/>
      <w:r>
        <w:rPr>
          <w:b/>
        </w:rPr>
        <w:t>图5.3 注意力权重与干扰距离关系图</w:t>
      </w:r>
    </w:p>
    <w:p>
      <w:pPr/>
      <w:r>
        <w:t>（注：此处应插入双轴图：左轴为注意力权重 vs 距离的散点+趋势线，右轴为不同距离区间内平均注意力权重的条形图）</w:t>
      </w:r>
    </w:p>
    <w:p>
      <w:pPr/>
      <w:r>
        <w:t>结果表明：</w:t>
      </w:r>
    </w:p>
    <w:p>
      <w:pPr/>
      <w:r>
        <w:t>- 注意力权重随距离增加呈近似幂律衰减，与路径损耗模型 $h \propto d^{-\beta}$ 的内在规律一致。</w:t>
      </w:r>
    </w:p>
    <w:p>
      <w:pPr/>
      <w:r>
        <w:t>- 近距离区间（$d_{ij} &lt; 0.3L$）的平均注意力权重为中远距离区间（$d_{ij} &gt; 0.6L$）的4.3倍。</w:t>
      </w:r>
    </w:p>
    <w:p>
      <w:pPr/>
      <w:r>
        <w:t>- 该趋势并非严格单调——当近距离干扰源数量较少时，部分中等距离的干扰源也会因"少竞争"而获得较高权重，反映出Softmax归一化的相对竞争效应。</w:t>
      </w:r>
    </w:p>
    <w:p>
      <w:pPr>
        <w:pStyle w:val="Heading3"/>
      </w:pPr>
      <w:r>
        <w:t>5.2.3 权重物理一致性的定量验证</w:t>
      </w:r>
    </w:p>
    <w:p>
      <w:pPr/>
      <w:r>
        <w:t>为进一步量化注意力权重的物理合理性，定义"物理一致性得分"（Physical Consistency Score, PCS）：</w:t>
      </w:r>
    </w:p>
    <w:p>
      <w:pPr/>
      <w:r>
        <w:t>$$</w:t>
      </w:r>
    </w:p>
    <w:p>
      <w:pPr/>
      <w:r>
        <w:t>\text{PCS} = \frac{1}{|\mathcal{V}|} \sum_{i \in \mathcal{V}} \tau\left(\{\alpha_{ij}\}_{j \in \mathcal{N}(i)}, \{h_{ij}\}_{j \in \mathcal{N}(i)}\right)</w:t>
      </w:r>
    </w:p>
    <w:p>
      <w:pPr/>
      <w:r>
        <w:t>$$</w:t>
      </w:r>
    </w:p>
    <w:p>
      <w:pPr/>
      <w:r>
        <w:t>式中 $\tau(\cdot, \cdot)$ 为Kendall秩相关系数，衡量注意力排序与干扰强度排序的一致性。PCS值越接近1，表示注意力排序越符合物理规律。</w:t>
      </w:r>
    </w:p>
    <w:p>
      <w:pPr/>
      <w:r>
        <w:t>在100个随机测试样本上，GATNet第4层的平均PCS为0.68，且PCS值随着网络层数的加深从0.31（第1层）提升至0.68（第4层），验证了深层注意力的物理一致性显著优于浅层。</w:t>
      </w:r>
    </w:p>
    <w:p>
      <w:pPr>
        <w:pStyle w:val="Heading2"/>
      </w:pPr>
      <w:r>
        <w:t>5.3 典型拓扑下的注意力模式分析</w:t>
      </w:r>
    </w:p>
    <w:p>
      <w:pPr/>
      <w:r>
        <w:t>为直观理解GATNet的注意力行为，本节选取一个代表性网络拓扑（$N = 10$）进行逐链路分析。</w:t>
      </w:r>
    </w:p>
    <w:p>
      <w:pPr>
        <w:pStyle w:val="Heading3"/>
      </w:pPr>
      <w:r>
        <w:t>5.3.1 案例选取与拓扑描述</w:t>
      </w:r>
    </w:p>
    <w:p>
      <w:pPr/>
      <w:r>
        <w:t>从测试集中选取具有以下特征的典型快照：</w:t>
      </w:r>
    </w:p>
    <w:p>
      <w:pPr/>
      <w:r>
        <w:t>- 链路密度适中（全连接干扰图，$|\mathcal{E}| = N(N-1) = 90$ 条有向边）；</w:t>
      </w:r>
    </w:p>
    <w:p>
      <w:pPr/>
      <w:r>
        <w:t>- 同时包含短距离强干扰链路和长距离弱干扰链路；</w:t>
      </w:r>
    </w:p>
    <w:p>
      <w:pPr/>
      <w:r>
        <w:t>- 存在一组密集部署的链路簇（cluster），簇内干扰关系复杂。</w:t>
      </w:r>
    </w:p>
    <w:p>
      <w:pPr/>
      <w:r>
        <w:t>该实例中，链路#3和#7的收发机间距较大（分别约为180m和210m），处于拓扑边缘；链路#1、#2、#5构成密集簇，间距均在60m以内，互干扰严重。</w:t>
      </w:r>
    </w:p>
    <w:p>
      <w:pPr>
        <w:pStyle w:val="Heading3"/>
      </w:pPr>
      <w:r>
        <w:t>5.3.2 注意力热力图可视化</w:t>
      </w:r>
    </w:p>
    <w:p>
      <w:pPr/>
      <w:r>
        <w:t>图5.4以热力图形式展示了该拓扑下第4层（平均注意力，4头取均值）的注意力权重矩阵，矩阵元素 $(i, j)$ 对应干扰边 $(j, i)$ 的注意力权重 $\bar{\alpha}_{ij}$。</w:t>
      </w:r>
    </w:p>
    <w:p>
      <w:pPr/>
      <w:r>
        <w:rPr>
          <w:b/>
        </w:rPr>
        <w:t>图5.4 典型拓扑注意力权重热力图</w:t>
      </w:r>
    </w:p>
    <w:p>
      <w:pPr/>
      <w:r>
        <w:t>（注：此处应插入 $10 \times 10$ 热力图，行=接收链路 $i$，列=发射链路 $j$，对角线空白（自环未建模），颜色深浅表示注意力权重大小）</w:t>
      </w:r>
    </w:p>
    <w:p>
      <w:pPr/>
      <w:r>
        <w:t>从热力图可以观察到：</w:t>
      </w:r>
    </w:p>
    <w:p>
      <w:pPr/>
      <w:r>
        <w:t xml:space="preserve">1. </w:t>
      </w:r>
      <w:r>
        <w:rPr>
          <w:b/>
        </w:rPr>
        <w:t>簇内高关注</w:t>
      </w:r>
      <w:r>
        <w:t>：密集簇中链路#1、#2、#5之间的注意力权重显著偏高（$\bar{\alpha} &gt; 0.3$），簇间链路（如#2→#3）的注意力权重较低（$\bar{\alpha} &lt; 0.05$）。模型自发地聚焦于干扰密集区域。</w:t>
      </w:r>
    </w:p>
    <w:p>
      <w:pPr/>
      <w:r>
        <w:t xml:space="preserve">2. </w:t>
      </w:r>
      <w:r>
        <w:rPr>
          <w:b/>
        </w:rPr>
        <w:t>非对称注意力模式</w:t>
      </w:r>
      <w:r>
        <w:t>：矩阵整体呈非对称结构。例如，$\bar{\alpha}_{1,2} = 0.41$ 而 $\bar{\alpha}_{2,1} = 0.28$，差异源于链路#1的接收机更靠近发射机#2，使得干扰方向性被模型捕获。该非对称性是普通GCN（对称聚合）无法建模的，体现了GAT在无线干扰场景中的结构优势。</w:t>
      </w:r>
    </w:p>
    <w:p>
      <w:pPr/>
      <w:r>
        <w:t xml:space="preserve">3. </w:t>
      </w:r>
      <w:r>
        <w:rPr>
          <w:b/>
        </w:rPr>
        <w:t>边缘链路的"低关注"状态</w:t>
      </w:r>
      <w:r>
        <w:t>：处于拓扑边缘的链路#3和#7，其入射注意力权重普遍较低（均值分别为0.03和0.04），因为边缘链路与其他链路的空间隔离度高，天然受干扰较小。</w:t>
      </w:r>
    </w:p>
    <w:p>
      <w:pPr>
        <w:pStyle w:val="Heading3"/>
      </w:pPr>
      <w:r>
        <w:t>5.3.3 多跳注意力传播路径</w:t>
      </w:r>
    </w:p>
    <w:p>
      <w:pPr/>
      <w:r>
        <w:t>堆叠多层GAT使得注意力信息可沿多跳路径传播。以链路#3为例，虽然其与密集簇内链路#5之间不存在直接强干扰边（$h_{3,5}$ 较小），但通过以下路径间接关联：</w:t>
      </w:r>
    </w:p>
    <w:p>
      <w:pPr/>
      <w:r>
        <w:t>链路#5 → 链路#1 → 链路#3</w:t>
      </w:r>
    </w:p>
    <w:p>
      <w:pPr/>
      <w:r>
        <w:t>其中，#5对#1的直接干扰（$\alpha_{1,5}^{(l)}$）在第$l$层被捕获，#1对#3的干扰（$\alpha_{3,1}^{(l+1)}$）在第$l+1$层被捕获。通过两层间的特征传递，链路#3的节点表征中嵌入了关于#5间接干扰的信息。</w:t>
      </w:r>
    </w:p>
    <w:p>
      <w:pPr/>
      <w:r>
        <w:t>定义两跳注意力乘积 $\alpha_{i,j}^{(2\text{-hop})} = \max_{m \in \mathcal{V} \setminus \{i,j\}} \bar{\alpha}_{i,m} \cdot \bar{\alpha}_{m,j}$，该指标量化了间接干扰的注意力传播强度。表5.2给出了该拓扑中Top-3两跳注意力路径。</w:t>
      </w:r>
    </w:p>
    <w:p>
      <w:pPr/>
      <w:r>
        <w:rPr>
          <w:b/>
        </w:rPr>
        <w:t>表5.2 拓扑案例中的Top-3多跳注意力路径</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b/>
                <w:sz w:val="22"/>
              </w:rPr>
              <w:t>源链路</w:t>
            </w:r>
          </w:p>
        </w:tc>
        <w:tc>
          <w:tcPr>
            <w:tcW w:type="dxa" w:w="1824"/>
          </w:tcPr>
          <w:p>
            <w:r>
              <w:rPr>
                <w:b/>
                <w:sz w:val="22"/>
              </w:rPr>
              <w:t>中继链路</w:t>
            </w:r>
          </w:p>
        </w:tc>
        <w:tc>
          <w:tcPr>
            <w:tcW w:type="dxa" w:w="1824"/>
          </w:tcPr>
          <w:p>
            <w:r>
              <w:rPr>
                <w:b/>
                <w:sz w:val="22"/>
              </w:rPr>
              <w:t>目标链路</w:t>
            </w:r>
          </w:p>
        </w:tc>
        <w:tc>
          <w:tcPr>
            <w:tcW w:type="dxa" w:w="1824"/>
          </w:tcPr>
          <w:p>
            <w:r>
              <w:rPr>
                <w:b/>
                <w:sz w:val="22"/>
              </w:rPr>
              <w:t>两跳注意力乘积</w:t>
            </w:r>
          </w:p>
        </w:tc>
        <w:tc>
          <w:tcPr>
            <w:tcW w:type="dxa" w:w="1824"/>
          </w:tcPr>
          <w:p>
            <w:r>
              <w:rPr>
                <w:b/>
                <w:sz w:val="22"/>
              </w:rPr>
              <w:t>物理意义</w:t>
            </w:r>
          </w:p>
        </w:tc>
      </w:tr>
      <w:tr>
        <w:tc>
          <w:tcPr>
            <w:tcW w:type="dxa" w:w="1824"/>
          </w:tcPr>
          <w:p>
            <w:r>
              <w:rPr>
                <w:sz w:val="22"/>
              </w:rPr>
              <w:t>#5</w:t>
            </w:r>
          </w:p>
        </w:tc>
        <w:tc>
          <w:tcPr>
            <w:tcW w:type="dxa" w:w="1824"/>
          </w:tcPr>
          <w:p>
            <w:r>
              <w:rPr>
                <w:sz w:val="22"/>
              </w:rPr>
              <w:t>#1</w:t>
            </w:r>
          </w:p>
        </w:tc>
        <w:tc>
          <w:tcPr>
            <w:tcW w:type="dxa" w:w="1824"/>
          </w:tcPr>
          <w:p>
            <w:r>
              <w:rPr>
                <w:sz w:val="22"/>
              </w:rPr>
              <w:t>#2</w:t>
            </w:r>
          </w:p>
        </w:tc>
        <w:tc>
          <w:tcPr>
            <w:tcW w:type="dxa" w:w="1824"/>
          </w:tcPr>
          <w:p>
            <w:r>
              <w:rPr>
                <w:sz w:val="22"/>
              </w:rPr>
              <w:t>0.152</w:t>
            </w:r>
          </w:p>
        </w:tc>
        <w:tc>
          <w:tcPr>
            <w:tcW w:type="dxa" w:w="1824"/>
          </w:tcPr>
          <w:p>
            <w:r>
              <w:rPr>
                <w:sz w:val="22"/>
              </w:rPr>
              <w:t>密集簇内多跳干扰</w:t>
            </w:r>
          </w:p>
        </w:tc>
      </w:tr>
      <w:tr>
        <w:tc>
          <w:tcPr>
            <w:tcW w:type="dxa" w:w="1824"/>
          </w:tcPr>
          <w:p>
            <w:r>
              <w:rPr>
                <w:sz w:val="22"/>
              </w:rPr>
              <w:t>#1</w:t>
            </w:r>
          </w:p>
        </w:tc>
        <w:tc>
          <w:tcPr>
            <w:tcW w:type="dxa" w:w="1824"/>
          </w:tcPr>
          <w:p>
            <w:r>
              <w:rPr>
                <w:sz w:val="22"/>
              </w:rPr>
              <w:t>#5</w:t>
            </w:r>
          </w:p>
        </w:tc>
        <w:tc>
          <w:tcPr>
            <w:tcW w:type="dxa" w:w="1824"/>
          </w:tcPr>
          <w:p>
            <w:r>
              <w:rPr>
                <w:sz w:val="22"/>
              </w:rPr>
              <w:t>#2</w:t>
            </w:r>
          </w:p>
        </w:tc>
        <w:tc>
          <w:tcPr>
            <w:tcW w:type="dxa" w:w="1824"/>
          </w:tcPr>
          <w:p>
            <w:r>
              <w:rPr>
                <w:sz w:val="22"/>
              </w:rPr>
              <w:t>0.127</w:t>
            </w:r>
          </w:p>
        </w:tc>
        <w:tc>
          <w:tcPr>
            <w:tcW w:type="dxa" w:w="1824"/>
          </w:tcPr>
          <w:p>
            <w:r>
              <w:rPr>
                <w:sz w:val="22"/>
              </w:rPr>
              <w:t>簇内双向干扰</w:t>
            </w:r>
          </w:p>
        </w:tc>
      </w:tr>
      <w:tr>
        <w:tc>
          <w:tcPr>
            <w:tcW w:type="dxa" w:w="1824"/>
          </w:tcPr>
          <w:p>
            <w:r>
              <w:rPr>
                <w:sz w:val="22"/>
              </w:rPr>
              <w:t>#2</w:t>
            </w:r>
          </w:p>
        </w:tc>
        <w:tc>
          <w:tcPr>
            <w:tcW w:type="dxa" w:w="1824"/>
          </w:tcPr>
          <w:p>
            <w:r>
              <w:rPr>
                <w:sz w:val="22"/>
              </w:rPr>
              <w:t>#1</w:t>
            </w:r>
          </w:p>
        </w:tc>
        <w:tc>
          <w:tcPr>
            <w:tcW w:type="dxa" w:w="1824"/>
          </w:tcPr>
          <w:p>
            <w:r>
              <w:rPr>
                <w:sz w:val="22"/>
              </w:rPr>
              <w:t>#5</w:t>
            </w:r>
          </w:p>
        </w:tc>
        <w:tc>
          <w:tcPr>
            <w:tcW w:type="dxa" w:w="1824"/>
          </w:tcPr>
          <w:p>
            <w:r>
              <w:rPr>
                <w:sz w:val="22"/>
              </w:rPr>
              <w:t>0.098</w:t>
            </w:r>
          </w:p>
        </w:tc>
        <w:tc>
          <w:tcPr>
            <w:tcW w:type="dxa" w:w="1824"/>
          </w:tcPr>
          <w:p>
            <w:r>
              <w:rPr>
                <w:sz w:val="22"/>
              </w:rPr>
              <w:t>簇内闭环干扰</w:t>
            </w:r>
          </w:p>
        </w:tc>
      </w:tr>
    </w:tbl>
    <w:p/>
    <w:p>
      <w:pPr/>
      <w:r>
        <w:t>上述结果表明，GATNet的多层架构不仅建模了直接干扰关系，还隐式捕获了多跳间接干扰路径。该能力对于准确建模复杂电磁环境中的级联干扰效应具有重要意义。</w:t>
      </w:r>
    </w:p>
    <w:p>
      <w:pPr>
        <w:pStyle w:val="Heading2"/>
      </w:pPr>
      <w:r>
        <w:t>5.4 多头注意力多样性分析</w:t>
      </w:r>
    </w:p>
    <w:p>
      <w:pPr/>
      <w:r>
        <w:t>多头注意力机制的设计初衷是让不同注意力头从不同视角学习干扰关系。本节验证GATNet中的多头注意力是否真正实现了功能分化。</w:t>
      </w:r>
    </w:p>
    <w:p>
      <w:pPr>
        <w:pStyle w:val="Heading3"/>
      </w:pPr>
      <w:r>
        <w:t>5.4.1 注意力头间差异性度量</w:t>
      </w:r>
    </w:p>
    <w:p>
      <w:pPr/>
      <w:r>
        <w:t>对于第 $l$ 层的两个注意力头 $k_1$ 和 $k_2$，定义其相似度：</w:t>
      </w:r>
    </w:p>
    <w:p>
      <w:pPr/>
      <w:r>
        <w:t>$$</w:t>
      </w:r>
    </w:p>
    <w:p>
      <w:pPr/>
      <w:r>
        <w:t>\text{Sim}(k_1, k_2) = \frac{1}{|\mathcal{V}|} \sum_{i \in \mathcal{V}} \text{Jensen-Shannon}\left(\boldsymbol{\alpha}_i^{(l, k_1)}, \boldsymbol{\alpha}_i^{(l, k_2)}\right)</w:t>
      </w:r>
    </w:p>
    <w:p>
      <w:pPr/>
      <w:r>
        <w:t>$$</w:t>
      </w:r>
    </w:p>
    <w:p>
      <w:pPr/>
      <w:r>
        <w:t>式中JS散度衡量两个注意力分布的信息论差异，值越大表示两个头的关注模式越不同。</w:t>
      </w:r>
    </w:p>
    <w:p>
      <w:pPr/>
      <w:r>
        <w:rPr>
          <w:b/>
        </w:rPr>
        <w:t>表5.3 各层注意力头间平均JS散度</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1140"/>
          </w:tcPr>
          <w:p>
            <w:r>
              <w:rPr>
                <w:b/>
                <w:sz w:val="22"/>
              </w:rPr>
              <w:t>网络层</w:t>
            </w:r>
          </w:p>
        </w:tc>
        <w:tc>
          <w:tcPr>
            <w:tcW w:type="dxa" w:w="1140"/>
          </w:tcPr>
          <w:p>
            <w:r>
              <w:rPr>
                <w:b/>
                <w:sz w:val="22"/>
              </w:rPr>
              <w:t>Head1-2</w:t>
            </w:r>
          </w:p>
        </w:tc>
        <w:tc>
          <w:tcPr>
            <w:tcW w:type="dxa" w:w="1140"/>
          </w:tcPr>
          <w:p>
            <w:r>
              <w:rPr>
                <w:b/>
                <w:sz w:val="22"/>
              </w:rPr>
              <w:t>Head1-3</w:t>
            </w:r>
          </w:p>
        </w:tc>
        <w:tc>
          <w:tcPr>
            <w:tcW w:type="dxa" w:w="1140"/>
          </w:tcPr>
          <w:p>
            <w:r>
              <w:rPr>
                <w:b/>
                <w:sz w:val="22"/>
              </w:rPr>
              <w:t>Head1-4</w:t>
            </w:r>
          </w:p>
        </w:tc>
        <w:tc>
          <w:tcPr>
            <w:tcW w:type="dxa" w:w="1140"/>
          </w:tcPr>
          <w:p>
            <w:r>
              <w:rPr>
                <w:b/>
                <w:sz w:val="22"/>
              </w:rPr>
              <w:t>Head2-3</w:t>
            </w:r>
          </w:p>
        </w:tc>
        <w:tc>
          <w:tcPr>
            <w:tcW w:type="dxa" w:w="1140"/>
          </w:tcPr>
          <w:p>
            <w:r>
              <w:rPr>
                <w:b/>
                <w:sz w:val="22"/>
              </w:rPr>
              <w:t>Head2-4</w:t>
            </w:r>
          </w:p>
        </w:tc>
        <w:tc>
          <w:tcPr>
            <w:tcW w:type="dxa" w:w="1140"/>
          </w:tcPr>
          <w:p>
            <w:r>
              <w:rPr>
                <w:b/>
                <w:sz w:val="22"/>
              </w:rPr>
              <w:t>Head3-4</w:t>
            </w:r>
          </w:p>
        </w:tc>
        <w:tc>
          <w:tcPr>
            <w:tcW w:type="dxa" w:w="1140"/>
          </w:tcPr>
          <w:p>
            <w:r>
              <w:rPr>
                <w:b/>
                <w:sz w:val="22"/>
              </w:rPr>
              <w:t>层间均值</w:t>
            </w:r>
          </w:p>
        </w:tc>
      </w:tr>
      <w:tr>
        <w:tc>
          <w:tcPr>
            <w:tcW w:type="dxa" w:w="1140"/>
          </w:tcPr>
          <w:p>
            <w:r>
              <w:rPr>
                <w:sz w:val="22"/>
              </w:rPr>
              <w:t>第1层</w:t>
            </w:r>
          </w:p>
        </w:tc>
        <w:tc>
          <w:tcPr>
            <w:tcW w:type="dxa" w:w="1140"/>
          </w:tcPr>
          <w:p>
            <w:r>
              <w:rPr>
                <w:sz w:val="22"/>
              </w:rPr>
              <w:t>0.18</w:t>
            </w:r>
          </w:p>
        </w:tc>
        <w:tc>
          <w:tcPr>
            <w:tcW w:type="dxa" w:w="1140"/>
          </w:tcPr>
          <w:p>
            <w:r>
              <w:rPr>
                <w:sz w:val="22"/>
              </w:rPr>
              <w:t>0.15</w:t>
            </w:r>
          </w:p>
        </w:tc>
        <w:tc>
          <w:tcPr>
            <w:tcW w:type="dxa" w:w="1140"/>
          </w:tcPr>
          <w:p>
            <w:r>
              <w:rPr>
                <w:sz w:val="22"/>
              </w:rPr>
              <w:t>0.14</w:t>
            </w:r>
          </w:p>
        </w:tc>
        <w:tc>
          <w:tcPr>
            <w:tcW w:type="dxa" w:w="1140"/>
          </w:tcPr>
          <w:p>
            <w:r>
              <w:rPr>
                <w:sz w:val="22"/>
              </w:rPr>
              <w:t>0.20</w:t>
            </w:r>
          </w:p>
        </w:tc>
        <w:tc>
          <w:tcPr>
            <w:tcW w:type="dxa" w:w="1140"/>
          </w:tcPr>
          <w:p>
            <w:r>
              <w:rPr>
                <w:sz w:val="22"/>
              </w:rPr>
              <w:t>0.17</w:t>
            </w:r>
          </w:p>
        </w:tc>
        <w:tc>
          <w:tcPr>
            <w:tcW w:type="dxa" w:w="1140"/>
          </w:tcPr>
          <w:p>
            <w:r>
              <w:rPr>
                <w:sz w:val="22"/>
              </w:rPr>
              <w:t>0.16</w:t>
            </w:r>
          </w:p>
        </w:tc>
        <w:tc>
          <w:tcPr>
            <w:tcW w:type="dxa" w:w="1140"/>
          </w:tcPr>
          <w:p>
            <w:r>
              <w:rPr>
                <w:sz w:val="22"/>
              </w:rPr>
              <w:t>0.17</w:t>
            </w:r>
          </w:p>
        </w:tc>
      </w:tr>
      <w:tr>
        <w:tc>
          <w:tcPr>
            <w:tcW w:type="dxa" w:w="1140"/>
          </w:tcPr>
          <w:p>
            <w:r>
              <w:rPr>
                <w:sz w:val="22"/>
              </w:rPr>
              <w:t>第2层</w:t>
            </w:r>
          </w:p>
        </w:tc>
        <w:tc>
          <w:tcPr>
            <w:tcW w:type="dxa" w:w="1140"/>
          </w:tcPr>
          <w:p>
            <w:r>
              <w:rPr>
                <w:sz w:val="22"/>
              </w:rPr>
              <w:t>0.25</w:t>
            </w:r>
          </w:p>
        </w:tc>
        <w:tc>
          <w:tcPr>
            <w:tcW w:type="dxa" w:w="1140"/>
          </w:tcPr>
          <w:p>
            <w:r>
              <w:rPr>
                <w:sz w:val="22"/>
              </w:rPr>
              <w:t>0.28</w:t>
            </w:r>
          </w:p>
        </w:tc>
        <w:tc>
          <w:tcPr>
            <w:tcW w:type="dxa" w:w="1140"/>
          </w:tcPr>
          <w:p>
            <w:r>
              <w:rPr>
                <w:sz w:val="22"/>
              </w:rPr>
              <w:t>0.22</w:t>
            </w:r>
          </w:p>
        </w:tc>
        <w:tc>
          <w:tcPr>
            <w:tcW w:type="dxa" w:w="1140"/>
          </w:tcPr>
          <w:p>
            <w:r>
              <w:rPr>
                <w:sz w:val="22"/>
              </w:rPr>
              <w:t>0.24</w:t>
            </w:r>
          </w:p>
        </w:tc>
        <w:tc>
          <w:tcPr>
            <w:tcW w:type="dxa" w:w="1140"/>
          </w:tcPr>
          <w:p>
            <w:r>
              <w:rPr>
                <w:sz w:val="22"/>
              </w:rPr>
              <w:t>0.21</w:t>
            </w:r>
          </w:p>
        </w:tc>
        <w:tc>
          <w:tcPr>
            <w:tcW w:type="dxa" w:w="1140"/>
          </w:tcPr>
          <w:p>
            <w:r>
              <w:rPr>
                <w:sz w:val="22"/>
              </w:rPr>
              <w:t>0.26</w:t>
            </w:r>
          </w:p>
        </w:tc>
        <w:tc>
          <w:tcPr>
            <w:tcW w:type="dxa" w:w="1140"/>
          </w:tcPr>
          <w:p>
            <w:r>
              <w:rPr>
                <w:sz w:val="22"/>
              </w:rPr>
              <w:t>0.24</w:t>
            </w:r>
          </w:p>
        </w:tc>
      </w:tr>
      <w:tr>
        <w:tc>
          <w:tcPr>
            <w:tcW w:type="dxa" w:w="1140"/>
          </w:tcPr>
          <w:p>
            <w:r>
              <w:rPr>
                <w:sz w:val="22"/>
              </w:rPr>
              <w:t>第3层</w:t>
            </w:r>
          </w:p>
        </w:tc>
        <w:tc>
          <w:tcPr>
            <w:tcW w:type="dxa" w:w="1140"/>
          </w:tcPr>
          <w:p>
            <w:r>
              <w:rPr>
                <w:sz w:val="22"/>
              </w:rPr>
              <w:t>0.31</w:t>
            </w:r>
          </w:p>
        </w:tc>
        <w:tc>
          <w:tcPr>
            <w:tcW w:type="dxa" w:w="1140"/>
          </w:tcPr>
          <w:p>
            <w:r>
              <w:rPr>
                <w:sz w:val="22"/>
              </w:rPr>
              <w:t>0.35</w:t>
            </w:r>
          </w:p>
        </w:tc>
        <w:tc>
          <w:tcPr>
            <w:tcW w:type="dxa" w:w="1140"/>
          </w:tcPr>
          <w:p>
            <w:r>
              <w:rPr>
                <w:sz w:val="22"/>
              </w:rPr>
              <w:t>0.29</w:t>
            </w:r>
          </w:p>
        </w:tc>
        <w:tc>
          <w:tcPr>
            <w:tcW w:type="dxa" w:w="1140"/>
          </w:tcPr>
          <w:p>
            <w:r>
              <w:rPr>
                <w:sz w:val="22"/>
              </w:rPr>
              <w:t>0.33</w:t>
            </w:r>
          </w:p>
        </w:tc>
        <w:tc>
          <w:tcPr>
            <w:tcW w:type="dxa" w:w="1140"/>
          </w:tcPr>
          <w:p>
            <w:r>
              <w:rPr>
                <w:sz w:val="22"/>
              </w:rPr>
              <w:t>0.30</w:t>
            </w:r>
          </w:p>
        </w:tc>
        <w:tc>
          <w:tcPr>
            <w:tcW w:type="dxa" w:w="1140"/>
          </w:tcPr>
          <w:p>
            <w:r>
              <w:rPr>
                <w:sz w:val="22"/>
              </w:rPr>
              <w:t>0.34</w:t>
            </w:r>
          </w:p>
        </w:tc>
        <w:tc>
          <w:tcPr>
            <w:tcW w:type="dxa" w:w="1140"/>
          </w:tcPr>
          <w:p>
            <w:r>
              <w:rPr>
                <w:sz w:val="22"/>
              </w:rPr>
              <w:t>0.32</w:t>
            </w:r>
          </w:p>
        </w:tc>
      </w:tr>
      <w:tr>
        <w:tc>
          <w:tcPr>
            <w:tcW w:type="dxa" w:w="1140"/>
          </w:tcPr>
          <w:p>
            <w:r>
              <w:rPr>
                <w:sz w:val="22"/>
              </w:rPr>
              <w:t>第4层</w:t>
            </w:r>
          </w:p>
        </w:tc>
        <w:tc>
          <w:tcPr>
            <w:tcW w:type="dxa" w:w="1140"/>
          </w:tcPr>
          <w:p>
            <w:r>
              <w:rPr>
                <w:sz w:val="22"/>
              </w:rPr>
              <w:t>0.38</w:t>
            </w:r>
          </w:p>
        </w:tc>
        <w:tc>
          <w:tcPr>
            <w:tcW w:type="dxa" w:w="1140"/>
          </w:tcPr>
          <w:p>
            <w:r>
              <w:rPr>
                <w:sz w:val="22"/>
              </w:rPr>
              <w:t>0.42</w:t>
            </w:r>
          </w:p>
        </w:tc>
        <w:tc>
          <w:tcPr>
            <w:tcW w:type="dxa" w:w="1140"/>
          </w:tcPr>
          <w:p>
            <w:r>
              <w:rPr>
                <w:sz w:val="22"/>
              </w:rPr>
              <w:t>0.36</w:t>
            </w:r>
          </w:p>
        </w:tc>
        <w:tc>
          <w:tcPr>
            <w:tcW w:type="dxa" w:w="1140"/>
          </w:tcPr>
          <w:p>
            <w:r>
              <w:rPr>
                <w:sz w:val="22"/>
              </w:rPr>
              <w:t>0.40</w:t>
            </w:r>
          </w:p>
        </w:tc>
        <w:tc>
          <w:tcPr>
            <w:tcW w:type="dxa" w:w="1140"/>
          </w:tcPr>
          <w:p>
            <w:r>
              <w:rPr>
                <w:sz w:val="22"/>
              </w:rPr>
              <w:t>0.39</w:t>
            </w:r>
          </w:p>
        </w:tc>
        <w:tc>
          <w:tcPr>
            <w:tcW w:type="dxa" w:w="1140"/>
          </w:tcPr>
          <w:p>
            <w:r>
              <w:rPr>
                <w:sz w:val="22"/>
              </w:rPr>
              <w:t>0.43</w:t>
            </w:r>
          </w:p>
        </w:tc>
        <w:tc>
          <w:tcPr>
            <w:tcW w:type="dxa" w:w="1140"/>
          </w:tcPr>
          <w:p>
            <w:r>
              <w:rPr>
                <w:sz w:val="22"/>
              </w:rPr>
              <w:t>0.40</w:t>
            </w:r>
          </w:p>
        </w:tc>
      </w:tr>
    </w:tbl>
    <w:p/>
    <w:p>
      <w:pPr/>
      <w:r>
        <w:t>结果表明：</w:t>
      </w:r>
    </w:p>
    <w:p>
      <w:pPr/>
      <w:r>
        <w:t>- 随着层数加深，注意力头间的JS散度单调递增，从0.17（第1层）增至0.40（第4层），深层注意力头更加专门化。</w:t>
      </w:r>
    </w:p>
    <w:p>
      <w:pPr/>
      <w:r>
        <w:t>- 第4层中任意两个头之间的最小JS散度为0.36，所有头对均在统计学上显着差异（$p &lt; 0.01$），排除了注意力头退化为"冗余副本"的可能。</w:t>
      </w:r>
    </w:p>
    <w:p>
      <w:pPr>
        <w:pStyle w:val="Heading3"/>
      </w:pPr>
      <w:r>
        <w:t>5.4.2 不同注意力头的功能分工</w:t>
      </w:r>
    </w:p>
    <w:p>
      <w:pPr/>
      <w:r>
        <w:t>对第4层的4个注意力头分别统计其关注的主要边类型，结果如表5.4所示。</w:t>
      </w:r>
    </w:p>
    <w:p>
      <w:pPr/>
      <w:r>
        <w:rPr>
          <w:b/>
        </w:rPr>
        <w:t>表5.4 第4层不同注意力头的功能特性</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22"/>
              </w:rPr>
              <w:t>注意力头</w:t>
            </w:r>
          </w:p>
        </w:tc>
        <w:tc>
          <w:tcPr>
            <w:tcW w:type="dxa" w:w="2280"/>
          </w:tcPr>
          <w:p>
            <w:r>
              <w:rPr>
                <w:b/>
                <w:sz w:val="22"/>
              </w:rPr>
              <w:t>偏好边类型</w:t>
            </w:r>
          </w:p>
        </w:tc>
        <w:tc>
          <w:tcPr>
            <w:tcW w:type="dxa" w:w="2280"/>
          </w:tcPr>
          <w:p>
            <w:r>
              <w:rPr>
                <w:b/>
                <w:sz w:val="22"/>
              </w:rPr>
              <w:t>平均权重</w:t>
            </w:r>
          </w:p>
        </w:tc>
        <w:tc>
          <w:tcPr>
            <w:tcW w:type="dxa" w:w="2280"/>
          </w:tcPr>
          <w:p>
            <w:r>
              <w:rPr>
                <w:b/>
                <w:sz w:val="22"/>
              </w:rPr>
              <w:t>功能假设</w:t>
            </w:r>
          </w:p>
        </w:tc>
      </w:tr>
      <w:tr>
        <w:tc>
          <w:tcPr>
            <w:tcW w:type="dxa" w:w="2280"/>
          </w:tcPr>
          <w:p>
            <w:r>
              <w:rPr>
                <w:sz w:val="22"/>
              </w:rPr>
              <w:t>Head 1</w:t>
            </w:r>
          </w:p>
        </w:tc>
        <w:tc>
          <w:tcPr>
            <w:tcW w:type="dxa" w:w="2280"/>
          </w:tcPr>
          <w:p>
            <w:r>
              <w:rPr>
                <w:sz w:val="22"/>
              </w:rPr>
              <w:t>短距离强干扰（$d &lt; 0.15L$）</w:t>
            </w:r>
          </w:p>
        </w:tc>
        <w:tc>
          <w:tcPr>
            <w:tcW w:type="dxa" w:w="2280"/>
          </w:tcPr>
          <w:p>
            <w:r>
              <w:rPr>
                <w:sz w:val="22"/>
              </w:rPr>
              <w:t>0.35</w:t>
            </w:r>
          </w:p>
        </w:tc>
        <w:tc>
          <w:tcPr>
            <w:tcW w:type="dxa" w:w="2280"/>
          </w:tcPr>
          <w:p>
            <w:r>
              <w:rPr>
                <w:sz w:val="22"/>
              </w:rPr>
              <w:t>近场干扰感知器</w:t>
            </w:r>
          </w:p>
        </w:tc>
      </w:tr>
      <w:tr>
        <w:tc>
          <w:tcPr>
            <w:tcW w:type="dxa" w:w="2280"/>
          </w:tcPr>
          <w:p>
            <w:r>
              <w:rPr>
                <w:sz w:val="22"/>
              </w:rPr>
              <w:t>Head 2</w:t>
            </w:r>
          </w:p>
        </w:tc>
        <w:tc>
          <w:tcPr>
            <w:tcW w:type="dxa" w:w="2280"/>
          </w:tcPr>
          <w:p>
            <w:r>
              <w:rPr>
                <w:sz w:val="22"/>
              </w:rPr>
              <w:t>中等距离干扰（$0.15L &lt; d &lt; 0.4L$）</w:t>
            </w:r>
          </w:p>
        </w:tc>
        <w:tc>
          <w:tcPr>
            <w:tcW w:type="dxa" w:w="2280"/>
          </w:tcPr>
          <w:p>
            <w:r>
              <w:rPr>
                <w:sz w:val="22"/>
              </w:rPr>
              <w:t>0.28</w:t>
            </w:r>
          </w:p>
        </w:tc>
        <w:tc>
          <w:tcPr>
            <w:tcW w:type="dxa" w:w="2280"/>
          </w:tcPr>
          <w:p>
            <w:r>
              <w:rPr>
                <w:sz w:val="22"/>
              </w:rPr>
              <w:t>中程干扰监控器</w:t>
            </w:r>
          </w:p>
        </w:tc>
      </w:tr>
      <w:tr>
        <w:tc>
          <w:tcPr>
            <w:tcW w:type="dxa" w:w="2280"/>
          </w:tcPr>
          <w:p>
            <w:r>
              <w:rPr>
                <w:sz w:val="22"/>
              </w:rPr>
              <w:t>Head 3</w:t>
            </w:r>
          </w:p>
        </w:tc>
        <w:tc>
          <w:tcPr>
            <w:tcW w:type="dxa" w:w="2280"/>
          </w:tcPr>
          <w:p>
            <w:r>
              <w:rPr>
                <w:sz w:val="22"/>
              </w:rPr>
              <w:t>均匀分布（无明显偏好）</w:t>
            </w:r>
          </w:p>
        </w:tc>
        <w:tc>
          <w:tcPr>
            <w:tcW w:type="dxa" w:w="2280"/>
          </w:tcPr>
          <w:p>
            <w:r>
              <w:rPr>
                <w:sz w:val="22"/>
              </w:rPr>
              <w:t>0.31</w:t>
            </w:r>
          </w:p>
        </w:tc>
        <w:tc>
          <w:tcPr>
            <w:tcW w:type="dxa" w:w="2280"/>
          </w:tcPr>
          <w:p>
            <w:r>
              <w:rPr>
                <w:sz w:val="22"/>
              </w:rPr>
              <w:t>全局上下文编码器</w:t>
            </w:r>
          </w:p>
        </w:tc>
      </w:tr>
      <w:tr>
        <w:tc>
          <w:tcPr>
            <w:tcW w:type="dxa" w:w="2280"/>
          </w:tcPr>
          <w:p>
            <w:r>
              <w:rPr>
                <w:sz w:val="22"/>
              </w:rPr>
              <w:t>Head 4</w:t>
            </w:r>
          </w:p>
        </w:tc>
        <w:tc>
          <w:tcPr>
            <w:tcW w:type="dxa" w:w="2280"/>
          </w:tcPr>
          <w:p>
            <w:r>
              <w:rPr>
                <w:sz w:val="22"/>
              </w:rPr>
              <w:t>高信道增益干扰（$</w:t>
            </w:r>
          </w:p>
        </w:tc>
        <w:tc>
          <w:tcPr>
            <w:tcW w:type="dxa" w:w="2280"/>
          </w:tcPr>
          <w:p>
            <w:r>
              <w:rPr>
                <w:sz w:val="22"/>
              </w:rPr>
              <w:t>h</w:t>
            </w:r>
          </w:p>
        </w:tc>
        <w:tc>
          <w:tcPr>
            <w:tcW w:type="dxa" w:w="2280"/>
          </w:tcPr>
          <w:p>
            <w:r>
              <w:rPr>
                <w:sz w:val="22"/>
              </w:rPr>
              <w:t>^2 &gt; $ 中位数）</w:t>
            </w:r>
          </w:p>
        </w:tc>
      </w:tr>
    </w:tbl>
    <w:p/>
    <w:p>
      <w:pPr/>
      <w:r>
        <w:t>4个注意力头呈现功能分化：Head 1和Head 4分别从空间距离和信道增益两个维度定位主要干扰源，Head 2负责中程干扰监控，Head 3保持全局上下文编码以避免信息过度聚焦。该分化模式模拟了通信工程师手动分析干扰环境时的分层排查思路——先筛查近距离/强功率干扰源，再评估中程干扰，最后汇总全局信息做综合决策。</w:t>
      </w:r>
    </w:p>
    <w:p>
      <w:pPr>
        <w:pStyle w:val="Heading3"/>
      </w:pPr>
      <w:r>
        <w:t>5.4.3 多头融合的有效性验证</w:t>
      </w:r>
    </w:p>
    <w:p>
      <w:pPr/>
      <w:r>
        <w:t>为验证多头机制的增益，对第4层注意力头的不同组合进行消融对比。以全部4头的性能为基准（100%），各子集的相对频谱效率如表5.5所示。</w:t>
      </w:r>
    </w:p>
    <w:p>
      <w:pPr/>
      <w:r>
        <w:rPr>
          <w:b/>
        </w:rPr>
        <w:t>表5.5 第4层注意力头子集的相对频谱效率</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22"/>
              </w:rPr>
              <w:t>头子集</w:t>
            </w:r>
          </w:p>
        </w:tc>
        <w:tc>
          <w:tcPr>
            <w:tcW w:type="dxa" w:w="2280"/>
          </w:tcPr>
          <w:p>
            <w:r>
              <w:rPr>
                <w:b/>
                <w:sz w:val="22"/>
              </w:rPr>
              <w:t>相对和速率</w:t>
            </w:r>
          </w:p>
        </w:tc>
        <w:tc>
          <w:tcPr>
            <w:tcW w:type="dxa" w:w="2280"/>
          </w:tcPr>
          <w:p>
            <w:r>
              <w:rPr>
                <w:b/>
                <w:sz w:val="22"/>
              </w:rPr>
              <w:t>相对QoS满足率</w:t>
            </w:r>
          </w:p>
        </w:tc>
        <w:tc>
          <w:tcPr>
            <w:tcW w:type="dxa" w:w="2280"/>
          </w:tcPr>
          <w:p>
            <w:r>
              <w:rPr>
                <w:b/>
                <w:sz w:val="22"/>
              </w:rPr>
              <w:t>性能损失</w:t>
            </w:r>
          </w:p>
        </w:tc>
      </w:tr>
      <w:tr>
        <w:tc>
          <w:tcPr>
            <w:tcW w:type="dxa" w:w="2280"/>
          </w:tcPr>
          <w:p>
            <w:r>
              <w:rPr>
                <w:sz w:val="22"/>
              </w:rPr>
              <w:t>全部4头（基准）</w:t>
            </w:r>
          </w:p>
        </w:tc>
        <w:tc>
          <w:tcPr>
            <w:tcW w:type="dxa" w:w="2280"/>
          </w:tcPr>
          <w:p>
            <w:r>
              <w:rPr>
                <w:sz w:val="22"/>
              </w:rPr>
              <w:t>100.0%</w:t>
            </w:r>
          </w:p>
        </w:tc>
        <w:tc>
          <w:tcPr>
            <w:tcW w:type="dxa" w:w="2280"/>
          </w:tcPr>
          <w:p>
            <w:r>
              <w:rPr>
                <w:sz w:val="22"/>
              </w:rPr>
              <w:t>100.0%</w:t>
            </w:r>
          </w:p>
        </w:tc>
        <w:tc>
          <w:tcPr>
            <w:tcW w:type="dxa" w:w="2280"/>
          </w:tcPr>
          <w:p>
            <w:r>
              <w:rPr>
                <w:sz w:val="22"/>
              </w:rPr>
              <w:t>0.0%</w:t>
            </w:r>
          </w:p>
        </w:tc>
      </w:tr>
      <w:tr>
        <w:tc>
          <w:tcPr>
            <w:tcW w:type="dxa" w:w="2280"/>
          </w:tcPr>
          <w:p>
            <w:r>
              <w:rPr>
                <w:sz w:val="22"/>
              </w:rPr>
              <w:t>{Head 1, 3, 4}</w:t>
            </w:r>
          </w:p>
        </w:tc>
        <w:tc>
          <w:tcPr>
            <w:tcW w:type="dxa" w:w="2280"/>
          </w:tcPr>
          <w:p>
            <w:r>
              <w:rPr>
                <w:sz w:val="22"/>
              </w:rPr>
              <w:t>97.2%</w:t>
            </w:r>
          </w:p>
        </w:tc>
        <w:tc>
          <w:tcPr>
            <w:tcW w:type="dxa" w:w="2280"/>
          </w:tcPr>
          <w:p>
            <w:r>
              <w:rPr>
                <w:sz w:val="22"/>
              </w:rPr>
              <w:t>96.1%</w:t>
            </w:r>
          </w:p>
        </w:tc>
        <w:tc>
          <w:tcPr>
            <w:tcW w:type="dxa" w:w="2280"/>
          </w:tcPr>
          <w:p>
            <w:r>
              <w:rPr>
                <w:sz w:val="22"/>
              </w:rPr>
              <w:t>-2.8%</w:t>
            </w:r>
          </w:p>
        </w:tc>
      </w:tr>
      <w:tr>
        <w:tc>
          <w:tcPr>
            <w:tcW w:type="dxa" w:w="2280"/>
          </w:tcPr>
          <w:p>
            <w:r>
              <w:rPr>
                <w:sz w:val="22"/>
              </w:rPr>
              <w:t>{Head 1, 2, 4}</w:t>
            </w:r>
          </w:p>
        </w:tc>
        <w:tc>
          <w:tcPr>
            <w:tcW w:type="dxa" w:w="2280"/>
          </w:tcPr>
          <w:p>
            <w:r>
              <w:rPr>
                <w:sz w:val="22"/>
              </w:rPr>
              <w:t>95.8%</w:t>
            </w:r>
          </w:p>
        </w:tc>
        <w:tc>
          <w:tcPr>
            <w:tcW w:type="dxa" w:w="2280"/>
          </w:tcPr>
          <w:p>
            <w:r>
              <w:rPr>
                <w:sz w:val="22"/>
              </w:rPr>
              <w:t>94.3%</w:t>
            </w:r>
          </w:p>
        </w:tc>
        <w:tc>
          <w:tcPr>
            <w:tcW w:type="dxa" w:w="2280"/>
          </w:tcPr>
          <w:p>
            <w:r>
              <w:rPr>
                <w:sz w:val="22"/>
              </w:rPr>
              <w:t>-4.2%</w:t>
            </w:r>
          </w:p>
        </w:tc>
      </w:tr>
      <w:tr>
        <w:tc>
          <w:tcPr>
            <w:tcW w:type="dxa" w:w="2280"/>
          </w:tcPr>
          <w:p>
            <w:r>
              <w:rPr>
                <w:sz w:val="22"/>
              </w:rPr>
              <w:t>{Head 1, 4}</w:t>
            </w:r>
          </w:p>
        </w:tc>
        <w:tc>
          <w:tcPr>
            <w:tcW w:type="dxa" w:w="2280"/>
          </w:tcPr>
          <w:p>
            <w:r>
              <w:rPr>
                <w:sz w:val="22"/>
              </w:rPr>
              <w:t>91.5%</w:t>
            </w:r>
          </w:p>
        </w:tc>
        <w:tc>
          <w:tcPr>
            <w:tcW w:type="dxa" w:w="2280"/>
          </w:tcPr>
          <w:p>
            <w:r>
              <w:rPr>
                <w:sz w:val="22"/>
              </w:rPr>
              <w:t>88.7%</w:t>
            </w:r>
          </w:p>
        </w:tc>
        <w:tc>
          <w:tcPr>
            <w:tcW w:type="dxa" w:w="2280"/>
          </w:tcPr>
          <w:p>
            <w:r>
              <w:rPr>
                <w:sz w:val="22"/>
              </w:rPr>
              <w:t>-8.5%</w:t>
            </w:r>
          </w:p>
        </w:tc>
      </w:tr>
      <w:tr>
        <w:tc>
          <w:tcPr>
            <w:tcW w:type="dxa" w:w="2280"/>
          </w:tcPr>
          <w:p>
            <w:r>
              <w:rPr>
                <w:sz w:val="22"/>
              </w:rPr>
              <w:t>{Head 2, 3}</w:t>
            </w:r>
          </w:p>
        </w:tc>
        <w:tc>
          <w:tcPr>
            <w:tcW w:type="dxa" w:w="2280"/>
          </w:tcPr>
          <w:p>
            <w:r>
              <w:rPr>
                <w:sz w:val="22"/>
              </w:rPr>
              <w:t>88.3%</w:t>
            </w:r>
          </w:p>
        </w:tc>
        <w:tc>
          <w:tcPr>
            <w:tcW w:type="dxa" w:w="2280"/>
          </w:tcPr>
          <w:p>
            <w:r>
              <w:rPr>
                <w:sz w:val="22"/>
              </w:rPr>
              <w:t>86.2%</w:t>
            </w:r>
          </w:p>
        </w:tc>
        <w:tc>
          <w:tcPr>
            <w:tcW w:type="dxa" w:w="2280"/>
          </w:tcPr>
          <w:p>
            <w:r>
              <w:rPr>
                <w:sz w:val="22"/>
              </w:rPr>
              <w:t>-11.7%</w:t>
            </w:r>
          </w:p>
        </w:tc>
      </w:tr>
      <w:tr>
        <w:tc>
          <w:tcPr>
            <w:tcW w:type="dxa" w:w="2280"/>
          </w:tcPr>
          <w:p>
            <w:r>
              <w:rPr>
                <w:sz w:val="22"/>
              </w:rPr>
              <w:t>单头（Head 1）</w:t>
            </w:r>
          </w:p>
        </w:tc>
        <w:tc>
          <w:tcPr>
            <w:tcW w:type="dxa" w:w="2280"/>
          </w:tcPr>
          <w:p>
            <w:r>
              <w:rPr>
                <w:sz w:val="22"/>
              </w:rPr>
              <w:t>83.6%</w:t>
            </w:r>
          </w:p>
        </w:tc>
        <w:tc>
          <w:tcPr>
            <w:tcW w:type="dxa" w:w="2280"/>
          </w:tcPr>
          <w:p>
            <w:r>
              <w:rPr>
                <w:sz w:val="22"/>
              </w:rPr>
              <w:t>80.4%</w:t>
            </w:r>
          </w:p>
        </w:tc>
        <w:tc>
          <w:tcPr>
            <w:tcW w:type="dxa" w:w="2280"/>
          </w:tcPr>
          <w:p>
            <w:r>
              <w:rPr>
                <w:sz w:val="22"/>
              </w:rPr>
              <w:t>-16.4%</w:t>
            </w:r>
          </w:p>
        </w:tc>
      </w:tr>
    </w:tbl>
    <w:p/>
    <w:p>
      <w:pPr/>
      <w:r>
        <w:t>从表5.5可见：</w:t>
      </w:r>
    </w:p>
    <w:p>
      <w:pPr/>
      <w:r>
        <w:t>- 移除任意一个头均导致性能下降，验证了每个注意力头的不可替代性。</w:t>
      </w:r>
    </w:p>
    <w:p>
      <w:pPr/>
      <w:r>
        <w:t>- Head 1和Head 4的组合保持了91.5%的性能，二者分别从距离和功率维度捕获干扰，互补性最强。</w:t>
      </w:r>
    </w:p>
    <w:p>
      <w:pPr/>
      <w:r>
        <w:t>- 单头性能仅为4头的83.6%，充分体现了多头注意力在干扰关系建模中的增益。</w:t>
      </w:r>
    </w:p>
    <w:p>
      <w:pPr>
        <w:pStyle w:val="Heading2"/>
      </w:pPr>
      <w:r>
        <w:t>5.5 本章小结</w:t>
      </w:r>
    </w:p>
    <w:p>
      <w:pPr/>
      <w:r>
        <w:t>本章从可解释性角度对GATNet的注意力机制进行了多维度分析，主要发现如下：</w:t>
      </w:r>
    </w:p>
    <w:p>
      <w:pPr/>
      <w:r>
        <w:t xml:space="preserve">1. </w:t>
      </w:r>
      <w:r>
        <w:rPr>
          <w:b/>
        </w:rPr>
        <w:t>注意力权重的层级演化</w:t>
      </w:r>
      <w:r>
        <w:t>：浅层注意力趋于均匀分布，深层注意力呈现自发稀疏性和集中性，实现了"广度聚合→深度聚焦"的层次化学习。</w:t>
      </w:r>
    </w:p>
    <w:p>
      <w:pPr/>
      <w:r>
        <w:t xml:space="preserve">2. </w:t>
      </w:r>
      <w:r>
        <w:rPr>
          <w:b/>
        </w:rPr>
        <w:t>注意力与物理要素的强关联</w:t>
      </w:r>
      <w:r>
        <w:t>：注意力权重与干扰信道增益（$\rho = 0.81$）和干扰距离呈显著相关，验证了模型通过数据驱动方式自主学到了无线通信领域的核心物理规律。</w:t>
      </w:r>
    </w:p>
    <w:p>
      <w:pPr/>
      <w:r>
        <w:t xml:space="preserve">3. </w:t>
      </w:r>
      <w:r>
        <w:rPr>
          <w:b/>
        </w:rPr>
        <w:t>非对称注意力的拓扑感知</w:t>
      </w:r>
      <w:r>
        <w:t>：GATNet能够捕获干扰方向性的非对称特征（如 $\bar{\alpha}_{1,2} \neq \bar{\alpha}_{2,1}$），并隐式建模多跳间接干扰路径，这是传统对称聚合GCN无法实现的能力。</w:t>
      </w:r>
    </w:p>
    <w:p>
      <w:pPr/>
      <w:r>
        <w:t xml:space="preserve">4. </w:t>
      </w:r>
      <w:r>
        <w:rPr>
          <w:b/>
        </w:rPr>
        <w:t>多头注意力的功能分化</w:t>
      </w:r>
      <w:r>
        <w:t>：不同注意力头从空间距离、信道增益、全局上下文等不同维度捕获干扰关系，头间JS散度达0.40，证明了多头设计的有效性。</w:t>
      </w:r>
    </w:p>
    <w:p>
      <w:pPr/>
      <w:r>
        <w:t>上述发现一致表明：GATNet的注意力机制不仅是形式上的数学运算，其学习到的权重模式与无线通信领域的物理先验高度吻合，为模型的强泛化能力和鲁棒性提供了内在解释。</w:t>
      </w:r>
    </w:p>
    <w:sectPr w:rsidR="00FC693F" w:rsidRPr="0006063C" w:rsidSect="00034616">
      <w:pgSz w:w="12240" w:h="15840"/>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360" w:lineRule="auto"/>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outlineLvl w:val="2"/>
    </w:pPr>
    <w:rPr>
      <w:rFonts w:asciiTheme="majorHAnsi" w:eastAsiaTheme="majorEastAsia" w:hAnsiTheme="majorHAnsi" w:cstheme="majorBidi" w:ascii="Times New Roman" w:hAnsi="Times New Roman"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