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b/>
          <w:bCs/>
          <w:color w:val="1A3A5C"/>
          <w:sz w:val="52"/>
          <w:szCs w:val="52"/>
        </w:rPr>
        <w:t xml:space="preserve">PurityIQ</w:t>
      </w:r>
    </w:p>
    <w:p>
      <w:pPr>
        <w:spacing w:after="80" w:before="0"/>
        <w:jc w:val="center"/>
      </w:pPr>
      <w:r>
        <w:rPr>
          <w:rFonts w:ascii="Arial" w:cs="Arial" w:eastAsia="Arial" w:hAnsi="Arial"/>
          <w:color w:val="2E75B6"/>
          <w:sz w:val="36"/>
          <w:szCs w:val="36"/>
        </w:rPr>
        <w:t xml:space="preserve">Data Architecture &amp; Sources Handoff</w:t>
      </w:r>
    </w:p>
    <w:p>
      <w:pPr>
        <w:spacing w:after="80" w:before="0"/>
        <w:jc w:val="center"/>
      </w:pPr>
      <w:r>
        <w:rPr>
          <w:rFonts w:ascii="Arial" w:cs="Arial" w:eastAsia="Arial" w:hAnsi="Arial"/>
          <w:color w:val="404040"/>
          <w:sz w:val="24"/>
          <w:szCs w:val="24"/>
        </w:rPr>
        <w:t xml:space="preserve">Version 3.0 — Developer Reference</w:t>
      </w:r>
    </w:p>
    <w:p>
      <w:pPr>
        <w:spacing w:after="0" w:before="0"/>
        <w:jc w:val="center"/>
      </w:pPr>
      <w:r>
        <w:rPr>
          <w:rFonts w:ascii="Arial" w:cs="Arial" w:eastAsia="Arial" w:hAnsi="Arial"/>
          <w:i/>
          <w:iCs/>
          <w:color w:val="404040"/>
          <w:sz w:val="20"/>
          <w:szCs w:val="20"/>
        </w:rPr>
        <w:t xml:space="preserve">June 2026  |  AR Company  |  CONFIDENTIAL</w:t>
      </w:r>
    </w:p>
    <w:p>
      <w:pPr>
        <w:spacing w:after="0" w:before="400"/>
      </w:pPr>
      <w:r>
        <w:t xml:space="preserve"/>
      </w:r>
    </w:p>
    <w:p>
      <w:pPr>
        <w:pBdr>
          <w:top w:val="single" w:color="2E75B6" w:sz="4"/>
        </w:pBdr>
        <w:spacing w:after="0" w:before="120"/>
        <w:jc w:val="center"/>
      </w:pPr>
      <w:r>
        <w:t xml:space="preserve"/>
      </w:r>
    </w:p>
    <w:p>
      <w:r>
        <w:br w:type="page"/>
      </w:r>
    </w:p>
    <w:p>
      <w:pPr>
        <w:pStyle w:val="Heading1"/>
        <w:spacing w:after="120" w:before="360"/>
      </w:pPr>
      <w:r>
        <w:rPr>
          <w:rFonts w:ascii="Arial" w:cs="Arial" w:eastAsia="Arial" w:hAnsi="Arial"/>
          <w:b/>
          <w:bCs/>
          <w:color w:val="1A3A5C"/>
          <w:sz w:val="28"/>
          <w:szCs w:val="28"/>
        </w:rPr>
        <w:t xml:space="preserve">Section 1 — Purpose and Legal Posture</w:t>
      </w:r>
    </w:p>
    <w:p>
      <w:pPr>
        <w:spacing w:after="60" w:before="60"/>
      </w:pPr>
      <w:r>
        <w:rPr>
          <w:rFonts w:ascii="Arial" w:cs="Arial" w:eastAsia="Arial" w:hAnsi="Arial"/>
          <w:color w:val="000000"/>
          <w:sz w:val="20"/>
          <w:szCs w:val="20"/>
        </w:rPr>
        <w:t xml:space="preserve">PurityIQ is a data display application. It surfaces publicly available government and primary-source laboratory data about contaminants, pesticide residues, and regulatory flags in consumer food products. It does not produce health scores, editorial ratings, safety opinions, or recommendations.</w:t>
      </w:r>
    </w:p>
    <w:p>
      <w:pPr>
        <w:spacing w:after="0" w:before="120"/>
      </w:pPr>
      <w:r>
        <w:t xml:space="preserve"/>
      </w:r>
    </w:p>
    <w:p>
      <w:pPr>
        <w:spacing w:after="60" w:before="60"/>
      </w:pPr>
      <w:r>
        <w:rPr>
          <w:rFonts w:ascii="Arial" w:cs="Arial" w:eastAsia="Arial" w:hAnsi="Arial"/>
          <w:color w:val="000000"/>
          <w:sz w:val="20"/>
          <w:szCs w:val="20"/>
        </w:rPr>
        <w:t xml:space="preserve">This distinction is the foundation of our legal posture and our competitive differentiation from apps such as Yuka, EWG, Think Dirty, and Trash Panda.</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What the App Does</w:t>
      </w:r>
    </w:p>
    <w:p>
      <w:pPr>
        <w:pStyle w:val="ListParagraph"/>
        <w:numPr>
          <w:ilvl w:val="0"/>
          <w:numId w:val="2"/>
        </w:numPr>
        <w:spacing w:after="40" w:before="40"/>
      </w:pPr>
      <w:r>
        <w:rPr>
          <w:rFonts w:ascii="Arial" w:cs="Arial" w:eastAsia="Arial" w:hAnsi="Arial"/>
          <w:sz w:val="20"/>
          <w:szCs w:val="20"/>
        </w:rPr>
        <w:t xml:space="preserve">Displays detected contaminant values from government lab data alongside legal tolerance limits</w:t>
      </w:r>
    </w:p>
    <w:p>
      <w:pPr>
        <w:pStyle w:val="ListParagraph"/>
        <w:numPr>
          <w:ilvl w:val="0"/>
          <w:numId w:val="2"/>
        </w:numPr>
        <w:spacing w:after="40" w:before="40"/>
      </w:pPr>
      <w:r>
        <w:rPr>
          <w:rFonts w:ascii="Arial" w:cs="Arial" w:eastAsia="Arial" w:hAnsi="Arial"/>
          <w:sz w:val="20"/>
          <w:szCs w:val="20"/>
        </w:rPr>
        <w:t xml:space="preserve">Flags ingredients that are FDA-approved but banned, restricted, or require warning labels in other jurisdictions (EU, UK, Japan, Canada, California Prop 65)</w:t>
      </w:r>
    </w:p>
    <w:p>
      <w:pPr>
        <w:pStyle w:val="ListParagraph"/>
        <w:numPr>
          <w:ilvl w:val="0"/>
          <w:numId w:val="2"/>
        </w:numPr>
        <w:spacing w:after="40" w:before="40"/>
      </w:pPr>
      <w:r>
        <w:rPr>
          <w:rFonts w:ascii="Arial" w:cs="Arial" w:eastAsia="Arial" w:hAnsi="Arial"/>
          <w:sz w:val="20"/>
          <w:szCs w:val="20"/>
        </w:rPr>
        <w:t xml:space="preserve">Flags ingredients where the FDA has issued a ban or opened a safety review</w:t>
      </w:r>
    </w:p>
    <w:p>
      <w:pPr>
        <w:pStyle w:val="ListParagraph"/>
        <w:numPr>
          <w:ilvl w:val="0"/>
          <w:numId w:val="2"/>
        </w:numPr>
        <w:spacing w:after="40" w:before="40"/>
      </w:pPr>
      <w:r>
        <w:rPr>
          <w:rFonts w:ascii="Arial" w:cs="Arial" w:eastAsia="Arial" w:hAnsi="Arial"/>
          <w:sz w:val="20"/>
          <w:szCs w:val="20"/>
        </w:rPr>
        <w:t xml:space="preserve">Returns alternative product suggestions from a curated internal database</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What the App Explicitly Does Not Do</w:t>
      </w:r>
    </w:p>
    <w:p>
      <w:pPr>
        <w:pStyle w:val="ListParagraph"/>
        <w:numPr>
          <w:ilvl w:val="0"/>
          <w:numId w:val="2"/>
        </w:numPr>
        <w:spacing w:after="40" w:before="40"/>
      </w:pPr>
      <w:r>
        <w:rPr>
          <w:rFonts w:ascii="Arial" w:cs="Arial" w:eastAsia="Arial" w:hAnsi="Arial"/>
          <w:sz w:val="20"/>
          <w:szCs w:val="20"/>
        </w:rPr>
        <w:t xml:space="preserve">Score, rate, or rank products on any safety scale</w:t>
      </w:r>
    </w:p>
    <w:p>
      <w:pPr>
        <w:pStyle w:val="ListParagraph"/>
        <w:numPr>
          <w:ilvl w:val="0"/>
          <w:numId w:val="2"/>
        </w:numPr>
        <w:spacing w:after="40" w:before="40"/>
      </w:pPr>
      <w:r>
        <w:rPr>
          <w:rFonts w:ascii="Arial" w:cs="Arial" w:eastAsia="Arial" w:hAnsi="Arial"/>
          <w:sz w:val="20"/>
          <w:szCs w:val="20"/>
        </w:rPr>
        <w:t xml:space="preserve">Make health claims about any specific product or ingredient</w:t>
      </w:r>
    </w:p>
    <w:p>
      <w:pPr>
        <w:pStyle w:val="ListParagraph"/>
        <w:numPr>
          <w:ilvl w:val="0"/>
          <w:numId w:val="2"/>
        </w:numPr>
        <w:spacing w:after="40" w:before="40"/>
      </w:pPr>
      <w:r>
        <w:rPr>
          <w:rFonts w:ascii="Arial" w:cs="Arial" w:eastAsia="Arial" w:hAnsi="Arial"/>
          <w:sz w:val="20"/>
          <w:szCs w:val="20"/>
        </w:rPr>
        <w:t xml:space="preserve">Claim any product is safe or unsafe for any individual</w:t>
      </w:r>
    </w:p>
    <w:p>
      <w:pPr>
        <w:pStyle w:val="ListParagraph"/>
        <w:numPr>
          <w:ilvl w:val="0"/>
          <w:numId w:val="2"/>
        </w:numPr>
        <w:spacing w:after="40" w:before="40"/>
      </w:pPr>
      <w:r>
        <w:rPr>
          <w:rFonts w:ascii="Arial" w:cs="Arial" w:eastAsia="Arial" w:hAnsi="Arial"/>
          <w:sz w:val="20"/>
          <w:szCs w:val="20"/>
        </w:rPr>
        <w:t xml:space="preserve">Display EWG scores, EWG ratings, or EWG database content in any form</w:t>
      </w:r>
    </w:p>
    <w:p>
      <w:pPr>
        <w:pStyle w:val="ListParagraph"/>
        <w:numPr>
          <w:ilvl w:val="0"/>
          <w:numId w:val="2"/>
        </w:numPr>
        <w:spacing w:after="40" w:before="40"/>
      </w:pPr>
      <w:r>
        <w:rPr>
          <w:rFonts w:ascii="Arial" w:cs="Arial" w:eastAsia="Arial" w:hAnsi="Arial"/>
          <w:sz w:val="20"/>
          <w:szCs w:val="20"/>
        </w:rPr>
        <w:t xml:space="preserve">Display IARC classification tiers (Group 1, 2A, 2B) without written commercial use permission from IARC</w:t>
      </w:r>
    </w:p>
    <w:p>
      <w:pPr>
        <w:spacing w:after="0" w:before="120"/>
      </w:pPr>
      <w:r>
        <w:t xml:space="preserve"/>
      </w:r>
    </w:p>
    <w:p>
      <w:pPr>
        <w:spacing w:after="60" w:before="60"/>
      </w:pPr>
      <w:r>
        <w:rPr>
          <w:rFonts w:ascii="Arial" w:cs="Arial" w:eastAsia="Arial" w:hAnsi="Arial"/>
          <w:color w:val="000000"/>
          <w:sz w:val="20"/>
          <w:szCs w:val="20"/>
        </w:rPr>
        <w:t xml:space="preserve">Confirmed TOS language (Section 3): "PurityIQ displays publicly available government residue testing data. It does not evaluate the safety of any specific product for any individual."</w:t>
      </w:r>
    </w:p>
    <w:p>
      <w:pPr>
        <w:spacing w:after="0" w:before="8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A3A5C"/>
          <w:sz w:val="28"/>
          <w:szCs w:val="28"/>
        </w:rPr>
        <w:t xml:space="preserve">Section 2 — Approved and Prohibited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2"/>
              <w:bottom w:val="single" w:color="C00000" w:sz="1"/>
              <w:right w:val="single" w:color="C00000" w:sz="1"/>
            </w:tcBorders>
            <w:shd w:fill="FCE4E4" w:val="clear"/>
            <w:tcMar>
              <w:top w:type="dxa" w:w="100"/>
              <w:left w:type="dxa" w:w="160"/>
              <w:bottom w:type="dxa" w:w="100"/>
              <w:right w:type="dxa" w:w="160"/>
            </w:tcMar>
          </w:tcPr>
          <w:p>
            <w:pPr>
              <w:spacing w:after="40" w:before="0"/>
            </w:pPr>
            <w:r>
              <w:rPr>
                <w:rFonts w:ascii="Arial" w:cs="Arial" w:eastAsia="Arial" w:hAnsi="Arial"/>
                <w:b/>
                <w:bCs/>
                <w:color w:val="C00000"/>
                <w:sz w:val="20"/>
                <w:szCs w:val="20"/>
              </w:rPr>
              <w:t xml:space="preserve">CRITICAL — READ BEFORE BUILDING ANYTHING</w:t>
            </w:r>
          </w:p>
          <w:p>
            <w:pPr>
              <w:spacing w:after="0" w:before="0"/>
            </w:pPr>
            <w:r>
              <w:rPr>
                <w:rFonts w:ascii="Arial" w:cs="Arial" w:eastAsia="Arial" w:hAnsi="Arial"/>
                <w:color w:val="000000"/>
                <w:sz w:val="20"/>
                <w:szCs w:val="20"/>
              </w:rPr>
              <w:t xml:space="preserve">Every data source used in PurityIQ must be either (a) public domain US government data, (b) an open database with a verified commercial-compatible license, or (c) published primary government regulatory text. Do not use EWG, EWG Skin Deep, or IARC data in the production app without explicit written authorization. Violations create legal exposure and undermine our credibility positioning.</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2A — Approved Sources</w:t>
      </w:r>
    </w:p>
    <w:p>
      <w:pPr>
        <w:spacing w:after="0" w:before="80"/>
      </w:pPr>
      <w:r>
        <w:t xml:space="preserve"/>
      </w:r>
    </w:p>
    <w:p>
      <w:pPr>
        <w:pStyle w:val="Heading3"/>
        <w:spacing w:after="60" w:before="200"/>
      </w:pPr>
      <w:r>
        <w:rPr>
          <w:rFonts w:ascii="Arial" w:cs="Arial" w:eastAsia="Arial" w:hAnsi="Arial"/>
          <w:b/>
          <w:bCs/>
          <w:color w:val="404040"/>
          <w:sz w:val="22"/>
          <w:szCs w:val="22"/>
        </w:rPr>
        <w:t xml:space="preserve">Food and Pesticide Residue</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500"/>
        <w:gridCol w:w="146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3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URL / Access Method</w:t>
            </w:r>
          </w:p>
        </w:tc>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License</w:t>
            </w:r>
          </w:p>
        </w:tc>
        <w:tc>
          <w:tcPr>
            <w:tcW w:type="dxa" w:w="14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Update Frequency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USDA Pesticide Data Program (PDP)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ams.usda.gov/datasets/pdp — Annual Excel/CSV download. No API. 2024 dataset published January 2026.</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PUBLIC DOMAIN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Annual (Jan)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EPA 40 CFR Part 180 — Pesticide Tolerances</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ecfr.gov/current/title-40/chapter-I/subchapter-E/part-180. eCFR API available — see Section 3 for endpoint.</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PUBLIC DOMAIN</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Quarterly monitor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Metals and Your Food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fda.gov/food/metals-and-your-food — Action levels for lead, arsenic, cadmium, mercury. Static guidance pages.</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PUBLIC DOMAIN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Monitor for new publications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California AB 899 — Baby Food Heavy Metals</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ab899.cdph.ca.gov — Quarterly manufacturer disclosure data. No central API; requires per-manufacturer scraping.</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PUBLIC DOMAIN</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Quarterly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GRAS Notices Database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fda.gov/food/gras-notice-inventory — Cross-reference against EU banned list for regulatory divergence flags.</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PUBLIC DOMAIN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Monitor for new notices</w:t>
            </w:r>
          </w:p>
        </w:tc>
      </w:tr>
    </w:tbl>
    <w:p>
      <w:pPr>
        <w:spacing w:after="0" w:before="120"/>
      </w:pPr>
      <w:r>
        <w:t xml:space="preserve"/>
      </w:r>
    </w:p>
    <w:p>
      <w:pPr>
        <w:pStyle w:val="Heading3"/>
        <w:spacing w:after="60" w:before="200"/>
      </w:pPr>
      <w:r>
        <w:rPr>
          <w:rFonts w:ascii="Arial" w:cs="Arial" w:eastAsia="Arial" w:hAnsi="Arial"/>
          <w:b/>
          <w:bCs/>
          <w:color w:val="404040"/>
          <w:sz w:val="22"/>
          <w:szCs w:val="22"/>
        </w:rPr>
        <w:t xml:space="preserve">Regulatory Divergence Data</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500"/>
        <w:gridCol w:w="146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3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URL / Access Method</w:t>
            </w:r>
          </w:p>
        </w:tc>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License</w:t>
            </w:r>
          </w:p>
        </w:tc>
        <w:tc>
          <w:tcPr>
            <w:tcW w:type="dxa" w:w="14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Update Frequency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Food Additives Database — Reg. 1333/2008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food.ec.europa.eu/food-safety/food-improvement-agents/additives_en — Seed as static database; monitor EUR-Lex for amendments.</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PUBLIC DOMAIN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Quarterly EUR-Lex monitor</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Pesticide MRL Regulation — Reg. 396/2005</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eur-lex.europa.eu — Compare against EPA 40 CFR §180 tolerances to generate US/EU divergence flags.</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PUBLIC DOMAIN</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Quarterly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UK Food Standards Agency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food.gov.uk/safety-hygiene/food-additives — Post-Brexit standards. Note divergence from EU where applicable.</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PUBLIC DOMAIN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Quarterly</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Japan MHLW — Food Additives</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mhlw.go.jp — English summary available. Useful for potassium bromate, certain dyes.</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PUBLIC DOMAIN</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Annual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Canada CFIA — Food Additive 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inspection.gc.ca — Cross-reference for Red 40, Yellow 5/6, BVO, potassium bromate.</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PUBLIC DOMAIN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Annual</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California Prop 65 List</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oehha.ca.gov/proposition-65/chemicals — Downloadable CSV. High-value for US audience; legally citable.</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PUBLIC DOMAIN</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Quarterly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NTP Report on Carcinogens (15th Edition)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ntp.niehs.nih.gov/ntp/roc/content/profiles — US government substitute for IARC classifications. Public domain. Use this instead of IARC until written permission is obtained.</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PUBLIC DOMAIN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Periodic (new editions)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Open Food Facts</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world.openfoodfacts.org/data — Open Database License (ODbL). Commercial use permitted with attribution. Use for barcode-to-ingredient-list resolution ONLY. Do not display their Nutriscore or Nova scores.</w:t>
            </w:r>
          </w:p>
        </w:tc>
        <w:tc>
          <w:tcPr>
            <w:tcW w:type="dxa" w:w="1500"/>
            <w:tcBorders>
              <w:top w:val="single" w:color="CCCCCC" w:sz="1"/>
              <w:left w:val="single" w:color="CCCCCC" w:sz="1"/>
              <w:bottom w:val="single" w:color="CCCCCC" w:sz="1"/>
              <w:right w:val="single" w:color="CCCCCC" w:sz="1"/>
            </w:tcBorders>
            <w:shd w:fill="D9F0E4" w:val="clear"/>
            <w:tcMar>
              <w:top w:type="dxa" w:w="80"/>
              <w:left w:type="dxa" w:w="120"/>
              <w:bottom w:type="dxa" w:w="80"/>
              <w:right w:type="dxa" w:w="120"/>
            </w:tcMar>
          </w:tcPr>
          <w:p>
            <w:r>
              <w:rPr>
                <w:rFonts w:ascii="Arial" w:cs="Arial" w:eastAsia="Arial" w:hAnsi="Arial"/>
                <w:b/>
                <w:bCs/>
                <w:color w:val="1E7145"/>
                <w:sz w:val="19"/>
                <w:szCs w:val="19"/>
              </w:rPr>
              <w:t xml:space="preserve">APPROVED</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Real-time API</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2B — Prohibited Sources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2"/>
              <w:bottom w:val="single" w:color="C00000" w:sz="1"/>
              <w:right w:val="single" w:color="C00000" w:sz="1"/>
            </w:tcBorders>
            <w:shd w:fill="FCE4E4" w:val="clear"/>
            <w:tcMar>
              <w:top w:type="dxa" w:w="100"/>
              <w:left w:type="dxa" w:w="160"/>
              <w:bottom w:type="dxa" w:w="100"/>
              <w:right w:type="dxa" w:w="160"/>
            </w:tcMar>
          </w:tcPr>
          <w:p>
            <w:pPr>
              <w:spacing w:after="40" w:before="0"/>
            </w:pPr>
            <w:r>
              <w:rPr>
                <w:rFonts w:ascii="Arial" w:cs="Arial" w:eastAsia="Arial" w:hAnsi="Arial"/>
                <w:b/>
                <w:bCs/>
                <w:color w:val="C00000"/>
                <w:sz w:val="20"/>
                <w:szCs w:val="20"/>
              </w:rPr>
              <w:t xml:space="preserve">PROHIBITED — Developer must never build against these sources</w:t>
            </w:r>
          </w:p>
          <w:p>
            <w:pPr>
              <w:spacing w:after="0" w:before="0"/>
            </w:pPr>
            <w:r>
              <w:rPr>
                <w:rFonts w:ascii="Arial" w:cs="Arial" w:eastAsia="Arial" w:hAnsi="Arial"/>
                <w:color w:val="000000"/>
                <w:sz w:val="20"/>
                <w:szCs w:val="20"/>
              </w:rPr>
              <w:t xml:space="preserve">The following sources are explicitly prohibited in PurityIQ. Do not reference them in any data pipeline, Firestore seed script, Cloud Function, or documentation.</w:t>
            </w:r>
          </w:p>
        </w:tc>
      </w:tr>
    </w:tbl>
    <w:p>
      <w:pPr>
        <w:spacing w:after="0" w:before="80"/>
      </w:pPr>
      <w:r>
        <w:t xml:space="preserve"/>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200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504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 Prohibited</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EWG (Environmental Working Group) — Any database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EWG explicitly prohibits commercial use of their database. We build directly from the same government primary sources EWG uses.</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bCs/>
                <w:color w:val="C00000"/>
                <w:sz w:val="19"/>
                <w:szCs w:val="19"/>
              </w:rPr>
              <w:t xml:space="preserve">PROHIBITED</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EWG Skin Deep</w:t>
            </w:r>
          </w:p>
        </w:tc>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Same prohibition as above. Do not use for any cosmetics data in V2.</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bCs/>
                <w:color w:val="C00000"/>
                <w:sz w:val="19"/>
                <w:szCs w:val="19"/>
              </w:rPr>
              <w:t xml:space="preserve">PROHIBITED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IARC Monographs (direct citation)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IARC copyright notice explicitly states data cannot be used for commercial purposes without written permission. Email com@iarc.fr before launch. Use NTP Report on Carcinogens as substitute until cleared.</w:t>
            </w:r>
          </w:p>
        </w:tc>
        <w:tc>
          <w:tcPr>
            <w:tcW w:type="dxa" w:w="200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r>
              <w:rPr>
                <w:rFonts w:ascii="Arial" w:cs="Arial" w:eastAsia="Arial" w:hAnsi="Arial"/>
                <w:b/>
                <w:bCs/>
                <w:color w:val="B8520A"/>
                <w:sz w:val="19"/>
                <w:szCs w:val="19"/>
              </w:rPr>
              <w:t xml:space="preserve">VERIFY FIRST</w:t>
            </w:r>
          </w:p>
        </w:tc>
      </w:tr>
    </w:tbl>
    <w:p>
      <w:pPr>
        <w:spacing w:after="0" w:before="8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A3A5C"/>
          <w:sz w:val="28"/>
          <w:szCs w:val="28"/>
        </w:rPr>
        <w:t xml:space="preserve">Section 3 — Contaminant Coverage Map</w:t>
      </w:r>
    </w:p>
    <w:p>
      <w:pPr>
        <w:spacing w:after="60" w:before="60"/>
      </w:pPr>
      <w:r>
        <w:rPr>
          <w:rFonts w:ascii="Arial" w:cs="Arial" w:eastAsia="Arial" w:hAnsi="Arial"/>
          <w:color w:val="000000"/>
          <w:sz w:val="20"/>
          <w:szCs w:val="20"/>
        </w:rPr>
        <w:t xml:space="preserve">This section documents every contaminant in the PurityIQ V1 scope, the primary data source for each, the flag type to display in the app, and known coverage gaps. Build your Firestore seed data and Cloud Functions against this map.</w:t>
      </w:r>
    </w:p>
    <w:p>
      <w:pPr>
        <w:spacing w:after="0" w:before="80"/>
      </w:pPr>
      <w:r>
        <w:t xml:space="preserve"/>
      </w:r>
    </w:p>
    <w:p>
      <w:pPr>
        <w:pStyle w:val="Heading2"/>
        <w:spacing w:after="80" w:before="240"/>
      </w:pPr>
      <w:r>
        <w:rPr>
          <w:rFonts w:ascii="Arial" w:cs="Arial" w:eastAsia="Arial" w:hAnsi="Arial"/>
          <w:b/>
          <w:bCs/>
          <w:color w:val="2E75B6"/>
          <w:sz w:val="24"/>
          <w:szCs w:val="24"/>
        </w:rPr>
        <w:t xml:space="preserve">3A — Flag Type Definitions</w:t>
      </w:r>
    </w:p>
    <w:p>
      <w:pPr>
        <w:spacing w:after="60" w:before="60"/>
      </w:pPr>
      <w:r>
        <w:rPr>
          <w:rFonts w:ascii="Arial" w:cs="Arial" w:eastAsia="Arial" w:hAnsi="Arial"/>
          <w:color w:val="000000"/>
          <w:sz w:val="20"/>
          <w:szCs w:val="20"/>
        </w:rPr>
        <w:t xml:space="preserve">The app must distinguish between different types of flags. A single boolean 'flagged' field is insufficient. The Firestore regulatory_flags collection must store a flag_type field per record.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flag_type Value</w:t>
            </w:r>
          </w:p>
        </w:tc>
        <w:tc>
          <w:tcPr>
            <w:tcW w:type="dxa" w:w="63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 and Display Guidance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us_banned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FDA has issued a final rule banning this ingredient. Display as RED — BANNED IN THE US. Examples: Red 3 (effective 2027), BVO (effective August 2024).</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eu_banned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Banned for food use in the European Union. Display as RED — BANNED IN EU. Examples: Potassium bromate, titanium dioxide, TBHQ, 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eu_warning_label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Permitted in EU but requires mandatory consumer warning label. Display as ORANGE — EU WARNING REQUIRED. Examples: Red 40, Yellow 5, Yellow 6.</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canada_banned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Banned for food use in Canada. Display as RED — BANNED IN CANADA. Examples: Potassium bromate.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state_banned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Banned by one or more US states (California, West Virginia, etc.). Display as ORANGE — STATE BANS APPLY with state list.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fda_review</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FDA has opened a formal postmarket safety review. Display as YELLOW — UNDER FDA SAFETY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prop65_listed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Listed on California Proposition 65 as known to cause cancer or reproductive toxicity. Display as ORANGE — CALIFORNIA PROP 65 LISTED.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ntp_carcinogen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Listed in NTP Report on Carcinogens (Group 1 known, Group 2 reasonably anticipated). Display as ORANGE — LISTED AS CARCINOGEN by National Toxicology Program. Do not use IARC language until written permission obtained.</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3B — Full Contaminant Coverage Table</w:t>
      </w:r>
    </w:p>
    <w:p>
      <w:pPr>
        <w:spacing w:after="0" w:before="60"/>
      </w:pPr>
      <w:r>
        <w:t xml:space="preserve"/>
      </w:r>
    </w:p>
    <w:p>
      <w:pPr>
        <w:pStyle w:val="Heading3"/>
        <w:spacing w:after="60" w:before="200"/>
      </w:pPr>
      <w:r>
        <w:rPr>
          <w:rFonts w:ascii="Arial" w:cs="Arial" w:eastAsia="Arial" w:hAnsi="Arial"/>
          <w:b/>
          <w:bCs/>
          <w:color w:val="404040"/>
          <w:sz w:val="22"/>
          <w:szCs w:val="22"/>
        </w:rPr>
        <w:t xml:space="preserve">Food Dyes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Contaminant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Primary Source</w:t>
            </w:r>
          </w:p>
        </w:tc>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flag_type</w:t>
            </w:r>
          </w:p>
        </w:tc>
        <w:tc>
          <w:tcPr>
            <w:tcW w:type="dxa" w:w="31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Coverage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Red 40 (Allura Red / E129)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Reg. 1333/2008; Canada CFIA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eu_warning_label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requires mandatory 'may have an adverse effect on activity and attention in children' label since 2010. FDA April 2025 voluntary phase-out — NOT a ban, NOT enforceable. Do not display as banned.</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Yellow 5 (Tartrazine / E102)</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Reg. 1333/2008; Canada CFIA</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eu_warning_label</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Same Southampton Six warning label requirement as Red 40.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Yellow 6 (Sunset Yellow / E110)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Reg. 1333/2008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eu_warning_label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Same as above.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Red 3 (Erythrosine / E127)</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Federal Register Jan 15 2025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us_banned</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final rule issued January 15 2025. Manufacturer compliance required by January 2027. Drugs by January 2028. Display as US BANNED — effective 2027.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Blue 1 (Brilliant Blue / E133)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Reg. 1333/2008; EFSA 2010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eu_warning_label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hyperactivity label requirement, but EU reduced maximum permitted levels after EFSA 2010 re-evaluation.</w:t>
            </w:r>
          </w:p>
        </w:tc>
      </w:tr>
    </w:tbl>
    <w:p>
      <w:pPr>
        <w:spacing w:after="0" w:before="120"/>
      </w:pPr>
      <w:r>
        <w:t xml:space="preserve"/>
      </w:r>
    </w:p>
    <w:p>
      <w:pPr>
        <w:pStyle w:val="Heading3"/>
        <w:spacing w:after="60" w:before="200"/>
      </w:pPr>
      <w:r>
        <w:rPr>
          <w:rFonts w:ascii="Arial" w:cs="Arial" w:eastAsia="Arial" w:hAnsi="Arial"/>
          <w:b/>
          <w:bCs/>
          <w:color w:val="404040"/>
          <w:sz w:val="22"/>
          <w:szCs w:val="22"/>
        </w:rPr>
        <w:t xml:space="preserve">Preservatives and Antioxidants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Contaminant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Primary Source</w:t>
            </w:r>
          </w:p>
        </w:tc>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flag_type</w:t>
            </w:r>
          </w:p>
        </w:tc>
        <w:tc>
          <w:tcPr>
            <w:tcW w:type="dxa" w:w="27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Coverage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BHT (Butylated hydroxytoluene)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Commission Decision; FDA Federal 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eu_banned + fda_review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banned for endocrine-disrupting concerns. FDA launched postmarket safety assessment August 2025. Display both flags.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BHA (Butylated hydroxyanisole)</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partial ban; FDA Feb 2026 review</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eu_banned + fda_review</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bans in infant food. FDA ordered new safety review February 2026 citing cancer concerns. Seed with fda_review flag; update to eu_banned for infant food category.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TBHQ (Tertiary butylhydroquinone)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Reg. 1333/2008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eu_banned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does not permit TBHQ as a food additive. Clean ban flag — no permitted uses in EU.</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Sodium nitrite / Sodium nitrate</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NTP Report on Carcinogens; EU restricted use levels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ntp_carcinogen + eu_warning_label</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NTP lists processed meat nitrosamines as Group 1 known carcinogen. Use NTP citation only — do not cite IARC until cleared. EU restricts maximum levels and bans in certain categories.</w:t>
            </w:r>
          </w:p>
        </w:tc>
      </w:tr>
    </w:tbl>
    <w:p>
      <w:pPr>
        <w:spacing w:after="0" w:before="120"/>
      </w:pPr>
      <w:r>
        <w:t xml:space="preserve"/>
      </w:r>
    </w:p>
    <w:p>
      <w:pPr>
        <w:pStyle w:val="Heading3"/>
        <w:spacing w:after="60" w:before="200"/>
      </w:pPr>
      <w:r>
        <w:rPr>
          <w:rFonts w:ascii="Arial" w:cs="Arial" w:eastAsia="Arial" w:hAnsi="Arial"/>
          <w:b/>
          <w:bCs/>
          <w:color w:val="404040"/>
          <w:sz w:val="22"/>
          <w:szCs w:val="22"/>
        </w:rPr>
        <w:t xml:space="preserve">Flour Treatment Agents and Dough Conditioners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Contaminant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Primary Source</w:t>
            </w:r>
          </w:p>
        </w:tc>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flag_type</w:t>
            </w:r>
          </w:p>
        </w:tc>
        <w:tc>
          <w:tcPr>
            <w:tcW w:type="dxa" w:w="27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Coverage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Potassium bromate (E924)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Reg. 1333/2008; Canada CFIA; California AB 418; NTP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eu_banned + canada_banned + state_banned + ntp_carcinogen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Banned in EU, Canada, Argentina, Brazil, South Korea, China, India, and 30+ other countries. California AB 418 ban effective January 2027. NTP classifies as reasonably anticipated carcinogen. IARC Group 2B — do not cite IARC until cleared. Use NTP.</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Azodicarbonamide (ADA / E927a)</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Reg. 1333/2008</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eu_banned</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classifies as carcinogen in food use. Still permitted in US as flour bleaching and conditioning agent. Clean divergence flag.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Brominated vegetable oil (BVO / E443)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Federal Register Aug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us_banned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final ban effective August 2, 2024. Display as US BANNED.</w:t>
            </w:r>
          </w:p>
        </w:tc>
      </w:tr>
    </w:tbl>
    <w:p>
      <w:pPr>
        <w:spacing w:after="0" w:before="120"/>
      </w:pPr>
      <w:r>
        <w:t xml:space="preserve"/>
      </w:r>
    </w:p>
    <w:p>
      <w:pPr>
        <w:pStyle w:val="Heading3"/>
        <w:spacing w:after="60" w:before="200"/>
      </w:pPr>
      <w:r>
        <w:rPr>
          <w:rFonts w:ascii="Arial" w:cs="Arial" w:eastAsia="Arial" w:hAnsi="Arial"/>
          <w:b/>
          <w:bCs/>
          <w:color w:val="404040"/>
          <w:sz w:val="22"/>
          <w:szCs w:val="22"/>
        </w:rPr>
        <w:t xml:space="preserve">Colorants and Surface Agents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Contaminant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Primary Source</w:t>
            </w:r>
          </w:p>
        </w:tc>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flag_type</w:t>
            </w:r>
          </w:p>
        </w:tc>
        <w:tc>
          <w:tcPr>
            <w:tcW w:type="dxa" w:w="31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Coverage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Titanium dioxide (E171)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Commission Decision 2022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eu_banned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EU banned titanium dioxide as a food additive in 2022 following EFSA safety review. FDA still permits. Clean divergence flag. Note: EU ban applies to food use; industrial and cosmetic use remains separate.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Caramel color / 4-MEI</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California Prop 65 (OEHHA)</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prop65_listed</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4-methylimidazole (4-MEI) formed during caramel color manufacturing is a California Prop 65 listed carcinogen. Cite OEHHA directly. NTP also lists 4-MEI as reasonably anticipated carcinogen — use NTP for carcinogen citation instead of IARC.</w:t>
            </w:r>
          </w:p>
        </w:tc>
      </w:tr>
    </w:tbl>
    <w:p>
      <w:pPr>
        <w:spacing w:after="0" w:before="120"/>
      </w:pPr>
      <w:r>
        <w:t xml:space="preserve"/>
      </w:r>
    </w:p>
    <w:p>
      <w:pPr>
        <w:pStyle w:val="Heading3"/>
        <w:spacing w:after="60" w:before="200"/>
      </w:pPr>
      <w:r>
        <w:rPr>
          <w:rFonts w:ascii="Arial" w:cs="Arial" w:eastAsia="Arial" w:hAnsi="Arial"/>
          <w:b/>
          <w:bCs/>
          <w:color w:val="404040"/>
          <w:sz w:val="22"/>
          <w:szCs w:val="22"/>
        </w:rPr>
        <w:t xml:space="preserve">Pesticide Residues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Contaminant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Primary Source</w:t>
            </w:r>
          </w:p>
        </w:tc>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flag_type</w:t>
            </w:r>
          </w:p>
        </w:tc>
        <w:tc>
          <w:tcPr>
            <w:tcW w:type="dxa" w:w="31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Coverage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Glyphosate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USDA PDP annual dataset + EPA 40 CFR §180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residue_detected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Layer 1 data. Display detected ppb value alongside EPA tolerance in ppb. Do not use flag_type — use residue_detected schema. USDA PDP tested on rotating commodity schedule; not every food tested every year.</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Chlorpyrifos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USDA PDP + EPA 40 CFR §180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residue_detected</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Same as above. Note: EPA revoked all food tolerances for chlorpyrifos in 2021. Display detected value and note tolerance revoked.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Imidacloprid and other neonicotinoids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USDA PDP + EPA 40 CFR §180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residue_detected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detection rates on many commodities. USDA PDP includes detailed neonicotinoid testing.</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other pesticide residues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USDA PDP + EPA 40 CFR §180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residue_detected</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Approximately 500 pesticides detected across 126 commodities in USDA PDP historical data. Build commodity-level lookup — see Section 4 for ingredient-to-commodity mapping architecture.</w:t>
            </w:r>
          </w:p>
        </w:tc>
      </w:tr>
    </w:tbl>
    <w:p>
      <w:pPr>
        <w:spacing w:after="0" w:before="120"/>
      </w:pPr>
      <w:r>
        <w:t xml:space="preserve"/>
      </w:r>
    </w:p>
    <w:p>
      <w:pPr>
        <w:pStyle w:val="Heading3"/>
        <w:spacing w:after="60" w:before="200"/>
      </w:pPr>
      <w:r>
        <w:rPr>
          <w:rFonts w:ascii="Arial" w:cs="Arial" w:eastAsia="Arial" w:hAnsi="Arial"/>
          <w:b/>
          <w:bCs/>
          <w:color w:val="404040"/>
          <w:sz w:val="22"/>
          <w:szCs w:val="22"/>
        </w:rPr>
        <w:t xml:space="preserve">Heavy Metals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rPr>
          <w:tblHeader/>
        </w:trPr>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Contaminant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Primary Source</w:t>
            </w:r>
          </w:p>
        </w:tc>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flag_type</w:t>
            </w:r>
          </w:p>
        </w:tc>
        <w:tc>
          <w:tcPr>
            <w:tcW w:type="dxa" w:w="31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Coverage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Metals and Your Food guidance; California AB 899 (baby food)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fda_action_level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action levels exist by food category. AB 899 covers baby food specifically. No central AB 899 API — requires per-manufacturer scraping of individual disclosure PDFs.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Inorganic arsenic</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guidance; California AB 899</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fda_action_level</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draft guidance covers rice-based products. AB 899 covers baby food. Same scraping limitation.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Cadmium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Metals guidance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fda_action_level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guidance only; no specific tolerance in 40 CFR §180. Seed with FDA action levels where available.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Mercury</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Metals guidance (fish advisory)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fda_action_level</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9"/>
                <w:szCs w:val="19"/>
              </w:rPr>
              <w:t xml:space="preserve">FDA fish advisory covers methylmercury. Primarily relevant to seafood category.</w:t>
            </w:r>
          </w:p>
        </w:tc>
      </w:tr>
    </w:tbl>
    <w:p>
      <w:pPr>
        <w:spacing w:after="0" w:before="8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A3A5C"/>
          <w:sz w:val="28"/>
          <w:szCs w:val="28"/>
        </w:rPr>
        <w:t xml:space="preserve">Section 4 — Firestore Database Schema</w:t>
      </w:r>
    </w:p>
    <w:p>
      <w:pPr>
        <w:spacing w:after="60" w:before="60"/>
      </w:pPr>
      <w:r>
        <w:rPr>
          <w:rFonts w:ascii="Arial" w:cs="Arial" w:eastAsia="Arial" w:hAnsi="Arial"/>
          <w:color w:val="000000"/>
          <w:sz w:val="20"/>
          <w:szCs w:val="20"/>
        </w:rPr>
        <w:t xml:space="preserve">The PurityIQ database uses four Firestore collections. All writes are performed via Admin SDK only. Public reads are permitted. Client-side writes are blocked at the security rules level.</w:t>
      </w:r>
    </w:p>
    <w:p>
      <w:pPr>
        <w:spacing w:after="0" w:before="80"/>
      </w:pPr>
      <w:r>
        <w:t xml:space="preserve"/>
      </w:r>
    </w:p>
    <w:p>
      <w:pPr>
        <w:spacing w:after="60" w:before="60"/>
      </w:pPr>
      <w:r>
        <w:rPr>
          <w:rFonts w:ascii="Arial" w:cs="Arial" w:eastAsia="Arial" w:hAnsi="Arial"/>
          <w:color w:val="000000"/>
          <w:sz w:val="20"/>
          <w:szCs w:val="20"/>
        </w:rPr>
        <w:t xml:space="preserve">Firebase project: Standard edition, nam5 US multi-region, default database ID, Production security mode.</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4A — Collection: products</w:t>
      </w:r>
    </w:p>
    <w:p>
      <w:pPr>
        <w:spacing w:after="60" w:before="60"/>
      </w:pPr>
      <w:r>
        <w:rPr>
          <w:rFonts w:ascii="Arial" w:cs="Arial" w:eastAsia="Arial" w:hAnsi="Arial"/>
          <w:color w:val="000000"/>
          <w:sz w:val="20"/>
          <w:szCs w:val="20"/>
        </w:rPr>
        <w:t xml:space="preserve">Keyed by UPC barcode string. Created lazily on first scan via Open Food Facts. Risk data fields populated by Cloud Function after ingredient resolution.</w:t>
      </w:r>
    </w:p>
    <w:p>
      <w:pPr>
        <w:spacing w:after="0" w:before="60"/>
      </w:pPr>
      <w:r>
        <w:t xml:space="preserve"/>
      </w:r>
    </w:p>
    <w:p>
      <w:pPr>
        <w:shd w:fill="F0F0F0" w:val="clear"/>
        <w:spacing w:after="60" w:before="60"/>
      </w:pPr>
      <w:r>
        <w:rPr>
          <w:rFonts w:ascii="Courier New" w:cs="Courier New" w:eastAsia="Courier New" w:hAnsi="Courier New"/>
          <w:b/>
          <w:bCs/>
          <w:sz w:val="20"/>
          <w:szCs w:val="20"/>
        </w:rPr>
        <w:t xml:space="preserve">products/{upc}</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12 or 13 digit barcode. Document ID.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name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Product name from Open Food Facts.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Brand name.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ingredients_raw</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Raw ingredient list text from Open Food Facts.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ingredients_parsed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array&lt;string&gt; — Cleaned, tokenized ingredient list after normalization.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commodities_matched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array&lt;string&gt; — Commodity slugs matched from ingredient-to-commodity map. e.g. ['strawberry', 'wheat', 'sugar_cane']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array&lt;map&gt; — List of flag objects. Each object contains: { ingredient: string, flag_type: string, jurisdiction: string, source_url: string, verified_date: string }</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residue_data</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array&lt;map&gt; — Populated when commodities_matched exist in USDA PDP. Each object: { commodity: string, pesticide: string, detected_ppb: number, tolerance_ppb: number, pct_samples_detected: number, pdp_year: number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scan_count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 — Internal analytics. Increments on each scan.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last_updated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timestamp — Last Cloud Function refresh.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data_confidence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'high' (direct lab test), 'medium' (commodity inference), 'low' (ingredient only, no PDP match)</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4B — Collection: ingredients</w:t>
      </w:r>
    </w:p>
    <w:p>
      <w:pPr>
        <w:spacing w:after="60" w:before="60"/>
      </w:pPr>
      <w:r>
        <w:rPr>
          <w:rFonts w:ascii="Arial" w:cs="Arial" w:eastAsia="Arial" w:hAnsi="Arial"/>
          <w:color w:val="000000"/>
          <w:sz w:val="20"/>
          <w:szCs w:val="20"/>
        </w:rPr>
        <w:t xml:space="preserve">Master reference table for every flagged ingredient. Seeded manually from approved sources. Drives flag logic for all product scans.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ingredient_id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Normalized ingredient name slug. Document ID. e.g. 'red_40', 'potassium_bromate'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display_name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Human-readable name. e.g. 'Red 40 (Allura 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aliases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array&lt;string&gt; — All known name variants. e.g. ['Allura Red AC', 'E129', 'FD&amp;C Red No. 40', 'Red Dye 40']</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flag_types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array&lt;string&gt; — One or more flag_type values from Section 3 definitions.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array&lt;map&gt; — Each map: { flag_type: string, jurisdiction: string, notes: string, source_url: string, source_name: string, effective_date: string }</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ntp_classification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or null — NTP carcinogen group if listed. e.g. 'known_carcinogen', 'reasonably_anticipated'. Use this field instead of iarc_classification until IARC permission is obtained.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iarc_classification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or null — LEAVE NULL until written IARC commercial use permission is received. Do not populate from scraping or public sources.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fda_status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Current FDA status. e.g. 'permitted_gras', 'banned_final_rule', 'under_review', 'permitted_with_limits'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fda_cfr_citation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or null — Relevant 21 CFR citation if applicable.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verified_date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ISO date when this record was last verified against primary sources.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verified_by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'AR_Company_internal' for all seeded records.</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4C — Collection: regulatory_flags</w:t>
      </w:r>
    </w:p>
    <w:p>
      <w:pPr>
        <w:spacing w:after="60" w:before="60"/>
      </w:pPr>
      <w:r>
        <w:rPr>
          <w:rFonts w:ascii="Arial" w:cs="Arial" w:eastAsia="Arial" w:hAnsi="Arial"/>
          <w:color w:val="000000"/>
          <w:sz w:val="20"/>
          <w:szCs w:val="20"/>
        </w:rPr>
        <w:t xml:space="preserve">Jurisdiction-specific flag records. Linked to ingredients collection by ingredient_id. Enables multi-jurisdiction display logic.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flag_id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Auto-generated document ID.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ingredient_id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Foreign key to ingredients/{ingredient_id}.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jurisdiction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e.g. 'EU', 'Canada', 'Japan', 'California', 'US_Federal'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flag_type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One of the flag_type values defined in Section 3B.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regulatory_body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e.g. 'European Commission', 'Health Canada', 'OEHHA', 'FDA'</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regulation_citation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e.g. 'Regulation (EC) No 1333/2008', 'California AB 418', '21 CFR 74.340 revoked'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Primary source URL. Must be a government domain.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effective_date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or null — Date ban or restriction took 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compliance_date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or null — Date manufacturers must comply (sometimes later than effective_date).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notes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Human-readable explanation for display in app.</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4D — Collection: alternatives</w:t>
      </w:r>
    </w:p>
    <w:p>
      <w:pPr>
        <w:spacing w:after="60" w:before="60"/>
      </w:pPr>
      <w:r>
        <w:rPr>
          <w:rFonts w:ascii="Arial" w:cs="Arial" w:eastAsia="Arial" w:hAnsi="Arial"/>
          <w:color w:val="000000"/>
          <w:sz w:val="20"/>
          <w:szCs w:val="20"/>
        </w:rPr>
        <w:t xml:space="preserve">Keyed by UPC barcode string (for packaged goods) or category slug (for produce and general categories). Powers the alternatives recommendation engine.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lookup_key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UPC string for packaged goods. Category slug for produce. Document ID.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lookup_type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'upc' or 'category_slug'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flagged_product_name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Name of the product being replaced.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risk_label</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'AVOID', 'CAUTION', or 'USE WITH CAUTION'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flag_summary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One-sentence explanation. e.g. 'Contains Red 40 (EU warning label required) and BHT (EU banned)'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alternatives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array&lt;map&gt; — Each map: { name: string, brand: string, upc: string or null, affiliate_eligible: boolean, affiliate_url: string or null, why_better: string, where_to_buy: string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last_updated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4E — Collection: commodities</w:t>
      </w:r>
    </w:p>
    <w:p>
      <w:pPr>
        <w:spacing w:after="60" w:before="60"/>
      </w:pPr>
      <w:r>
        <w:rPr>
          <w:rFonts w:ascii="Arial" w:cs="Arial" w:eastAsia="Arial" w:hAnsi="Arial"/>
          <w:color w:val="000000"/>
          <w:sz w:val="20"/>
          <w:szCs w:val="20"/>
        </w:rPr>
        <w:t xml:space="preserve">New collection required for pesticide residue pipeline. Keyed by commodity slug. Stores USDA PDP residue summary data and EPA tolerance data per commodity. This collection does not exist yet and must be built.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commodity_slug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 Normalized slug. Document ID. e.g. 'strawberry', 'wheat', 'apple'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display_name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e.g. 'Strawberry'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ingredient_aliases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array&lt;string&gt; — All ingredient text variants that map to this commodity. e.g. ['strawberries', 'organic strawberries', 'freeze-dried strawberries', 'strawberry puree']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pdp_commodity_code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USDA PDP internal commodity code for dataset joins.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pdp_year_latest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 — Most recent PDP dataset year with data for this commodity.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residues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array&lt;map&gt; — Each map: { pesticide_name: string, pesticide_code: string, pct_samples_detected: number, median_detected_ppb: number, max_detected_ppb: number, epa_tolerance_ppb: number or null, tolerance_revoked: boolean, pdp_year: number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dirty_dozen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boolean — True if EWG Dirty Dozen commodity (reference only — do not display EWG branding or data).</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last_pdp_update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string — ISO date of last PDP data refresh.</w:t>
            </w:r>
          </w:p>
        </w:tc>
      </w:tr>
    </w:tbl>
    <w:p>
      <w:pPr>
        <w:spacing w:after="0" w:before="8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A3A5C"/>
          <w:sz w:val="28"/>
          <w:szCs w:val="28"/>
        </w:rPr>
        <w:t xml:space="preserve">Section 5 — Data Pipeline and Ingestion</w:t>
      </w:r>
    </w:p>
    <w:p>
      <w:pPr>
        <w:spacing w:after="0" w:before="80"/>
      </w:pPr>
      <w:r>
        <w:t xml:space="preserve"/>
      </w:r>
    </w:p>
    <w:p>
      <w:pPr>
        <w:pStyle w:val="Heading2"/>
        <w:spacing w:after="80" w:before="240"/>
      </w:pPr>
      <w:r>
        <w:rPr>
          <w:rFonts w:ascii="Arial" w:cs="Arial" w:eastAsia="Arial" w:hAnsi="Arial"/>
          <w:b/>
          <w:bCs/>
          <w:color w:val="2E75B6"/>
          <w:sz w:val="24"/>
          <w:szCs w:val="24"/>
        </w:rPr>
        <w:t xml:space="preserve">5A — USDA PDP Ingestion</w:t>
      </w:r>
    </w:p>
    <w:p>
      <w:pPr>
        <w:spacing w:after="60" w:before="60"/>
      </w:pPr>
      <w:r>
        <w:rPr>
          <w:rFonts w:ascii="Arial" w:cs="Arial" w:eastAsia="Arial" w:hAnsi="Arial"/>
          <w:color w:val="000000"/>
          <w:sz w:val="20"/>
          <w:szCs w:val="20"/>
        </w:rPr>
        <w:t xml:space="preserve">The USDA Pesticide Data Program publishes annual Excel datasets. There is no real-time API. Developer must download annually and run the ingestion script.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Download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https://www.ams.usda.gov/datasets/pdp — Download the most recent annual Excel summary (2024 dataset published January 2026).</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File structure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Multiple sheets per year. Key columns: Commodity, Pesticide Name, Pesticide Code, Result (ppb), LOD, Sample ID. Column names change between years — parser must handle dynamically.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Join to EPA tolerances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After parsing PDP data, join each (pesticide_code, commodity) pair to EPA 40 CFR §180 tolerance values. See 5B for eCFR API endpoint.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Output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Upsert into Firestore commodities collection. One document per commodity slug. Residues array contains all detected pesticides with detection stats and tolerance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Frequency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ingestion once per year when USDA publishes new dataset (typically January).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Script language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Node.js preferred (matches existing Firebase Functions stack). Use xlsx npm package for Excel parsing.</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5B — EPA eCFR API</w:t>
      </w:r>
    </w:p>
    <w:p>
      <w:pPr>
        <w:spacing w:after="60" w:before="60"/>
      </w:pPr>
      <w:r>
        <w:rPr>
          <w:rFonts w:ascii="Arial" w:cs="Arial" w:eastAsia="Arial" w:hAnsi="Arial"/>
          <w:color w:val="000000"/>
          <w:sz w:val="20"/>
          <w:szCs w:val="20"/>
        </w:rPr>
        <w:t xml:space="preserve">The Electronic Code of Federal Regulations provides a REST API to query 40 CFR §180 tolerance data programmatically.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Base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https://www.ecfr.gov/api/versioner/v1/</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Pesticide tolerances endpoint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GET /full/current/title-40/chapter-I/subchapter-E/part-180 — Returns full 40 CFR §180 XML. Parse for tolerance values by pesticide and commodity.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None required. Public API.</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Rate limits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Not officially documented. Use polite delay of 500ms between requests. Cache results in Firestore.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Update frequency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Monitor Federal Register for 40 CFR §180 amendments. Pull quarterly or set up change monitoring.</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5C — Open Food Facts Integration</w:t>
      </w:r>
    </w:p>
    <w:p>
      <w:pPr>
        <w:spacing w:after="60" w:before="60"/>
      </w:pPr>
      <w:r>
        <w:rPr>
          <w:rFonts w:ascii="Arial" w:cs="Arial" w:eastAsia="Arial" w:hAnsi="Arial"/>
          <w:color w:val="000000"/>
          <w:sz w:val="20"/>
          <w:szCs w:val="20"/>
        </w:rPr>
        <w:t xml:space="preserve">Open Food Facts is the barcode resolution layer. It provides product name, brand, and ingredient list text. It is not a safety data source. Do not display their Nutriscore, Nova score, or Eco-score in PurityIQ.</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License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 Database License (ODbL). Commercial use permitted. Attribution required: 'Product data from Open Food Facts — openfoodfacts.org'</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Barcode lookup endpoint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GET https://world.openfoodfacts.org/api/v2/product/{barcode}.json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Key fields to extract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product_name, brands, ingredients_text, ingredients (parsed array)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Fields to ignore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nutriscore_grade, nova_group, ecoscore — Do not display these in PurityIQ.</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Fallback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If barcode not found in Open Food Facts, prompt user to scan ingredients label manually via Apple VisionKit OCR.</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Caching</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Cache Open Food Facts responses in Firestore products collection. Refresh stale products older than 30 days.</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5D — Ingredient-to-Commodity Mapping</w:t>
      </w:r>
    </w:p>
    <w:p>
      <w:pPr>
        <w:spacing w:after="60" w:before="60"/>
      </w:pPr>
      <w:r>
        <w:rPr>
          <w:rFonts w:ascii="Arial" w:cs="Arial" w:eastAsia="Arial" w:hAnsi="Arial"/>
          <w:color w:val="000000"/>
          <w:sz w:val="20"/>
          <w:szCs w:val="20"/>
        </w:rPr>
        <w:t xml:space="preserve">This is the bridge between Open Food Facts ingredient text and USDA PDP commodity residue data. It does not exist yet and must be built. See Section 6 for the full mapping table.</w:t>
      </w:r>
    </w:p>
    <w:p>
      <w:pPr>
        <w:spacing w:after="0" w:before="60"/>
      </w:pPr>
      <w:r>
        <w:t xml:space="preserve"/>
      </w:r>
    </w:p>
    <w:p>
      <w:pPr>
        <w:spacing w:after="60" w:before="60"/>
      </w:pPr>
      <w:r>
        <w:rPr>
          <w:rFonts w:ascii="Arial" w:cs="Arial" w:eastAsia="Arial" w:hAnsi="Arial"/>
          <w:color w:val="000000"/>
          <w:sz w:val="20"/>
          <w:szCs w:val="20"/>
        </w:rPr>
        <w:t xml:space="preserve">Architecture:</w:t>
      </w:r>
    </w:p>
    <w:p>
      <w:pPr>
        <w:pStyle w:val="ListParagraph"/>
        <w:numPr>
          <w:ilvl w:val="0"/>
          <w:numId w:val="2"/>
        </w:numPr>
        <w:spacing w:after="40" w:before="40"/>
      </w:pPr>
      <w:r>
        <w:rPr>
          <w:rFonts w:ascii="Arial" w:cs="Arial" w:eastAsia="Arial" w:hAnsi="Arial"/>
          <w:sz w:val="20"/>
          <w:szCs w:val="20"/>
        </w:rPr>
        <w:t xml:space="preserve">Firestore commodities collection stores ingredient_aliases array per commodity document</w:t>
      </w:r>
    </w:p>
    <w:p>
      <w:pPr>
        <w:pStyle w:val="ListParagraph"/>
        <w:numPr>
          <w:ilvl w:val="0"/>
          <w:numId w:val="2"/>
        </w:numPr>
        <w:spacing w:after="40" w:before="40"/>
      </w:pPr>
      <w:r>
        <w:rPr>
          <w:rFonts w:ascii="Arial" w:cs="Arial" w:eastAsia="Arial" w:hAnsi="Arial"/>
          <w:sz w:val="20"/>
          <w:szCs w:val="20"/>
        </w:rPr>
        <w:t xml:space="preserve">On product scan: Cloud Function normalizes ingredient text, runs fuzzy match against all ingredient_aliases arrays across all commodity documents</w:t>
      </w:r>
    </w:p>
    <w:p>
      <w:pPr>
        <w:pStyle w:val="ListParagraph"/>
        <w:numPr>
          <w:ilvl w:val="0"/>
          <w:numId w:val="2"/>
        </w:numPr>
        <w:spacing w:after="40" w:before="40"/>
      </w:pPr>
      <w:r>
        <w:rPr>
          <w:rFonts w:ascii="Arial" w:cs="Arial" w:eastAsia="Arial" w:hAnsi="Arial"/>
          <w:sz w:val="20"/>
          <w:szCs w:val="20"/>
        </w:rPr>
        <w:t xml:space="preserve">Returns matched commodity slugs — these are stored in products/{upc}/commodities_matched</w:t>
      </w:r>
    </w:p>
    <w:p>
      <w:pPr>
        <w:pStyle w:val="ListParagraph"/>
        <w:numPr>
          <w:ilvl w:val="0"/>
          <w:numId w:val="2"/>
        </w:numPr>
        <w:spacing w:after="40" w:before="40"/>
      </w:pPr>
      <w:r>
        <w:rPr>
          <w:rFonts w:ascii="Arial" w:cs="Arial" w:eastAsia="Arial" w:hAnsi="Arial"/>
          <w:sz w:val="20"/>
          <w:szCs w:val="20"/>
        </w:rPr>
        <w:t xml:space="preserve">Fuzzy match should handle: plurals, 'organic' prefix, 'freeze-dried'/'dehydrated'/'powdered' prefix, 'puree'/'concentrate'/'extract' suffix, parenthetical clarifications</w:t>
      </w:r>
    </w:p>
    <w:p>
      <w:pPr>
        <w:pStyle w:val="ListParagraph"/>
        <w:numPr>
          <w:ilvl w:val="0"/>
          <w:numId w:val="2"/>
        </w:numPr>
        <w:spacing w:after="40" w:before="40"/>
      </w:pPr>
      <w:r>
        <w:rPr>
          <w:rFonts w:ascii="Arial" w:cs="Arial" w:eastAsia="Arial" w:hAnsi="Arial"/>
          <w:sz w:val="20"/>
          <w:szCs w:val="20"/>
        </w:rPr>
        <w:t xml:space="preserve">No match returns empty array — product gets data_confidence: 'low' and displays ingredient-level flags only (no residue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00"/>
              <w:left w:type="dxa" w:w="160"/>
              <w:bottom w:type="dxa" w:w="100"/>
              <w:right w:type="dxa" w:w="160"/>
            </w:tcMar>
          </w:tcPr>
          <w:p>
            <w:pPr>
              <w:spacing w:after="40" w:before="0"/>
            </w:pPr>
            <w:r>
              <w:rPr>
                <w:rFonts w:ascii="Arial" w:cs="Arial" w:eastAsia="Arial" w:hAnsi="Arial"/>
                <w:b/>
                <w:bCs/>
                <w:color w:val="2E75B6"/>
                <w:sz w:val="20"/>
                <w:szCs w:val="20"/>
              </w:rPr>
              <w:t xml:space="preserve">Build Order</w:t>
            </w:r>
          </w:p>
          <w:p>
            <w:pPr>
              <w:spacing w:after="0" w:before="0"/>
            </w:pPr>
            <w:r>
              <w:rPr>
                <w:rFonts w:ascii="Arial" w:cs="Arial" w:eastAsia="Arial" w:hAnsi="Arial"/>
                <w:color w:val="000000"/>
                <w:sz w:val="20"/>
                <w:szCs w:val="20"/>
              </w:rPr>
              <w:t xml:space="preserve">Build the commodities collection and ingredient_aliases seed data before building the fuzzy matching Cloud Function. The matching logic depends on the alias data being in place. See Section 6 for the initial alias seed list.</w:t>
            </w:r>
          </w:p>
        </w:tc>
      </w:tr>
    </w:tbl>
    <w:p>
      <w:pPr>
        <w:spacing w:after="0" w:before="8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A3A5C"/>
          <w:sz w:val="28"/>
          <w:szCs w:val="28"/>
        </w:rPr>
        <w:t xml:space="preserve">Section 6 — Ingredient-to-Commodity Mapping</w:t>
      </w:r>
    </w:p>
    <w:p>
      <w:pPr>
        <w:spacing w:after="60" w:before="60"/>
      </w:pPr>
      <w:r>
        <w:rPr>
          <w:rFonts w:ascii="Arial" w:cs="Arial" w:eastAsia="Arial" w:hAnsi="Arial"/>
          <w:color w:val="000000"/>
          <w:sz w:val="20"/>
          <w:szCs w:val="20"/>
        </w:rPr>
        <w:t xml:space="preserve">This is the initial seed list for the commodities collection. Start with these 30 high-priority commodities — they cover the Dirty Dozen and Clean Fifteen, plus the highest-volume packaged food ingredients. Expand iteratively based on real user scan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20A" w:sz="1"/>
              <w:left w:val="single" w:color="B8520A" w:sz="12"/>
              <w:bottom w:val="single" w:color="B8520A" w:sz="1"/>
              <w:right w:val="single" w:color="B8520A" w:sz="1"/>
            </w:tcBorders>
            <w:shd w:fill="FFF0DC" w:val="clear"/>
            <w:tcMar>
              <w:top w:type="dxa" w:w="100"/>
              <w:left w:type="dxa" w:w="160"/>
              <w:bottom w:type="dxa" w:w="100"/>
              <w:right w:type="dxa" w:w="160"/>
            </w:tcMar>
          </w:tcPr>
          <w:p>
            <w:pPr>
              <w:spacing w:after="40" w:before="0"/>
            </w:pPr>
            <w:r>
              <w:rPr>
                <w:rFonts w:ascii="Arial" w:cs="Arial" w:eastAsia="Arial" w:hAnsi="Arial"/>
                <w:b/>
                <w:bCs/>
                <w:color w:val="B8520A"/>
                <w:sz w:val="20"/>
                <w:szCs w:val="20"/>
              </w:rPr>
              <w:t xml:space="preserve">Priority Build Note</w:t>
            </w:r>
          </w:p>
          <w:p>
            <w:pPr>
              <w:spacing w:after="0" w:before="0"/>
            </w:pPr>
            <w:r>
              <w:rPr>
                <w:rFonts w:ascii="Arial" w:cs="Arial" w:eastAsia="Arial" w:hAnsi="Arial"/>
                <w:color w:val="000000"/>
                <w:sz w:val="20"/>
                <w:szCs w:val="20"/>
              </w:rPr>
              <w:t xml:space="preserve">Build the Dirty Dozen 12 commodities first. These are the highest-risk commodities, the most scanned products, and the most compelling content for early users. The full 30-commodity list ships in V1.</w:t>
            </w:r>
          </w:p>
        </w:tc>
      </w:tr>
    </w:tbl>
    <w:p>
      <w:pPr>
        <w:spacing w:after="0" w:before="120"/>
      </w:pPr>
      <w:r>
        <w:t xml:space="preserve"/>
      </w:r>
    </w:p>
    <w:p>
      <w:pPr>
        <w:pStyle w:val="Heading3"/>
        <w:spacing w:after="60" w:before="200"/>
      </w:pPr>
      <w:r>
        <w:rPr>
          <w:rFonts w:ascii="Arial" w:cs="Arial" w:eastAsia="Arial" w:hAnsi="Arial"/>
          <w:b/>
          <w:bCs/>
          <w:color w:val="404040"/>
          <w:sz w:val="22"/>
          <w:szCs w:val="22"/>
        </w:rPr>
        <w:t xml:space="preserve">Priority 1 — Dirty Dozen (Build First)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Commodity Slug</w:t>
            </w:r>
          </w:p>
        </w:tc>
        <w:tc>
          <w:tcPr>
            <w:tcW w:type="dxa" w:w="63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Ingredient Aliases (seed this into Firestore ingredient_aliases array)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strawberry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strawberries, organic strawberries, freeze-dried strawberries, strawberry puree, strawberry juice, strawberry extract, strawberry concentrate, strawberry powder, dried strawberries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spinach</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spinach, organic spinach, baby spinach, spinach powder, spinach puree, dehydrated spinach, spinach extract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kale, organic kale, kale powder, dehydrated kale, kale extract, collard greens, mixed greens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peach</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peaches, organic peaches, peach puree, peach juice, peach concentrate, dried peaches, peach extract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pears, organic pears, pear puree, pear juice, pear concentrate, dried pears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nectarine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nectarines, organic nectarines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apples, organic apples, apple puree, applesauce, apple juice, apple cider, apple concentrate, apple powder, dried apples, dehydrated apples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grape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grapes, organic grapes, grape juice, grape concentrate, raisins, dried grapes, grape extract, grape seed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bell_pepper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bell peppers, sweet peppers, red peppers, green peppers, yellow peppers, organic bell peppers, roasted peppers, peppers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cherry</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cherries, tart cherries, sweet cherries, organic cherries, maraschino cherries, cherry juice, cherry concentrate, dried cherries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blueberry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blueberries, organic blueberries, wild blueberries, freeze-dried blueberries, dried blueberries, blueberry puree, blueberry juice, blueberry powder</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green_bean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green beans, string beans, snap beans, organic green beans, cut green beans</w:t>
            </w:r>
          </w:p>
        </w:tc>
      </w:tr>
    </w:tbl>
    <w:p>
      <w:pPr>
        <w:spacing w:after="0" w:before="120"/>
      </w:pPr>
      <w:r>
        <w:t xml:space="preserve"/>
      </w:r>
    </w:p>
    <w:p>
      <w:pPr>
        <w:pStyle w:val="Heading3"/>
        <w:spacing w:after="60" w:before="200"/>
      </w:pPr>
      <w:r>
        <w:rPr>
          <w:rFonts w:ascii="Arial" w:cs="Arial" w:eastAsia="Arial" w:hAnsi="Arial"/>
          <w:b/>
          <w:bCs/>
          <w:color w:val="404040"/>
          <w:sz w:val="22"/>
          <w:szCs w:val="22"/>
        </w:rPr>
        <w:t xml:space="preserve">Priority 2 — High-Volume Packaged Food Ingredients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Commodity Slug</w:t>
            </w:r>
          </w:p>
        </w:tc>
        <w:tc>
          <w:tcPr>
            <w:tcW w:type="dxa" w:w="63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Ingredient Aliases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wheat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wheat flour, enriched wheat flour, enriched bleached wheat flour, whole wheat flour, wheat, bromated wheat flour, unbleached wheat flour, durum wheat, wheat starch, wheat bran, wheat germ, semolina</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corn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corn, sweet corn, corn starch, corn flour, corn meal, cornmeal, corn syrup, dextrose, high fructose corn syrup, HFCS, corn sugar, corn oil, corn extract, hominy, masa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soybean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soybeans, soy, soy flour, soy protein, soy protein isolate, soy lecithin, soybean oil, hydrogenated soybean oil, partially hydrogenated soybean oil, textured soy protein, TSP, edamame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oat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oats, rolled oats, whole grain oats, oat flour, oat bran, steel cut oats, quick oats, oat extract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potato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potatoes, white potatoes, russet potatoes, potato starch, potato flour, potato flakes, dehydrated potatoes, sweet potato</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tomato</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tomatoes, tomato paste, tomato puree, tomato sauce, tomato juice, tomato powder, sun-dried tomatoes, crushed tomatoes, diced tomatoes, organic tomatoes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rice, white rice, brown rice, rice flour, rice starch, rice bran, rice syrup, rice concentrate, long grain rice, short grain rice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avocado</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avocado, avocado oil, avocado puree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onions, dried onions, onion powder, onion flakes, dehydrated onions, shallots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celery</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celery, celery seed, celery salt, celery extract, celery juice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carrot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carrots, organic carrots, baby carrots, carrot puree, carrot juice, dehydrated carrots, carrot powder</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lettuce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lettuce, romaine lettuce, iceberg lettuce, mixed greens, salad greens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cucumber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cucumbers, pickles, pickle juice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orange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oranges, orange juice, orange concentrate, orange extract, orange peel, orange zest, mandarin, tangerine, clementine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lemon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lemon, lemon juice, lemon extract, lemon peel, lemon zest, citric acid (where commodity context warrants)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milk</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milk, whole milk, skim milk, low-fat milk, nonfat milk, milk solids, dried milk, nonfat dry milk, lactose, whey, whey protein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egg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eggs, whole eggs, egg whites, egg yolks, dried eggs, egg powder, egg solids</w:t>
            </w:r>
          </w:p>
        </w:tc>
      </w:tr>
    </w:tbl>
    <w:p>
      <w:pPr>
        <w:spacing w:after="0" w:before="80"/>
      </w:pPr>
      <w:r>
        <w:t xml:space="preserve"/>
      </w:r>
    </w:p>
    <w:p>
      <w:pPr>
        <w:spacing w:after="60" w:before="60"/>
      </w:pPr>
      <w:r>
        <w:rPr>
          <w:rFonts w:ascii="Arial" w:cs="Arial" w:eastAsia="Arial" w:hAnsi="Arial"/>
          <w:color w:val="000000"/>
          <w:sz w:val="20"/>
          <w:szCs w:val="20"/>
        </w:rPr>
        <w:t xml:space="preserve">NOTE: This is the initial seed list. The developer should add an admin endpoint to append new commodity aliases based on real ingredient strings that fail to match during production scanning. Track unmatched ingredient strings in a Firestore unmatched_ingredients collection for ongoing review and alias expansion.</w:t>
      </w:r>
    </w:p>
    <w:p>
      <w:pPr>
        <w:spacing w:after="0" w:before="8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A3A5C"/>
          <w:sz w:val="28"/>
          <w:szCs w:val="28"/>
        </w:rPr>
        <w:t xml:space="preserve">Section 7 — Open Actions Before Launch</w:t>
      </w:r>
    </w:p>
    <w:p>
      <w:pPr>
        <w:spacing w:after="60" w:before="60"/>
      </w:pPr>
      <w:r>
        <w:rPr>
          <w:rFonts w:ascii="Arial" w:cs="Arial" w:eastAsia="Arial" w:hAnsi="Arial"/>
          <w:color w:val="000000"/>
          <w:sz w:val="20"/>
          <w:szCs w:val="20"/>
        </w:rPr>
        <w:t xml:space="preserve">The following items must be completed before the app ships to production. They are not optional.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760"/>
        <w:gridCol w:w="2000"/>
      </w:tblGrid>
      <w:tr>
        <w:trPr>
          <w:tblHeader/>
        </w:trPr>
        <w:tc>
          <w:tcPr>
            <w:tcW w:type="dxa" w:w="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47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IARC Commercial Use Permission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com@iarc.fr requesting written permission to use IARC classification tiers (Group 1, 2A, 2B) in a commercial iOS application. Until permission is received, the iarc_classification field in the ingredients collection must remain null and the app must cite NTP Report on Carcinogens instead.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 (founder)</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Build commodities Firestore collection</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Create and seed the commodities collection using USDA PDP data, EPA tolerance data, and the ingredient_aliases seed list in Section 6. This collection does not yet exist.</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Tech co-founder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ingredient-to-commodity matching Cloud Function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Cloud Function that accepts a parsed ingredient list, runs fuzzy matching against commodities/{slug}/ingredient_aliases, and returns matched commodity slugs. Store results in products/{upc}/commodities_matched.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 co-founder</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USDA PDP ingestion script</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One-time script (reusable annually) to parse USDA PDP annual Excel file and upsert residue data into Firestore commodities collection. Join to EPA tolerance data via eCFR API.</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Tech co-founder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Seed ingredients collection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Populate Firestore ingredients collection with all contaminants in Section 3B. Verify each record against primary sources before seeding. Include all flag_type values, aliases, fda_status, and ntp_classification. Leave iarc_classification null.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 co-founder</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Seed regulatory_flags collection</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Populate regulatory_flags collection with jurisdiction-specific records for every contaminant in Section 3B. Source URLs must be primary government domain URLs only.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Tech co-founder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ban_type on BVO and Red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are now US federal bans, not divergence flags. Ensure display logic shows US BANNED status, not EU divergence.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 co-founder</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AB 899 scraping strategy</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California AB 899 has no central portal. Develop a strategy to monitor manufacturer disclosure PDFs and extract heavy metal data. Consider AI PDF pipeline (DeepSeek V4 Flash via Fireworks AI per prior handoff recommendation).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Tech co-founder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unmatched_ingredients logging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 Firestore unmatched_ingredients collection. Log any ingredient string that fails commodity matching during production scanning. Review weekly to expand alias lists.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 co-founder</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Open Food Facts attribution</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Confirm attribution text appears in app settings or data sources screen: 'Product data from Open Food Facts — openfoodfacts.org'. Required by ODbL license.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Tech co-founder</w:t>
            </w:r>
          </w:p>
        </w:tc>
      </w:tr>
    </w:tbl>
    <w:p>
      <w:pPr>
        <w:spacing w:after="0" w:before="80"/>
      </w:pPr>
      <w:r>
        <w:t xml:space="preserve"/>
      </w:r>
    </w:p>
    <w:p>
      <w:pPr>
        <w:pBdr>
          <w:bottom w:val="single" w:color="2E75B6" w:sz="4" w:space="1"/>
        </w:pBdr>
        <w:spacing w:after="160" w:before="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2026-06-08T14:00:32.195Z</dcterms:created>
  <dcterms:modified xsi:type="dcterms:W3CDTF">2026-06-08T14:00:32.195Z</dcterms:modified>
</cp:coreProperties>
</file>

<file path=docProps/custom.xml><?xml version="1.0" encoding="utf-8"?>
<Properties xmlns="http://schemas.openxmlformats.org/officeDocument/2006/custom-properties" xmlns:vt="http://schemas.openxmlformats.org/officeDocument/2006/docPropsVTypes"/>
</file>