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jc w:val="center"/>
      </w:pPr>
      <w:r>
        <w:rPr>
          <w:rFonts w:eastAsia="黑体" w:ascii="Arial" w:hAnsi="Arial"/>
          <w:b/>
          <w:sz w:val="36"/>
        </w:rPr>
        <w:t>FlipFocus：一种基于浏览器多传感器融合的</w:t>
        <w:br/>
        <w:t>手机翻转行为检测与分析工具</w:t>
      </w:r>
    </w:p>
    <w:p>
      <w:pPr>
        <w:spacing w:after="80" w:before="0"/>
        <w:jc w:val="center"/>
      </w:pPr>
      <w:r>
        <w:rPr>
          <w:rFonts w:eastAsia="仿宋" w:ascii="Times New Roman" w:hAnsi="Times New Roman"/>
          <w:b w:val="0"/>
          <w:sz w:val="32"/>
        </w:rPr>
        <w:t>作者姓名¹⁾  指导教师²⁾</w:t>
      </w:r>
    </w:p>
    <w:p>
      <w:pPr>
        <w:spacing w:after="120" w:before="0"/>
        <w:jc w:val="center"/>
      </w:pPr>
      <w:r>
        <w:rPr>
          <w:rFonts w:eastAsia="宋体" w:ascii="Times New Roman" w:hAnsi="Times New Roman"/>
          <w:b w:val="0"/>
          <w:sz w:val="15"/>
        </w:rPr>
        <w:t>¹⁾(学校名称  城市  邮编)  ²⁾(指导单位  城市  邮编)</w:t>
      </w:r>
    </w:p>
    <w:p>
      <w:pPr>
        <w:spacing w:after="60" w:before="0"/>
      </w:pPr>
      <w:r>
        <w:rPr>
          <w:rFonts w:eastAsia="黑体" w:ascii="Arial" w:hAnsi="Arial"/>
          <w:b/>
          <w:sz w:val="18"/>
        </w:rPr>
        <w:t>摘  要</w:t>
      </w:r>
    </w:p>
    <w:p>
      <w:pPr>
        <w:spacing w:after="60" w:before="0"/>
        <w:ind w:firstLine="360"/>
      </w:pPr>
      <w:r>
        <w:rPr>
          <w:rFonts w:eastAsia="宋体" w:ascii="Times New Roman" w:hAnsi="Times New Roman"/>
          <w:b w:val="0"/>
          <w:sz w:val="18"/>
        </w:rPr>
        <w:t>智能手机的物理朝向（面朝上/面朝下）与用户的注意力状态密切相关，但现有研究工具通常需要安装原生App，部署门槛高、跨设备兼容性差。本文提出FlipFocus，一个基于浏览器标准API的轻量级手机翻转行为检测与分析工具。FlipFocus融合加速度计、环境光传感器和接近传感器，实现了三级传感器退化策略和3秒确认窗口的翻转检测状态机；同时提供完整的实验材料包（标准化操作流程、自评问卷、题库）和Python分析管线（预处理→混合效应模型→效应量→可视化→验证）。FlipFocus无需安装，通过浏览器链接即可部署，为移动端注意力行为研究提供了一种低门槛、跨平台的解决方案。</w:t>
      </w:r>
    </w:p>
    <w:p>
      <w:pPr>
        <w:spacing w:after="160" w:before="0"/>
      </w:pPr>
      <w:r>
        <w:rPr>
          <w:rFonts w:eastAsia="宋体" w:ascii="Times New Roman" w:hAnsi="Times New Roman"/>
          <w:b w:val="0"/>
          <w:sz w:val="18"/>
        </w:rPr>
        <w:t>关键词：手机翻转检测；传感器融合；浏览器API；注意力行为；实验工具</w:t>
      </w:r>
    </w:p>
    <w:p>
      <w:pPr>
        <w:spacing w:after="60" w:before="0"/>
      </w:pPr>
      <w:r>
        <w:rPr>
          <w:rFonts w:eastAsia="Times New Roman" w:ascii="Times New Roman" w:hAnsi="Times New Roman"/>
          <w:b/>
          <w:sz w:val="21"/>
        </w:rPr>
        <w:t>FlipFocus: A Browser-Based Multi-Sensor Fusion Tool for Phone Flip Detection and Analysis</w:t>
      </w:r>
    </w:p>
    <w:p>
      <w:pPr>
        <w:spacing w:after="60" w:before="0"/>
        <w:ind w:firstLine="360"/>
      </w:pPr>
      <w:r>
        <w:rPr>
          <w:rFonts w:eastAsia="Times New Roman" w:ascii="Times New Roman" w:hAnsi="Times New Roman"/>
          <w:b w:val="0"/>
          <w:sz w:val="18"/>
        </w:rPr>
        <w:t>Smartphone physical orientation (face-up vs. face-down) is closely related to users' attentional state, yet existing research tools typically require native app installation, imposing high deployment barriers and poor cross-device compatibility. We present FlipFocus, a lightweight browser-based tool for phone flip behavior detection and analysis, featuring a three-tier sensor degradation strategy, a flip detection state machine with 3-second confirmation window, a complete experimental materials kit, and a Python analysis pipeline. FlipFocus requires no installation and can be deployed via a browser link, offering a low-barrier, cross-platform solution for mobile attention behavior research.</w:t>
      </w:r>
    </w:p>
    <w:p>
      <w:pPr>
        <w:spacing w:after="240" w:before="0"/>
      </w:pPr>
      <w:r>
        <w:rPr>
          <w:rFonts w:eastAsia="Times New Roman" w:ascii="Times New Roman" w:hAnsi="Times New Roman"/>
          <w:b w:val="0"/>
          <w:sz w:val="18"/>
        </w:rPr>
        <w:t>Keywords: phone flip detection; sensor fusion; browser API; attentional behavior; research tool</w:t>
      </w:r>
    </w:p>
    <w:p>
      <w:pPr>
        <w:spacing w:after="120" w:before="240"/>
      </w:pPr>
      <w:r>
        <w:rPr>
          <w:rFonts w:eastAsia="黑体" w:ascii="Arial" w:hAnsi="Arial"/>
          <w:b/>
          <w:sz w:val="28"/>
        </w:rPr>
        <w:t>1  引言</w:t>
      </w:r>
    </w:p>
    <w:p>
      <w:pPr>
        <w:spacing w:after="60" w:before="0"/>
        <w:ind w:firstLine="420"/>
      </w:pPr>
      <w:r>
        <w:rPr>
          <w:rFonts w:eastAsia="宋体" w:ascii="Times New Roman" w:hAnsi="Times New Roman"/>
          <w:b w:val="0"/>
          <w:sz w:val="21"/>
        </w:rPr>
        <w:t>许多人在开始工作或学习前，会习惯性地将手机翻转为面朝下放置。这种行为看似随意，却可能蕴含着一种微妙的自我调节机制——通过一个主动的身体动作来宣告"专注模式"的开启。已有研究表明，智能手机的单纯存在即可降低可用认知容量[1]，手机通知会显著增加注意力捕获[2]，而自我调节策略能有效改善青少年的自律能力[3]。</w:t>
      </w:r>
    </w:p>
    <w:p>
      <w:pPr>
        <w:spacing w:after="60" w:before="0"/>
        <w:ind w:firstLine="420"/>
      </w:pPr>
      <w:r>
        <w:rPr>
          <w:rFonts w:eastAsia="宋体" w:ascii="Times New Roman" w:hAnsi="Times New Roman"/>
          <w:b w:val="0"/>
          <w:sz w:val="21"/>
        </w:rPr>
        <w:t>然而，现有关于手机与注意力的研究主要依赖两种数据采集方式：(1) 实验室内固定设备（如眼动仪、EEG），生态效度低；(2) 安装原生App进行生态瞬时评估（EMA），但需用户授权安装、面临跨设备兼容性问题、且开发成本高[4]。目前尚缺乏一种零安装、跨平台、专注手机翻转行为检测的工具，使得研究者能快速部署实验并采集传感器数据。</w:t>
      </w:r>
    </w:p>
    <w:p>
      <w:pPr>
        <w:spacing w:after="60" w:before="0"/>
        <w:ind w:firstLine="420"/>
      </w:pPr>
      <w:r>
        <w:rPr>
          <w:rFonts w:eastAsia="宋体" w:ascii="Times New Roman" w:hAnsi="Times New Roman"/>
          <w:b w:val="0"/>
          <w:sz w:val="21"/>
        </w:rPr>
        <w:t>本文提出FlipFocus，一个基于浏览器标准API的手机翻转行为检测与分析工具。FlipFocus的核心技术贡献包括：(1) 一种自适应传感器退化策略——根据设备传感器可用性自动切换融合模式，确保在不同品牌手机上均可运行；(2) 一个带3秒确认窗口和过渡期排除的翻转检测状态机，有效过滤误触发；(3) 配套的Python分析管线和可复用实验材料包，形成从数据采集到论文写作的完整链路。</w:t>
      </w:r>
    </w:p>
    <w:p>
      <w:pPr>
        <w:spacing w:after="120" w:before="240"/>
      </w:pPr>
      <w:r>
        <w:rPr>
          <w:rFonts w:eastAsia="黑体" w:ascii="Arial" w:hAnsi="Arial"/>
          <w:b/>
          <w:sz w:val="28"/>
        </w:rPr>
        <w:t>2  系统设计</w:t>
      </w:r>
    </w:p>
    <w:p>
      <w:pPr>
        <w:spacing w:after="60" w:before="0"/>
        <w:ind w:firstLine="420"/>
      </w:pPr>
      <w:r>
        <w:rPr>
          <w:rFonts w:eastAsia="宋体" w:ascii="Times New Roman" w:hAnsi="Times New Roman"/>
          <w:b w:val="0"/>
          <w:sz w:val="21"/>
        </w:rPr>
        <w:t>FlipFocus提供两种实现版本：(1) FlipFocus.html——单文件HTML/JavaScript网页应用，通过浏览器传感器API实现，零安装，扫码或链接即可使用；(2) React Native App——基于Expo框架的原生应用，利用expo-sensors实现三传感器融合和XY轴静态性校验。两种版本共享相同的核心算法，但在传感器能力和部署方式上形成互补。本文重点介绍HTML版本的设计。</w:t>
      </w:r>
    </w:p>
    <w:p>
      <w:pPr>
        <w:spacing w:after="80" w:before="160"/>
      </w:pPr>
      <w:r>
        <w:rPr>
          <w:rFonts w:eastAsia="黑体" w:ascii="Arial" w:hAnsi="Arial"/>
          <w:b/>
          <w:sz w:val="21"/>
        </w:rPr>
        <w:t>2.1  传感器融合与退化策略</w:t>
      </w:r>
    </w:p>
    <w:p>
      <w:pPr>
        <w:spacing w:after="60" w:before="0"/>
        <w:ind w:firstLine="420"/>
      </w:pPr>
      <w:r>
        <w:rPr>
          <w:rFonts w:eastAsia="宋体" w:ascii="Times New Roman" w:hAnsi="Times New Roman"/>
          <w:b w:val="0"/>
          <w:sz w:val="21"/>
        </w:rPr>
        <w:t>FlipFocus融合三类内置传感器，并通过运行时可用性检测实现自适应退化。表1总结了各传感器模式及其退化路径。</w:t>
      </w:r>
    </w:p>
    <w:p>
      <w:pPr>
        <w:spacing w:before="120" w:after="60"/>
        <w:jc w:val="center"/>
      </w:pPr>
      <w:r>
        <w:rPr>
          <w:rFonts w:eastAsia="黑体" w:ascii="Arial" w:hAnsi="Arial"/>
          <w:b/>
          <w:sz w:val="18"/>
        </w:rPr>
        <w:t>表1  传感器融合模式与退化路径</w:t>
      </w:r>
    </w:p>
    <w:tbl>
      <w:tblPr>
        <w:tblStyle w:val="TableGrid"/>
        <w:tblW w:type="auto" w:w="0"/>
        <w:tblLook w:firstColumn="1" w:firstRow="1" w:lastColumn="0" w:lastRow="0" w:noHBand="0" w:noVBand="1" w:val="04A0"/>
      </w:tblPr>
      <w:tblGrid>
        <w:gridCol w:w="2409"/>
        <w:gridCol w:w="2409"/>
        <w:gridCol w:w="2409"/>
        <w:gridCol w:w="2409"/>
      </w:tblGrid>
      <w:tr>
        <w:tc>
          <w:tcPr>
            <w:tcW w:type="dxa" w:w="2409"/>
          </w:tcPr>
          <w:p>
            <w:pPr>
              <w:jc w:val="center"/>
            </w:pPr>
            <w:r/>
            <w:r>
              <w:rPr>
                <w:rFonts w:eastAsia="宋体" w:ascii="Times New Roman" w:hAnsi="Times New Roman"/>
                <w:b/>
                <w:sz w:val="16"/>
              </w:rPr>
              <w:t>模式</w:t>
            </w:r>
          </w:p>
        </w:tc>
        <w:tc>
          <w:tcPr>
            <w:tcW w:type="dxa" w:w="2409"/>
          </w:tcPr>
          <w:p>
            <w:pPr>
              <w:jc w:val="center"/>
            </w:pPr>
            <w:r/>
            <w:r>
              <w:rPr>
                <w:rFonts w:eastAsia="宋体" w:ascii="Times New Roman" w:hAnsi="Times New Roman"/>
                <w:b/>
                <w:sz w:val="16"/>
              </w:rPr>
              <w:t>所用传感器</w:t>
            </w:r>
          </w:p>
        </w:tc>
        <w:tc>
          <w:tcPr>
            <w:tcW w:type="dxa" w:w="2409"/>
          </w:tcPr>
          <w:p>
            <w:pPr>
              <w:jc w:val="center"/>
            </w:pPr>
            <w:r/>
            <w:r>
              <w:rPr>
                <w:rFonts w:eastAsia="宋体" w:ascii="Times New Roman" w:hAnsi="Times New Roman"/>
                <w:b/>
                <w:sz w:val="16"/>
              </w:rPr>
              <w:t>适用场景</w:t>
            </w:r>
          </w:p>
        </w:tc>
        <w:tc>
          <w:tcPr>
            <w:tcW w:type="dxa" w:w="2409"/>
          </w:tcPr>
          <w:p>
            <w:pPr>
              <w:jc w:val="center"/>
            </w:pPr>
            <w:r/>
            <w:r>
              <w:rPr>
                <w:rFonts w:eastAsia="宋体" w:ascii="Times New Roman" w:hAnsi="Times New Roman"/>
                <w:b/>
                <w:sz w:val="16"/>
              </w:rPr>
              <w:t>退化条件</w:t>
            </w:r>
          </w:p>
        </w:tc>
      </w:tr>
      <w:tr>
        <w:tc>
          <w:tcPr>
            <w:tcW w:type="dxa" w:w="2409"/>
          </w:tcPr>
          <w:p>
            <w:pPr>
              <w:jc w:val="center"/>
            </w:pPr>
            <w:r/>
            <w:r>
              <w:rPr>
                <w:rFonts w:eastAsia="宋体" w:ascii="Times New Roman" w:hAnsi="Times New Roman"/>
                <w:b w:val="0"/>
                <w:sz w:val="16"/>
              </w:rPr>
              <w:t>第一级（完整）</w:t>
            </w:r>
          </w:p>
        </w:tc>
        <w:tc>
          <w:tcPr>
            <w:tcW w:type="dxa" w:w="2409"/>
          </w:tcPr>
          <w:p>
            <w:pPr>
              <w:jc w:val="center"/>
            </w:pPr>
            <w:r/>
            <w:r>
              <w:rPr>
                <w:rFonts w:eastAsia="宋体" w:ascii="Times New Roman" w:hAnsi="Times New Roman"/>
                <w:b w:val="0"/>
                <w:sz w:val="16"/>
              </w:rPr>
              <w:t>加速度计+光线+接近</w:t>
            </w:r>
          </w:p>
        </w:tc>
        <w:tc>
          <w:tcPr>
            <w:tcW w:type="dxa" w:w="2409"/>
          </w:tcPr>
          <w:p>
            <w:pPr>
              <w:jc w:val="center"/>
            </w:pPr>
            <w:r/>
            <w:r>
              <w:rPr>
                <w:rFonts w:eastAsia="宋体" w:ascii="Times New Roman" w:hAnsi="Times New Roman"/>
                <w:b w:val="0"/>
                <w:sz w:val="16"/>
              </w:rPr>
              <w:t>高端Android(Chrome)</w:t>
            </w:r>
          </w:p>
        </w:tc>
        <w:tc>
          <w:tcPr>
            <w:tcW w:type="dxa" w:w="2409"/>
          </w:tcPr>
          <w:p>
            <w:pPr>
              <w:jc w:val="center"/>
            </w:pPr>
            <w:r/>
            <w:r>
              <w:rPr>
                <w:rFonts w:eastAsia="宋体" w:ascii="Times New Roman" w:hAnsi="Times New Roman"/>
                <w:b w:val="0"/>
                <w:sz w:val="16"/>
              </w:rPr>
              <w:t>任一传感器不可用</w:t>
            </w:r>
          </w:p>
        </w:tc>
      </w:tr>
      <w:tr>
        <w:tc>
          <w:tcPr>
            <w:tcW w:type="dxa" w:w="2409"/>
          </w:tcPr>
          <w:p>
            <w:pPr>
              <w:jc w:val="center"/>
            </w:pPr>
            <w:r/>
            <w:r>
              <w:rPr>
                <w:rFonts w:eastAsia="宋体" w:ascii="Times New Roman" w:hAnsi="Times New Roman"/>
                <w:b w:val="0"/>
                <w:sz w:val="16"/>
              </w:rPr>
              <w:t>第二级（双传感器）</w:t>
            </w:r>
          </w:p>
        </w:tc>
        <w:tc>
          <w:tcPr>
            <w:tcW w:type="dxa" w:w="2409"/>
          </w:tcPr>
          <w:p>
            <w:pPr>
              <w:jc w:val="center"/>
            </w:pPr>
            <w:r/>
            <w:r>
              <w:rPr>
                <w:rFonts w:eastAsia="宋体" w:ascii="Times New Roman" w:hAnsi="Times New Roman"/>
                <w:b w:val="0"/>
                <w:sz w:val="16"/>
              </w:rPr>
              <w:t>加速度计+光线</w:t>
            </w:r>
          </w:p>
        </w:tc>
        <w:tc>
          <w:tcPr>
            <w:tcW w:type="dxa" w:w="2409"/>
          </w:tcPr>
          <w:p>
            <w:pPr>
              <w:jc w:val="center"/>
            </w:pPr>
            <w:r/>
            <w:r>
              <w:rPr>
                <w:rFonts w:eastAsia="宋体" w:ascii="Times New Roman" w:hAnsi="Times New Roman"/>
                <w:b w:val="0"/>
                <w:sz w:val="16"/>
              </w:rPr>
              <w:t>大多数Android</w:t>
            </w:r>
          </w:p>
        </w:tc>
        <w:tc>
          <w:tcPr>
            <w:tcW w:type="dxa" w:w="2409"/>
          </w:tcPr>
          <w:p>
            <w:pPr>
              <w:jc w:val="center"/>
            </w:pPr>
            <w:r/>
            <w:r>
              <w:rPr>
                <w:rFonts w:eastAsia="宋体" w:ascii="Times New Roman" w:hAnsi="Times New Roman"/>
                <w:b w:val="0"/>
                <w:sz w:val="16"/>
              </w:rPr>
              <w:t>光线传感器不可用</w:t>
            </w:r>
          </w:p>
        </w:tc>
      </w:tr>
      <w:tr>
        <w:tc>
          <w:tcPr>
            <w:tcW w:type="dxa" w:w="2409"/>
          </w:tcPr>
          <w:p>
            <w:pPr>
              <w:jc w:val="center"/>
            </w:pPr>
            <w:r/>
            <w:r>
              <w:rPr>
                <w:rFonts w:eastAsia="宋体" w:ascii="Times New Roman" w:hAnsi="Times New Roman"/>
                <w:b w:val="0"/>
                <w:sz w:val="16"/>
              </w:rPr>
              <w:t>第三级（基本）</w:t>
            </w:r>
          </w:p>
        </w:tc>
        <w:tc>
          <w:tcPr>
            <w:tcW w:type="dxa" w:w="2409"/>
          </w:tcPr>
          <w:p>
            <w:pPr>
              <w:jc w:val="center"/>
            </w:pPr>
            <w:r/>
            <w:r>
              <w:rPr>
                <w:rFonts w:eastAsia="宋体" w:ascii="Times New Roman" w:hAnsi="Times New Roman"/>
                <w:b w:val="0"/>
                <w:sz w:val="16"/>
              </w:rPr>
              <w:t>仅加速度计</w:t>
            </w:r>
          </w:p>
        </w:tc>
        <w:tc>
          <w:tcPr>
            <w:tcW w:type="dxa" w:w="2409"/>
          </w:tcPr>
          <w:p>
            <w:pPr>
              <w:jc w:val="center"/>
            </w:pPr>
            <w:r/>
            <w:r>
              <w:rPr>
                <w:rFonts w:eastAsia="宋体" w:ascii="Times New Roman" w:hAnsi="Times New Roman"/>
                <w:b w:val="0"/>
                <w:sz w:val="16"/>
              </w:rPr>
              <w:t>iPhone/iOS Safari</w:t>
            </w:r>
          </w:p>
        </w:tc>
        <w:tc>
          <w:tcPr>
            <w:tcW w:type="dxa" w:w="2409"/>
          </w:tcPr>
          <w:p>
            <w:pPr>
              <w:jc w:val="center"/>
            </w:pPr>
            <w:r/>
            <w:r>
              <w:rPr>
                <w:rFonts w:eastAsia="宋体" w:ascii="Times New Roman" w:hAnsi="Times New Roman"/>
                <w:b w:val="0"/>
                <w:sz w:val="16"/>
              </w:rPr>
              <w:t>—</w:t>
            </w:r>
          </w:p>
        </w:tc>
      </w:tr>
    </w:tbl>
    <w:p/>
    <w:p>
      <w:pPr>
        <w:spacing w:after="60" w:before="0"/>
        <w:ind w:firstLine="420"/>
      </w:pPr>
      <w:r>
        <w:rPr>
          <w:rFonts w:eastAsia="宋体" w:ascii="Times New Roman" w:hAnsi="Times New Roman"/>
          <w:b w:val="0"/>
          <w:sz w:val="21"/>
        </w:rPr>
        <w:t>传感器可用性检测在初始化阶段完成。对于光线传感器，使用AmbientLightSensor API进行特性检测；若构造函数抛出异常或触发error事件，则标记为不可用并自动降级。对于iOS 13+设备，还需通过DeviceMotionEvent.requestPermission()获取运动传感器授权。UI实时显示当前传感器模式（绿色=多传感器，橙色=仅加速度计），使实验者明确知晓数据质量。</w:t>
      </w:r>
    </w:p>
    <w:p>
      <w:pPr>
        <w:spacing w:after="60" w:before="0"/>
        <w:ind w:firstLine="420"/>
      </w:pPr>
      <w:r>
        <w:rPr>
          <w:rFonts w:eastAsia="宋体" w:ascii="Times New Roman" w:hAnsi="Times New Roman"/>
          <w:b w:val="0"/>
          <w:sz w:val="21"/>
        </w:rPr>
        <w:t>React Native版本额外实现了XY轴静态性校验：在10个连续采样点（10Hz下约1秒窗口）内，计算X轴和Y轴加速度的方差。只有当σ²x＜0.1g且σ²y＜0.1g时，手机才被判定为"静置"于桌面。这一校验有效区分了"手持翻转查看"与"面朝下放置于桌面"两种场景，在口袋放入测试中将误报率从24%降低至2%。</w:t>
      </w:r>
    </w:p>
    <w:p>
      <w:pPr>
        <w:spacing w:after="80" w:before="160"/>
      </w:pPr>
      <w:r>
        <w:rPr>
          <w:rFonts w:eastAsia="黑体" w:ascii="Arial" w:hAnsi="Arial"/>
          <w:b/>
          <w:sz w:val="21"/>
        </w:rPr>
        <w:t>2.2  翻转检测状态机</w:t>
      </w:r>
    </w:p>
    <w:p>
      <w:pPr>
        <w:spacing w:after="60" w:before="0"/>
        <w:ind w:firstLine="420"/>
      </w:pPr>
      <w:r>
        <w:rPr>
          <w:rFonts w:eastAsia="宋体" w:ascii="Times New Roman" w:hAnsi="Times New Roman"/>
          <w:b w:val="0"/>
          <w:sz w:val="21"/>
        </w:rPr>
        <w:t>翻转检测状态机采用"3秒确认窗口 + 过渡期排除"的设计。状态转换逻辑如下：(1) 面朝上→传感器满足面朝下条件→启动3秒计时器；(2) 计时中→持续面朝下≥3秒→确认FLIP_DOWN事件；(3) 计时中→面朝下条件中断→取消计时器，回到面朝上；(4) 已确认面朝下→面朝下条件中断→记录FLIP_UP事件及持续时间。</w:t>
      </w:r>
    </w:p>
    <w:p>
      <w:pPr>
        <w:spacing w:after="60" w:before="0"/>
        <w:ind w:firstLine="420"/>
      </w:pPr>
      <w:r>
        <w:rPr>
          <w:rFonts w:eastAsia="宋体" w:ascii="Times New Roman" w:hAnsi="Times New Roman"/>
          <w:b w:val="0"/>
          <w:sz w:val="21"/>
        </w:rPr>
        <w:t>3秒确认窗口用于过滤短暂的非意图翻转（如拿起手机看时间后立即放回），确保只有有意识的翻转行为被记录。该窗口时长可通过UI阈值面板调整（默认3000ms），以适应不同实验场景对"意图性"的判定标准。每个FLIP_DOWN和FLIP_UP事件的前后5秒被标记为"过渡期"，在后续分析中自动排除——研究关注的是翻转完成后的持续专注状态，而非翻转瞬间的反应。</w:t>
      </w:r>
    </w:p>
    <w:p>
      <w:pPr>
        <w:spacing w:after="80" w:before="160"/>
      </w:pPr>
      <w:r>
        <w:rPr>
          <w:rFonts w:eastAsia="黑体" w:ascii="Arial" w:hAnsi="Arial"/>
          <w:b/>
          <w:sz w:val="21"/>
        </w:rPr>
        <w:t>2.3  跨设备兼容策略</w:t>
      </w:r>
    </w:p>
    <w:p>
      <w:pPr>
        <w:spacing w:after="60" w:before="0"/>
        <w:ind w:firstLine="420"/>
      </w:pPr>
      <w:r>
        <w:rPr>
          <w:rFonts w:eastAsia="宋体" w:ascii="Times New Roman" w:hAnsi="Times New Roman"/>
          <w:b w:val="0"/>
          <w:sz w:val="21"/>
        </w:rPr>
        <w:t>移动设备在传感器硬件、浏览器支持、操作系统权限方面存在显著差异。FlipFocus通过三层策略应对：(1) 传感器阈值校准——采集界面提供可调节的阈值面板（默认值：z_threshold=−0.75g，L_threshold=15 lux），实验者可根据具体设备进行快速校准；(2) 浏览器差异处理——Android Chrome可直接调用AmbientLightSensor API，iOS Safari上该API不可用则自动降级为仅加速度计模式；(3) 组内设计消除设备差异——同一被试的所有实验条件在同一台手机上完成，条件间比较不受设备差异影响。</w:t>
      </w:r>
    </w:p>
    <w:p>
      <w:pPr>
        <w:spacing w:after="80" w:before="160"/>
      </w:pPr>
      <w:r>
        <w:rPr>
          <w:rFonts w:eastAsia="黑体" w:ascii="Arial" w:hAnsi="Arial"/>
          <w:b/>
          <w:sz w:val="21"/>
        </w:rPr>
        <w:t>2.4  数据导出与分析管线</w:t>
      </w:r>
    </w:p>
    <w:p>
      <w:pPr>
        <w:spacing w:after="60" w:before="0"/>
        <w:ind w:firstLine="420"/>
      </w:pPr>
      <w:r>
        <w:rPr>
          <w:rFonts w:eastAsia="宋体" w:ascii="Times New Roman" w:hAnsi="Times New Roman"/>
          <w:b w:val="0"/>
          <w:sz w:val="21"/>
        </w:rPr>
        <w:t>每次实验会话（25分钟）导出3个文件：sensors.csv（10Hz传感器原始数据，约15000行/会话）、flips.csv（翻转事件列表）、meta.json（会话元数据）。文件通过浏览器Blob下载，无需网络连接。</w:t>
      </w:r>
    </w:p>
    <w:p>
      <w:pPr>
        <w:spacing w:after="60" w:before="0"/>
        <w:ind w:firstLine="420"/>
      </w:pPr>
      <w:r>
        <w:rPr>
          <w:rFonts w:eastAsia="宋体" w:ascii="Times New Roman" w:hAnsi="Times New Roman"/>
          <w:b w:val="0"/>
          <w:sz w:val="21"/>
        </w:rPr>
        <w:t>配套的Python分析管线包含4个步骤：步骤1——预处理（加载传感器CSV→移除过渡期→合并自评问卷→计算专注度总分）；步骤2——统计分析（线性混合效应模型→所有条件配对的Cohen's d及95%置信区间）；步骤3——可视化（箱线图+个体差异轨迹图+自评-绩效效度散点图）；步骤4——验证（Pearson r自评效度+Cronbach's α内部一致性+顺序效应检验）。分析管线采用探索性研究框架——不依赖p值做二值决策，而是报告效应量方向和置信区间。</w:t>
      </w:r>
    </w:p>
    <w:p>
      <w:pPr>
        <w:spacing w:after="120" w:before="240"/>
      </w:pPr>
      <w:r>
        <w:rPr>
          <w:rFonts w:eastAsia="黑体" w:ascii="Arial" w:hAnsi="Arial"/>
          <w:b/>
          <w:sz w:val="28"/>
        </w:rPr>
        <w:t>3  技术验证</w:t>
      </w:r>
    </w:p>
    <w:p>
      <w:pPr>
        <w:spacing w:after="80" w:before="160"/>
      </w:pPr>
      <w:r>
        <w:rPr>
          <w:rFonts w:eastAsia="黑体" w:ascii="Arial" w:hAnsi="Arial"/>
          <w:b/>
          <w:sz w:val="21"/>
        </w:rPr>
        <w:t>3.1  翻转检测准确率</w:t>
      </w:r>
    </w:p>
    <w:p>
      <w:pPr>
        <w:spacing w:after="60" w:before="0"/>
        <w:ind w:firstLine="420"/>
      </w:pPr>
      <w:r>
        <w:rPr>
          <w:rFonts w:eastAsia="宋体" w:ascii="Times New Roman" w:hAnsi="Times New Roman"/>
          <w:b w:val="0"/>
          <w:sz w:val="21"/>
        </w:rPr>
        <w:t>为评估FlipFocus翻转检测的可靠性，在参考设备（Android, Chrome浏览器）上进行了受控测试：执行50次有意翻转（面朝上→面朝下放置桌面）和50次非翻转干扰（拿起看时间后放回、手机滑入口袋、桌面震动导致微移）。表2报告了检测性能。</w:t>
      </w:r>
    </w:p>
    <w:p>
      <w:pPr>
        <w:spacing w:before="120" w:after="60"/>
        <w:jc w:val="center"/>
      </w:pPr>
      <w:r>
        <w:rPr>
          <w:rFonts w:eastAsia="黑体" w:ascii="Arial" w:hAnsi="Arial"/>
          <w:b/>
          <w:sz w:val="18"/>
        </w:rPr>
        <w:t>表2  翻转检测准确率</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
              <w:rPr>
                <w:rFonts w:eastAsia="宋体" w:ascii="Times New Roman" w:hAnsi="Times New Roman"/>
                <w:b/>
                <w:sz w:val="16"/>
              </w:rPr>
              <w:t>传感器模式</w:t>
            </w:r>
          </w:p>
        </w:tc>
        <w:tc>
          <w:tcPr>
            <w:tcW w:type="dxa" w:w="1928"/>
          </w:tcPr>
          <w:p>
            <w:pPr>
              <w:jc w:val="center"/>
            </w:pPr>
            <w:r/>
            <w:r>
              <w:rPr>
                <w:rFonts w:eastAsia="宋体" w:ascii="Times New Roman" w:hAnsi="Times New Roman"/>
                <w:b/>
                <w:sz w:val="16"/>
              </w:rPr>
              <w:t>精确率</w:t>
            </w:r>
          </w:p>
        </w:tc>
        <w:tc>
          <w:tcPr>
            <w:tcW w:type="dxa" w:w="1928"/>
          </w:tcPr>
          <w:p>
            <w:pPr>
              <w:jc w:val="center"/>
            </w:pPr>
            <w:r/>
            <w:r>
              <w:rPr>
                <w:rFonts w:eastAsia="宋体" w:ascii="Times New Roman" w:hAnsi="Times New Roman"/>
                <w:b/>
                <w:sz w:val="16"/>
              </w:rPr>
              <w:t>召回率</w:t>
            </w:r>
          </w:p>
        </w:tc>
        <w:tc>
          <w:tcPr>
            <w:tcW w:type="dxa" w:w="1928"/>
          </w:tcPr>
          <w:p>
            <w:pPr>
              <w:jc w:val="center"/>
            </w:pPr>
            <w:r/>
            <w:r>
              <w:rPr>
                <w:rFonts w:eastAsia="宋体" w:ascii="Times New Roman" w:hAnsi="Times New Roman"/>
                <w:b/>
                <w:sz w:val="16"/>
              </w:rPr>
              <w:t>F1</w:t>
            </w:r>
          </w:p>
        </w:tc>
        <w:tc>
          <w:tcPr>
            <w:tcW w:type="dxa" w:w="1928"/>
          </w:tcPr>
          <w:p>
            <w:pPr>
              <w:jc w:val="center"/>
            </w:pPr>
            <w:r/>
            <w:r>
              <w:rPr>
                <w:rFonts w:eastAsia="宋体" w:ascii="Times New Roman" w:hAnsi="Times New Roman"/>
                <w:b/>
                <w:sz w:val="16"/>
              </w:rPr>
              <w:t>平均延迟</w:t>
            </w:r>
          </w:p>
        </w:tc>
      </w:tr>
      <w:tr>
        <w:tc>
          <w:tcPr>
            <w:tcW w:type="dxa" w:w="1928"/>
          </w:tcPr>
          <w:p>
            <w:pPr>
              <w:jc w:val="center"/>
            </w:pPr>
            <w:r/>
            <w:r>
              <w:rPr>
                <w:rFonts w:eastAsia="宋体" w:ascii="Times New Roman" w:hAnsi="Times New Roman"/>
                <w:b w:val="0"/>
                <w:sz w:val="16"/>
              </w:rPr>
              <w:t>加速度计+光线</w:t>
            </w:r>
          </w:p>
        </w:tc>
        <w:tc>
          <w:tcPr>
            <w:tcW w:type="dxa" w:w="1928"/>
          </w:tcPr>
          <w:p>
            <w:pPr>
              <w:jc w:val="center"/>
            </w:pPr>
            <w:r/>
            <w:r>
              <w:rPr>
                <w:rFonts w:eastAsia="宋体" w:ascii="Times New Roman" w:hAnsi="Times New Roman"/>
                <w:b w:val="0"/>
                <w:sz w:val="16"/>
              </w:rPr>
              <w:t>96.0%</w:t>
            </w:r>
          </w:p>
        </w:tc>
        <w:tc>
          <w:tcPr>
            <w:tcW w:type="dxa" w:w="1928"/>
          </w:tcPr>
          <w:p>
            <w:pPr>
              <w:jc w:val="center"/>
            </w:pPr>
            <w:r/>
            <w:r>
              <w:rPr>
                <w:rFonts w:eastAsia="宋体" w:ascii="Times New Roman" w:hAnsi="Times New Roman"/>
                <w:b w:val="0"/>
                <w:sz w:val="16"/>
              </w:rPr>
              <w:t>98.0%</w:t>
            </w:r>
          </w:p>
        </w:tc>
        <w:tc>
          <w:tcPr>
            <w:tcW w:type="dxa" w:w="1928"/>
          </w:tcPr>
          <w:p>
            <w:pPr>
              <w:jc w:val="center"/>
            </w:pPr>
            <w:r/>
            <w:r>
              <w:rPr>
                <w:rFonts w:eastAsia="宋体" w:ascii="Times New Roman" w:hAnsi="Times New Roman"/>
                <w:b w:val="0"/>
                <w:sz w:val="16"/>
              </w:rPr>
              <w:t>0.970</w:t>
            </w:r>
          </w:p>
        </w:tc>
        <w:tc>
          <w:tcPr>
            <w:tcW w:type="dxa" w:w="1928"/>
          </w:tcPr>
          <w:p>
            <w:pPr>
              <w:jc w:val="center"/>
            </w:pPr>
            <w:r/>
            <w:r>
              <w:rPr>
                <w:rFonts w:eastAsia="宋体" w:ascii="Times New Roman" w:hAnsi="Times New Roman"/>
                <w:b w:val="0"/>
                <w:sz w:val="16"/>
              </w:rPr>
              <w:t>3.2±0.4s</w:t>
            </w:r>
          </w:p>
        </w:tc>
      </w:tr>
      <w:tr>
        <w:tc>
          <w:tcPr>
            <w:tcW w:type="dxa" w:w="1928"/>
          </w:tcPr>
          <w:p>
            <w:pPr>
              <w:jc w:val="center"/>
            </w:pPr>
            <w:r/>
            <w:r>
              <w:rPr>
                <w:rFonts w:eastAsia="宋体" w:ascii="Times New Roman" w:hAnsi="Times New Roman"/>
                <w:b w:val="0"/>
                <w:sz w:val="16"/>
              </w:rPr>
              <w:t>仅加速度计</w:t>
            </w:r>
          </w:p>
        </w:tc>
        <w:tc>
          <w:tcPr>
            <w:tcW w:type="dxa" w:w="1928"/>
          </w:tcPr>
          <w:p>
            <w:pPr>
              <w:jc w:val="center"/>
            </w:pPr>
            <w:r/>
            <w:r>
              <w:rPr>
                <w:rFonts w:eastAsia="宋体" w:ascii="Times New Roman" w:hAnsi="Times New Roman"/>
                <w:b w:val="0"/>
                <w:sz w:val="16"/>
              </w:rPr>
              <w:t>88.0%</w:t>
            </w:r>
          </w:p>
        </w:tc>
        <w:tc>
          <w:tcPr>
            <w:tcW w:type="dxa" w:w="1928"/>
          </w:tcPr>
          <w:p>
            <w:pPr>
              <w:jc w:val="center"/>
            </w:pPr>
            <w:r/>
            <w:r>
              <w:rPr>
                <w:rFonts w:eastAsia="宋体" w:ascii="Times New Roman" w:hAnsi="Times New Roman"/>
                <w:b w:val="0"/>
                <w:sz w:val="16"/>
              </w:rPr>
              <w:t>94.0%</w:t>
            </w:r>
          </w:p>
        </w:tc>
        <w:tc>
          <w:tcPr>
            <w:tcW w:type="dxa" w:w="1928"/>
          </w:tcPr>
          <w:p>
            <w:pPr>
              <w:jc w:val="center"/>
            </w:pPr>
            <w:r/>
            <w:r>
              <w:rPr>
                <w:rFonts w:eastAsia="宋体" w:ascii="Times New Roman" w:hAnsi="Times New Roman"/>
                <w:b w:val="0"/>
                <w:sz w:val="16"/>
              </w:rPr>
              <w:t>0.909</w:t>
            </w:r>
          </w:p>
        </w:tc>
        <w:tc>
          <w:tcPr>
            <w:tcW w:type="dxa" w:w="1928"/>
          </w:tcPr>
          <w:p>
            <w:pPr>
              <w:jc w:val="center"/>
            </w:pPr>
            <w:r/>
            <w:r>
              <w:rPr>
                <w:rFonts w:eastAsia="宋体" w:ascii="Times New Roman" w:hAnsi="Times New Roman"/>
                <w:b w:val="0"/>
                <w:sz w:val="16"/>
              </w:rPr>
              <w:t>3.1±0.6s</w:t>
            </w:r>
          </w:p>
        </w:tc>
      </w:tr>
    </w:tbl>
    <w:p/>
    <w:p>
      <w:pPr>
        <w:spacing w:after="60" w:before="0"/>
        <w:ind w:firstLine="420"/>
      </w:pPr>
      <w:r>
        <w:rPr>
          <w:rFonts w:eastAsia="宋体" w:ascii="Times New Roman" w:hAnsi="Times New Roman"/>
          <w:b w:val="0"/>
          <w:sz w:val="21"/>
        </w:rPr>
        <w:t>双传感器模式下的误报（n=2）源于测试者将手机短暂放入暗处（抽屉）但未翻转；漏报（n=1）源于翻转后手机悬空于桌面边缘（加速度计未达阈值）。仅加速度计模式下，误报增加至6次，主要源于手持摇晃时的Z轴穿越阈值。这表明光线传感器作为第二验证信号，能有效过滤纯加速度计的误触发。</w:t>
      </w:r>
    </w:p>
    <w:p>
      <w:pPr>
        <w:spacing w:after="80" w:before="160"/>
      </w:pPr>
      <w:r>
        <w:rPr>
          <w:rFonts w:eastAsia="黑体" w:ascii="Arial" w:hAnsi="Arial"/>
          <w:b/>
          <w:sz w:val="21"/>
        </w:rPr>
        <w:t>3.2  跨设备兼容性</w:t>
      </w:r>
    </w:p>
    <w:p>
      <w:pPr>
        <w:spacing w:after="60" w:before="0"/>
        <w:ind w:firstLine="420"/>
      </w:pPr>
      <w:r>
        <w:rPr>
          <w:rFonts w:eastAsia="宋体" w:ascii="Times New Roman" w:hAnsi="Times New Roman"/>
          <w:b w:val="0"/>
          <w:sz w:val="21"/>
        </w:rPr>
        <w:t>在3台不同品牌手机上测试了FlipFocus的基本功能（表3）。所有设备的加速度计均正常工作。光线传感器在华为P40 Pro上不可用（浏览器未暴露AmbientLightSensor），工具自动降级为仅加速度计模式。iPhone 12需通过Safari打开才能获取运动传感器权限。</w:t>
      </w:r>
    </w:p>
    <w:p>
      <w:pPr>
        <w:spacing w:before="120" w:after="60"/>
        <w:jc w:val="center"/>
      </w:pPr>
      <w:r>
        <w:rPr>
          <w:rFonts w:eastAsia="黑体" w:ascii="Arial" w:hAnsi="Arial"/>
          <w:b/>
          <w:sz w:val="18"/>
        </w:rPr>
        <w:t>表3  跨设备兼容性测试</w:t>
      </w:r>
    </w:p>
    <w:tbl>
      <w:tblPr>
        <w:tblStyle w:val="TableGrid"/>
        <w:tblW w:type="auto" w:w="0"/>
        <w:tblLook w:firstColumn="1" w:firstRow="1" w:lastColumn="0" w:lastRow="0" w:noHBand="0" w:noVBand="1" w:val="04A0"/>
      </w:tblPr>
      <w:tblGrid>
        <w:gridCol w:w="1928"/>
        <w:gridCol w:w="1928"/>
        <w:gridCol w:w="1928"/>
        <w:gridCol w:w="1928"/>
        <w:gridCol w:w="1928"/>
      </w:tblGrid>
      <w:tr>
        <w:tc>
          <w:tcPr>
            <w:tcW w:type="dxa" w:w="1928"/>
          </w:tcPr>
          <w:p>
            <w:pPr>
              <w:jc w:val="center"/>
            </w:pPr>
            <w:r/>
            <w:r>
              <w:rPr>
                <w:rFonts w:eastAsia="宋体" w:ascii="Times New Roman" w:hAnsi="Times New Roman"/>
                <w:b/>
                <w:sz w:val="16"/>
              </w:rPr>
              <w:t>设备</w:t>
            </w:r>
          </w:p>
        </w:tc>
        <w:tc>
          <w:tcPr>
            <w:tcW w:type="dxa" w:w="1928"/>
          </w:tcPr>
          <w:p>
            <w:pPr>
              <w:jc w:val="center"/>
            </w:pPr>
            <w:r/>
            <w:r>
              <w:rPr>
                <w:rFonts w:eastAsia="宋体" w:ascii="Times New Roman" w:hAnsi="Times New Roman"/>
                <w:b/>
                <w:sz w:val="16"/>
              </w:rPr>
              <w:t>加速度计</w:t>
            </w:r>
          </w:p>
        </w:tc>
        <w:tc>
          <w:tcPr>
            <w:tcW w:type="dxa" w:w="1928"/>
          </w:tcPr>
          <w:p>
            <w:pPr>
              <w:jc w:val="center"/>
            </w:pPr>
            <w:r/>
            <w:r>
              <w:rPr>
                <w:rFonts w:eastAsia="宋体" w:ascii="Times New Roman" w:hAnsi="Times New Roman"/>
                <w:b/>
                <w:sz w:val="16"/>
              </w:rPr>
              <w:t>光线传感器</w:t>
            </w:r>
          </w:p>
        </w:tc>
        <w:tc>
          <w:tcPr>
            <w:tcW w:type="dxa" w:w="1928"/>
          </w:tcPr>
          <w:p>
            <w:pPr>
              <w:jc w:val="center"/>
            </w:pPr>
            <w:r/>
            <w:r>
              <w:rPr>
                <w:rFonts w:eastAsia="宋体" w:ascii="Times New Roman" w:hAnsi="Times New Roman"/>
                <w:b/>
                <w:sz w:val="16"/>
              </w:rPr>
              <w:t>退化模式</w:t>
            </w:r>
          </w:p>
        </w:tc>
        <w:tc>
          <w:tcPr>
            <w:tcW w:type="dxa" w:w="1928"/>
          </w:tcPr>
          <w:p>
            <w:pPr>
              <w:jc w:val="center"/>
            </w:pPr>
            <w:r/>
            <w:r>
              <w:rPr>
                <w:rFonts w:eastAsia="宋体" w:ascii="Times New Roman" w:hAnsi="Times New Roman"/>
                <w:b/>
                <w:sz w:val="16"/>
              </w:rPr>
              <w:t>备注</w:t>
            </w:r>
          </w:p>
        </w:tc>
      </w:tr>
      <w:tr>
        <w:tc>
          <w:tcPr>
            <w:tcW w:type="dxa" w:w="1928"/>
          </w:tcPr>
          <w:p>
            <w:pPr>
              <w:jc w:val="center"/>
            </w:pPr>
            <w:r/>
            <w:r>
              <w:rPr>
                <w:rFonts w:eastAsia="宋体" w:ascii="Times New Roman" w:hAnsi="Times New Roman"/>
                <w:b w:val="0"/>
                <w:sz w:val="16"/>
              </w:rPr>
              <w:t>小米13 (Chrome)</w:t>
            </w:r>
          </w:p>
        </w:tc>
        <w:tc>
          <w:tcPr>
            <w:tcW w:type="dxa" w:w="1928"/>
          </w:tcPr>
          <w:p>
            <w:pPr>
              <w:jc w:val="center"/>
            </w:pPr>
            <w:r/>
            <w:r>
              <w:rPr>
                <w:rFonts w:eastAsia="宋体" w:ascii="Times New Roman" w:hAnsi="Times New Roman"/>
                <w:b w:val="0"/>
                <w:sz w:val="16"/>
              </w:rPr>
              <w:t>✓</w:t>
            </w:r>
          </w:p>
        </w:tc>
        <w:tc>
          <w:tcPr>
            <w:tcW w:type="dxa" w:w="1928"/>
          </w:tcPr>
          <w:p>
            <w:pPr>
              <w:jc w:val="center"/>
            </w:pPr>
            <w:r/>
            <w:r>
              <w:rPr>
                <w:rFonts w:eastAsia="宋体" w:ascii="Times New Roman" w:hAnsi="Times New Roman"/>
                <w:b w:val="0"/>
                <w:sz w:val="16"/>
              </w:rPr>
              <w:t>✓</w:t>
            </w:r>
          </w:p>
        </w:tc>
        <w:tc>
          <w:tcPr>
            <w:tcW w:type="dxa" w:w="1928"/>
          </w:tcPr>
          <w:p>
            <w:pPr>
              <w:jc w:val="center"/>
            </w:pPr>
            <w:r/>
            <w:r>
              <w:rPr>
                <w:rFonts w:eastAsia="宋体" w:ascii="Times New Roman" w:hAnsi="Times New Roman"/>
                <w:b w:val="0"/>
                <w:sz w:val="16"/>
              </w:rPr>
              <w:t>双传感器</w:t>
            </w:r>
          </w:p>
        </w:tc>
        <w:tc>
          <w:tcPr>
            <w:tcW w:type="dxa" w:w="1928"/>
          </w:tcPr>
          <w:p>
            <w:pPr>
              <w:jc w:val="center"/>
            </w:pPr>
            <w:r/>
            <w:r>
              <w:rPr>
                <w:rFonts w:eastAsia="宋体" w:ascii="Times New Roman" w:hAnsi="Times New Roman"/>
                <w:b w:val="0"/>
                <w:sz w:val="16"/>
              </w:rPr>
              <w:t>全功能</w:t>
            </w:r>
          </w:p>
        </w:tc>
      </w:tr>
      <w:tr>
        <w:tc>
          <w:tcPr>
            <w:tcW w:type="dxa" w:w="1928"/>
          </w:tcPr>
          <w:p>
            <w:pPr>
              <w:jc w:val="center"/>
            </w:pPr>
            <w:r/>
            <w:r>
              <w:rPr>
                <w:rFonts w:eastAsia="宋体" w:ascii="Times New Roman" w:hAnsi="Times New Roman"/>
                <w:b w:val="0"/>
                <w:sz w:val="16"/>
              </w:rPr>
              <w:t>华为P40 Pro (Chrome)</w:t>
            </w:r>
          </w:p>
        </w:tc>
        <w:tc>
          <w:tcPr>
            <w:tcW w:type="dxa" w:w="1928"/>
          </w:tcPr>
          <w:p>
            <w:pPr>
              <w:jc w:val="center"/>
            </w:pPr>
            <w:r/>
            <w:r>
              <w:rPr>
                <w:rFonts w:eastAsia="宋体" w:ascii="Times New Roman" w:hAnsi="Times New Roman"/>
                <w:b w:val="0"/>
                <w:sz w:val="16"/>
              </w:rPr>
              <w:t>✓</w:t>
            </w:r>
          </w:p>
        </w:tc>
        <w:tc>
          <w:tcPr>
            <w:tcW w:type="dxa" w:w="1928"/>
          </w:tcPr>
          <w:p>
            <w:pPr>
              <w:jc w:val="center"/>
            </w:pPr>
            <w:r/>
            <w:r>
              <w:rPr>
                <w:rFonts w:eastAsia="宋体" w:ascii="Times New Roman" w:hAnsi="Times New Roman"/>
                <w:b w:val="0"/>
                <w:sz w:val="16"/>
              </w:rPr>
              <w:t>✗</w:t>
            </w:r>
          </w:p>
        </w:tc>
        <w:tc>
          <w:tcPr>
            <w:tcW w:type="dxa" w:w="1928"/>
          </w:tcPr>
          <w:p>
            <w:pPr>
              <w:jc w:val="center"/>
            </w:pPr>
            <w:r/>
            <w:r>
              <w:rPr>
                <w:rFonts w:eastAsia="宋体" w:ascii="Times New Roman" w:hAnsi="Times New Roman"/>
                <w:b w:val="0"/>
                <w:sz w:val="16"/>
              </w:rPr>
              <w:t>仅加速度计</w:t>
            </w:r>
          </w:p>
        </w:tc>
        <w:tc>
          <w:tcPr>
            <w:tcW w:type="dxa" w:w="1928"/>
          </w:tcPr>
          <w:p>
            <w:pPr>
              <w:jc w:val="center"/>
            </w:pPr>
            <w:r/>
            <w:r>
              <w:rPr>
                <w:rFonts w:eastAsia="宋体" w:ascii="Times New Roman" w:hAnsi="Times New Roman"/>
                <w:b w:val="0"/>
                <w:sz w:val="16"/>
              </w:rPr>
              <w:t>光线API未暴露</w:t>
            </w:r>
          </w:p>
        </w:tc>
      </w:tr>
      <w:tr>
        <w:tc>
          <w:tcPr>
            <w:tcW w:type="dxa" w:w="1928"/>
          </w:tcPr>
          <w:p>
            <w:pPr>
              <w:jc w:val="center"/>
            </w:pPr>
            <w:r/>
            <w:r>
              <w:rPr>
                <w:rFonts w:eastAsia="宋体" w:ascii="Times New Roman" w:hAnsi="Times New Roman"/>
                <w:b w:val="0"/>
                <w:sz w:val="16"/>
              </w:rPr>
              <w:t>iPhone 12 (Safari)</w:t>
            </w:r>
          </w:p>
        </w:tc>
        <w:tc>
          <w:tcPr>
            <w:tcW w:type="dxa" w:w="1928"/>
          </w:tcPr>
          <w:p>
            <w:pPr>
              <w:jc w:val="center"/>
            </w:pPr>
            <w:r/>
            <w:r>
              <w:rPr>
                <w:rFonts w:eastAsia="宋体" w:ascii="Times New Roman" w:hAnsi="Times New Roman"/>
                <w:b w:val="0"/>
                <w:sz w:val="16"/>
              </w:rPr>
              <w:t>✓</w:t>
            </w:r>
          </w:p>
        </w:tc>
        <w:tc>
          <w:tcPr>
            <w:tcW w:type="dxa" w:w="1928"/>
          </w:tcPr>
          <w:p>
            <w:pPr>
              <w:jc w:val="center"/>
            </w:pPr>
            <w:r/>
            <w:r>
              <w:rPr>
                <w:rFonts w:eastAsia="宋体" w:ascii="Times New Roman" w:hAnsi="Times New Roman"/>
                <w:b w:val="0"/>
                <w:sz w:val="16"/>
              </w:rPr>
              <w:t>✗</w:t>
            </w:r>
          </w:p>
        </w:tc>
        <w:tc>
          <w:tcPr>
            <w:tcW w:type="dxa" w:w="1928"/>
          </w:tcPr>
          <w:p>
            <w:pPr>
              <w:jc w:val="center"/>
            </w:pPr>
            <w:r/>
            <w:r>
              <w:rPr>
                <w:rFonts w:eastAsia="宋体" w:ascii="Times New Roman" w:hAnsi="Times New Roman"/>
                <w:b w:val="0"/>
                <w:sz w:val="16"/>
              </w:rPr>
              <w:t>仅加速度计</w:t>
            </w:r>
          </w:p>
        </w:tc>
        <w:tc>
          <w:tcPr>
            <w:tcW w:type="dxa" w:w="1928"/>
          </w:tcPr>
          <w:p>
            <w:pPr>
              <w:jc w:val="center"/>
            </w:pPr>
            <w:r/>
            <w:r>
              <w:rPr>
                <w:rFonts w:eastAsia="宋体" w:ascii="Times New Roman" w:hAnsi="Times New Roman"/>
                <w:b w:val="0"/>
                <w:sz w:val="16"/>
              </w:rPr>
              <w:t>需授权弹窗</w:t>
            </w:r>
          </w:p>
        </w:tc>
      </w:tr>
    </w:tbl>
    <w:p/>
    <w:p>
      <w:pPr>
        <w:spacing w:after="80" w:before="160"/>
      </w:pPr>
      <w:r>
        <w:rPr>
          <w:rFonts w:eastAsia="黑体" w:ascii="Arial" w:hAnsi="Arial"/>
          <w:b/>
          <w:sz w:val="21"/>
        </w:rPr>
        <w:t>3.3  使用案例</w:t>
      </w:r>
    </w:p>
    <w:p>
      <w:pPr>
        <w:spacing w:after="60" w:before="0"/>
        <w:ind w:firstLine="420"/>
      </w:pPr>
      <w:r>
        <w:rPr>
          <w:rFonts w:eastAsia="宋体" w:ascii="Times New Roman" w:hAnsi="Times New Roman"/>
          <w:b w:val="0"/>
          <w:sz w:val="21"/>
        </w:rPr>
        <w:t>使用FlipFocus采集了一次真实实验数据（被试P1，条件A：主动翻转，25分钟）。传感器数据清晰地反映了翻转时刻（加速度计Z轴从≈0g跳变至≈−0.9g，环境光从≈180 lux骤降至＜5 lux）。该次会话共检测到49次翻转事件，总面朝下时长793.4秒（占会话时长的53%），反映了被试真实的行为模式。该被试在条件C（无手机基线，5月29日采集）中检测到12次翻转事件，可能由传感器噪声或手机在口袋中误触发导致——这一数据质量问题在分析阶段被识别并标记，体现了工具从采集到分析全链路的数据质量意识。</w:t>
      </w:r>
    </w:p>
    <w:p>
      <w:pPr>
        <w:spacing w:after="120" w:before="240"/>
      </w:pPr>
      <w:r>
        <w:rPr>
          <w:rFonts w:eastAsia="黑体" w:ascii="Arial" w:hAnsi="Arial"/>
          <w:b/>
          <w:sz w:val="28"/>
        </w:rPr>
        <w:t>4  可复用的实验范式</w:t>
      </w:r>
    </w:p>
    <w:p>
      <w:pPr>
        <w:spacing w:after="60" w:before="0"/>
        <w:ind w:firstLine="420"/>
      </w:pPr>
      <w:r>
        <w:rPr>
          <w:rFonts w:eastAsia="宋体" w:ascii="Times New Roman" w:hAnsi="Times New Roman"/>
          <w:b w:val="0"/>
          <w:sz w:val="21"/>
        </w:rPr>
        <w:t>FlipFocus不仅是一个数据采集工具，还配套提供了一套完整的实验材料包，使得其他研究者可以快速复现或改编实验设计。</w:t>
      </w:r>
    </w:p>
    <w:p>
      <w:pPr>
        <w:spacing w:after="80" w:before="160"/>
      </w:pPr>
      <w:r>
        <w:rPr>
          <w:rFonts w:eastAsia="黑体" w:ascii="Arial" w:hAnsi="Arial"/>
          <w:b/>
          <w:sz w:val="21"/>
        </w:rPr>
        <w:t>4.1  四条件组内设计</w:t>
      </w:r>
    </w:p>
    <w:p>
      <w:pPr>
        <w:spacing w:after="60" w:before="0"/>
        <w:ind w:firstLine="420"/>
      </w:pPr>
      <w:r>
        <w:rPr>
          <w:rFonts w:eastAsia="宋体" w:ascii="Times New Roman" w:hAnsi="Times New Roman"/>
          <w:b w:val="0"/>
          <w:sz w:val="21"/>
        </w:rPr>
        <w:t>实验范式采用4×3的组内设计（4种条件×3次重复=每位被试12个会话），条件分别是：A（主动翻转——被试自己将手机面朝下放置）、B（面朝上对照——手机屏幕朝上可见）、C（无手机基线——手机移出房间）、D（被动翻转——实验员代替被试完成翻转）。核心对比为A vs. D：两者均以手机面朝下结束，唯一差异是执行翻转动作的主体——这正是"仪式感主体性"的实验操作化定义。</w:t>
      </w:r>
    </w:p>
    <w:p>
      <w:pPr>
        <w:spacing w:after="80" w:before="160"/>
      </w:pPr>
      <w:r>
        <w:rPr>
          <w:rFonts w:eastAsia="黑体" w:ascii="Arial" w:hAnsi="Arial"/>
          <w:b/>
          <w:sz w:val="21"/>
        </w:rPr>
        <w:t>4.2  标准化材料包</w:t>
      </w:r>
    </w:p>
    <w:p>
      <w:pPr>
        <w:spacing w:after="60" w:before="0"/>
        <w:ind w:firstLine="420"/>
      </w:pPr>
      <w:r>
        <w:rPr>
          <w:rFonts w:eastAsia="宋体" w:ascii="Times New Roman" w:hAnsi="Times New Roman"/>
          <w:b w:val="0"/>
          <w:sz w:val="21"/>
        </w:rPr>
        <w:t>所有材料均以Markdown格式提供，可直接打印或改编：(1) 实验员操作手册——四种条件的逐字指导语（中英双语）、48片段记录表、完成检查清单；(2) 专注度自评问卷——5题Likert量表（Q2和Q5反向计分），总分范围5–25，附计分公式和效度验证说明；(3) 题库——20题（10数学+10英语），通过打乱顺序生成4个等价版本，消除跨版本难度差异；(4) 知情同意书——含监护人签字栏和伦理声明模板；(5) 伦理合规检查清单——覆盖被试保护、数据安全、匿名化、论文声明。</w:t>
      </w:r>
    </w:p>
    <w:p>
      <w:pPr>
        <w:spacing w:after="80" w:before="160"/>
      </w:pPr>
      <w:r>
        <w:rPr>
          <w:rFonts w:eastAsia="黑体" w:ascii="Arial" w:hAnsi="Arial"/>
          <w:b/>
          <w:sz w:val="21"/>
        </w:rPr>
        <w:t>4.3  分析管线的通用性</w:t>
      </w:r>
    </w:p>
    <w:p>
      <w:pPr>
        <w:spacing w:after="60" w:before="0"/>
        <w:ind w:firstLine="420"/>
      </w:pPr>
      <w:r>
        <w:rPr>
          <w:rFonts w:eastAsia="宋体" w:ascii="Times New Roman" w:hAnsi="Times New Roman"/>
          <w:b w:val="0"/>
          <w:sz w:val="21"/>
        </w:rPr>
        <w:t>虽然分析管线最初为"手机翻转与专注度"研究设计，但其架构是通用的：预处理步骤中的过渡期排除逻辑适用于任何带事件标记的传感器数据；LME模型代码支持任意数量的固定效应和随机效应；Cohen's d计算和95% CI适用于任何两组比较；可视化模块支持自定义条件标签和配色方案。研究者只需替换数据和条件映射即可适配新的研究问题。</w:t>
      </w:r>
    </w:p>
    <w:p>
      <w:pPr>
        <w:spacing w:after="120" w:before="240"/>
      </w:pPr>
      <w:r>
        <w:rPr>
          <w:rFonts w:eastAsia="黑体" w:ascii="Arial" w:hAnsi="Arial"/>
          <w:b/>
          <w:sz w:val="28"/>
        </w:rPr>
        <w:t>5  讨  论</w:t>
      </w:r>
    </w:p>
    <w:p>
      <w:pPr>
        <w:spacing w:after="80" w:before="160"/>
      </w:pPr>
      <w:r>
        <w:rPr>
          <w:rFonts w:eastAsia="黑体" w:ascii="Arial" w:hAnsi="Arial"/>
          <w:b/>
          <w:sz w:val="21"/>
        </w:rPr>
        <w:t>5.1  工具定位与适用场景</w:t>
      </w:r>
    </w:p>
    <w:p>
      <w:pPr>
        <w:spacing w:after="60" w:before="0"/>
        <w:ind w:firstLine="420"/>
      </w:pPr>
      <w:r>
        <w:rPr>
          <w:rFonts w:eastAsia="宋体" w:ascii="Times New Roman" w:hAnsi="Times New Roman"/>
          <w:b w:val="0"/>
          <w:sz w:val="21"/>
        </w:rPr>
        <w:t>FlipFocus的设计定位是"移动注意力行为研究的快速部署工具"。与需要安装的EMA App（如PIEL Survey[5]、mEMA）相比，FlipFocus的优势在于零安装和跨平台，适合以下场景：(1) 课堂/实验室中快速组织一次数据采集；(2) 高中生或本科生科研启蒙项目（低门槛、完整链路）；(3) 跨设备、跨平台的多人协作实验；(4) 需要快速原型验证的探索性研究。然而，浏览器方案的传感器精度和采样率低于原生App，且无法在后台持续运行，对于需要微秒级精度或全天候后台采集的研究，React Native版本是更合适的选择。</w:t>
      </w:r>
    </w:p>
    <w:p>
      <w:pPr>
        <w:spacing w:after="80" w:before="160"/>
      </w:pPr>
      <w:r>
        <w:rPr>
          <w:rFonts w:eastAsia="黑体" w:ascii="Arial" w:hAnsi="Arial"/>
          <w:b/>
          <w:sz w:val="21"/>
        </w:rPr>
        <w:t>5.2  传感器退化策略的意义</w:t>
      </w:r>
    </w:p>
    <w:p>
      <w:pPr>
        <w:spacing w:after="60" w:before="0"/>
        <w:ind w:firstLine="420"/>
      </w:pPr>
      <w:r>
        <w:rPr>
          <w:rFonts w:eastAsia="宋体" w:ascii="Times New Roman" w:hAnsi="Times New Roman"/>
          <w:b w:val="0"/>
          <w:sz w:val="21"/>
        </w:rPr>
        <w:t>传感器退化策略是FlipFocus的核心技术贡献之一。在移动HCI研究中，"理想设备假设"（假设所有用户使用同一型号手机）长期存在[4]。实际上，不同品牌手机的传感器可用性差异巨大——华为/荣耀部分机型禁用接近传感器，iOS Safari不暴露环境光API，低端机型加速度计噪声较大。FlipFocus的退化策略将这些差异从"实验缺陷"转化为"设计特性"：工具在运行时检测传感器可用性，自适应调整融合策略，并在UI中明确告知使用者当前数据质量水平。这种"优雅退化"的设计哲学值得其他移动HCI工具借鉴。</w:t>
      </w:r>
    </w:p>
    <w:p>
      <w:pPr>
        <w:spacing w:after="80" w:before="160"/>
      </w:pPr>
      <w:r>
        <w:rPr>
          <w:rFonts w:eastAsia="黑体" w:ascii="Arial" w:hAnsi="Arial"/>
          <w:b/>
          <w:sz w:val="21"/>
        </w:rPr>
        <w:t>5.3  局限性与未来工作</w:t>
      </w:r>
    </w:p>
    <w:p>
      <w:pPr>
        <w:spacing w:after="60" w:before="0"/>
        <w:ind w:firstLine="420"/>
      </w:pPr>
      <w:r>
        <w:rPr>
          <w:rFonts w:eastAsia="宋体" w:ascii="Times New Roman" w:hAnsi="Times New Roman"/>
          <w:b w:val="0"/>
          <w:sz w:val="21"/>
        </w:rPr>
        <w:t>FlipFocus存在以下局限：(1) 浏览器API的采样率受限于devicemotion事件的触发频率（通常50–100Hz），低于原生传感器；(2) HTML版本的XY轴静态性校验尚未实现——这是浏览器环境下缺乏低延迟加速度缓存所致；(3) 当前仅支持Android和iOS，未覆盖其他移动操作系统；(4) 分析管线假设组内设计，不支持组间设计的自动处理。未来工作包括：为HTML版本增加基于DeviceOrientationEvent的XY轴静态性校验；支持WebSocket实时数据传输以实现远程实验监控；扩展分析管线以支持更复杂的实验设计。</w:t>
      </w:r>
    </w:p>
    <w:p>
      <w:pPr>
        <w:spacing w:after="120" w:before="240"/>
      </w:pPr>
      <w:r>
        <w:rPr>
          <w:rFonts w:eastAsia="黑体" w:ascii="Arial" w:hAnsi="Arial"/>
          <w:b/>
          <w:sz w:val="28"/>
        </w:rPr>
        <w:t>6  结  论</w:t>
      </w:r>
    </w:p>
    <w:p>
      <w:pPr>
        <w:spacing w:after="60" w:before="0"/>
        <w:ind w:firstLine="420"/>
      </w:pPr>
      <w:r>
        <w:rPr>
          <w:rFonts w:eastAsia="宋体" w:ascii="Times New Roman" w:hAnsi="Times New Roman"/>
          <w:b w:val="0"/>
          <w:sz w:val="21"/>
        </w:rPr>
        <w:t>本文提出了FlipFocus——一个基于浏览器传感器融合的手机翻转行为检测与分析工具。FlipFocus的核心贡献包括：(1) 自适应的三级传感器退化策略，确保在设备传感器能力参差不齐的情况下可靠运行；(2) 带3秒确认窗口和过渡期排除的翻转检测状态机，有效过滤误触发；(3) 完整的配套实验材料包和Python分析管线，形成从数据采集到论文写作的闭环。技术验证表明，双传感器模式下的翻转检测F1值达到0.970，仅加速度计模式下为0.909。FlipFocus无需安装，通过浏览器链接即可部署，为移动端注意力行为研究提供了一种低门槛、跨平台的工具选择。</w:t>
      </w:r>
    </w:p>
    <w:p>
      <w:pPr>
        <w:spacing w:after="60" w:before="0"/>
        <w:ind w:firstLine="420"/>
      </w:pPr>
      <w:r>
        <w:rPr>
          <w:rFonts w:eastAsia="宋体" w:ascii="Times New Roman" w:hAnsi="Times New Roman"/>
          <w:b w:val="0"/>
          <w:sz w:val="21"/>
        </w:rPr>
        <w:t>我们已将FlipFocus的所有代码、材料和分析管线开源，供研究社区自由使用和改编。我们希望这个工具能降低移动HCI实验的部署门槛，让更多研究者——包括高中生和本科生——能够以科学严谨的方式探索日常生活中的交互行为。</w:t>
      </w:r>
    </w:p>
    <w:p>
      <w:pPr>
        <w:spacing w:after="120" w:before="240"/>
      </w:pPr>
      <w:r>
        <w:rPr>
          <w:rFonts w:eastAsia="黑体" w:ascii="Arial" w:hAnsi="Arial"/>
          <w:b/>
          <w:sz w:val="28"/>
        </w:rPr>
        <w:t>参考文献</w:t>
      </w:r>
    </w:p>
    <w:p>
      <w:pPr>
        <w:spacing w:after="40" w:before="0"/>
      </w:pPr>
      <w:r>
        <w:rPr>
          <w:rFonts w:eastAsia="宋体" w:ascii="Times New Roman" w:hAnsi="Times New Roman"/>
          <w:b w:val="0"/>
          <w:sz w:val="16"/>
        </w:rPr>
        <w:t>[1] Ward A F, Duke K, Gneezy A, et al. Brain drain: The mere presence of one's own smartphone reduces available cognitive capacity[J]. Journal of the Association for Consumer Research, 2017, 2(2): 140-154.</w:t>
      </w:r>
    </w:p>
    <w:p>
      <w:pPr>
        <w:spacing w:after="40" w:before="0"/>
      </w:pPr>
      <w:r>
        <w:rPr>
          <w:rFonts w:eastAsia="宋体" w:ascii="Times New Roman" w:hAnsi="Times New Roman"/>
          <w:b w:val="0"/>
          <w:sz w:val="16"/>
        </w:rPr>
        <w:t>[2] Stothart C, Mitchum A, Yehnert C. The attentional cost of receiving a cell phone notification[J]. Journal of Experimental Psychology: Human Perception and Performance, 2015, 41(4): 893-897.</w:t>
      </w:r>
    </w:p>
    <w:p>
      <w:pPr>
        <w:spacing w:after="40" w:before="0"/>
      </w:pPr>
      <w:r>
        <w:rPr>
          <w:rFonts w:eastAsia="宋体" w:ascii="Times New Roman" w:hAnsi="Times New Roman"/>
          <w:b w:val="0"/>
          <w:sz w:val="16"/>
        </w:rPr>
        <w:t>[3] Duckworth A L, Grant H, Loew B, et al. Self-regulation strategies improve self-discipline in adolescents[J]. Educational Psychology, 2011, 31(1): 17-26.</w:t>
      </w:r>
    </w:p>
    <w:p>
      <w:pPr>
        <w:spacing w:after="40" w:before="0"/>
      </w:pPr>
      <w:r>
        <w:rPr>
          <w:rFonts w:eastAsia="宋体" w:ascii="Times New Roman" w:hAnsi="Times New Roman"/>
          <w:b w:val="0"/>
          <w:sz w:val="16"/>
        </w:rPr>
        <w:t>[4] Wac K, Ickin S, Hong J, et al. Studying the experience of mobile applications used in different contexts of daily life[C]. Proc. ACM W-MUST '16, 2016: 1-6.</w:t>
      </w:r>
    </w:p>
    <w:p>
      <w:pPr>
        <w:spacing w:after="40" w:before="0"/>
      </w:pPr>
      <w:r>
        <w:rPr>
          <w:rFonts w:eastAsia="宋体" w:ascii="Times New Roman" w:hAnsi="Times New Roman"/>
          <w:b w:val="0"/>
          <w:sz w:val="16"/>
        </w:rPr>
        <w:t>[5] Kubiak T, Smyth S. PIEL Survey: A smartphone app for experience sampling[J]. Journal of Medical Internet Research, 2015, 17(1): e4.</w:t>
      </w:r>
    </w:p>
    <w:p>
      <w:pPr>
        <w:spacing w:after="40" w:before="0"/>
      </w:pPr>
      <w:r>
        <w:rPr>
          <w:rFonts w:eastAsia="宋体" w:ascii="Times New Roman" w:hAnsi="Times New Roman"/>
          <w:b w:val="0"/>
          <w:sz w:val="16"/>
        </w:rPr>
        <w:t>[6] Kuijpers E, Patil M, Smit G J M. Browser-based sensor data collection for mobile HCI research[C]. Proc. MobileHCI '22 Adjunct, 2022: 1-5.</w:t>
      </w:r>
    </w:p>
    <w:sectPr w:rsidR="00FC693F" w:rsidRPr="0006063C" w:rsidSect="00034616">
      <w:pgSz w:w="11906" w:h="16838"/>
      <w:pgMar w:top="1417" w:right="1134" w:bottom="141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