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  <w:widowControl/>
      </w:pPr>
      <w:r>
        <w:t>Digital PLS MVP网站使用说明</w:t>
      </w:r>
    </w:p>
    <w:p>
      <w:pPr>
        <w:jc w:val="center"/>
        <w:widowControl/>
      </w:pPr>
      <w:r>
        <w:rPr>
          <w:b/>
          <w:sz w:val="28"/>
        </w:rPr>
        <w:t>面向PLS合作医院与强生眼力健内部团队</w:t>
      </w:r>
    </w:p>
    <w:p>
      <w:pPr>
        <w:jc w:val="center"/>
        <w:widowControl/>
      </w:pPr>
      <w:r>
        <w:rPr>
          <w:color w:val="526577"/>
          <w:sz w:val="22"/>
        </w:rPr>
        <w:t>上海Happy卓越眼科医院演示场景</w:t>
      </w:r>
    </w:p>
    <w:p>
      <w:pPr>
        <w:widowControl/>
      </w:pPr>
    </w:p>
    <w:p>
      <w:pPr>
        <w:spacing w:before="600" w:after="320"/>
        <w:jc w:val="center"/>
        <w:widowControl/>
      </w:pPr>
      <w:r>
        <w:rPr>
          <w:sz w:val="24"/>
        </w:rPr>
        <w:t>本说明帮助医院管理层、MDT团队和项目支持人员理解Digital PLS的目的、主要模块、岗位使用方法和应用边界，并可作为项目启动、培训及试运行的共同参考。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32"/>
        <w:gridCol w:w="7200"/>
      </w:tblGrid>
      <w:tr>
        <w:tc>
          <w:tcPr>
            <w:tcW w:type="dxa" w:w="493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DDEBF7"/>
          </w:tcPr>
          <w:p>
            <w:pPr>
              <w:spacing w:after="0"/>
            </w:pPr>
            <w:r>
              <w:rPr>
                <w:b/>
                <w:sz w:val="21"/>
              </w:rPr>
              <w:t>文件用途</w:t>
            </w:r>
          </w:p>
        </w:tc>
        <w:tc>
          <w:tcPr>
            <w:tcW w:type="dxa" w:w="493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/>
            </w:pPr>
            <w:r>
              <w:rPr>
                <w:b w:val="0"/>
                <w:sz w:val="21"/>
              </w:rPr>
              <w:t>项目介绍、用户培训、试运行指引</w:t>
            </w:r>
          </w:p>
        </w:tc>
      </w:tr>
      <w:tr>
        <w:tc>
          <w:tcPr>
            <w:tcW w:type="dxa" w:w="493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DDEBF7"/>
          </w:tcPr>
          <w:p>
            <w:pPr>
              <w:spacing w:after="0"/>
            </w:pPr>
            <w:r>
              <w:rPr>
                <w:b/>
                <w:sz w:val="21"/>
              </w:rPr>
              <w:t>主要读者</w:t>
            </w:r>
          </w:p>
        </w:tc>
        <w:tc>
          <w:tcPr>
            <w:tcW w:type="dxa" w:w="493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/>
            </w:pPr>
            <w:r>
              <w:rPr>
                <w:b w:val="0"/>
                <w:sz w:val="21"/>
              </w:rPr>
              <w:t>医院领导层、临床与服务团队、HR培训经理、PLS BDM及相关内部员工</w:t>
            </w:r>
          </w:p>
        </w:tc>
      </w:tr>
      <w:tr>
        <w:tc>
          <w:tcPr>
            <w:tcW w:type="dxa" w:w="493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DDEBF7"/>
          </w:tcPr>
          <w:p>
            <w:pPr>
              <w:spacing w:after="0"/>
            </w:pPr>
            <w:r>
              <w:rPr>
                <w:b/>
                <w:sz w:val="21"/>
              </w:rPr>
              <w:t>系统性质</w:t>
            </w:r>
          </w:p>
        </w:tc>
        <w:tc>
          <w:tcPr>
            <w:tcW w:type="dxa" w:w="493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/>
            </w:pPr>
            <w:r>
              <w:rPr>
                <w:b w:val="0"/>
                <w:sz w:val="21"/>
              </w:rPr>
              <w:t>静态MVP演示系统，不连接真实医院信息系统</w:t>
            </w:r>
          </w:p>
        </w:tc>
      </w:tr>
      <w:tr>
        <w:tc>
          <w:tcPr>
            <w:tcW w:type="dxa" w:w="493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DDEBF7"/>
          </w:tcPr>
          <w:p>
            <w:pPr>
              <w:spacing w:after="0"/>
            </w:pPr>
            <w:r>
              <w:rPr>
                <w:b/>
                <w:sz w:val="21"/>
              </w:rPr>
              <w:t>版本日期</w:t>
            </w:r>
          </w:p>
        </w:tc>
        <w:tc>
          <w:tcPr>
            <w:tcW w:type="dxa" w:w="493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/>
            </w:pPr>
            <w:r>
              <w:rPr>
                <w:b w:val="0"/>
                <w:sz w:val="21"/>
              </w:rPr>
              <w:t>2026年9月</w:t>
            </w:r>
          </w:p>
        </w:tc>
      </w:tr>
    </w:tbl>
    <w:p>
      <w:pPr>
        <w:widowControl/>
      </w:pPr>
    </w:p>
    <w:p>
      <w:pPr>
        <w:jc w:val="center"/>
        <w:widowControl/>
      </w:pPr>
      <w:r>
        <w:rPr>
          <w:b/>
          <w:sz w:val="21"/>
        </w:rPr>
        <w:t>使用前请先阅读第八部分的使用边界。</w:t>
      </w:r>
    </w:p>
    <w:p>
      <w:pPr>
        <w:widowControl/>
      </w:pPr>
      <w:r>
        <w:br w:type="page"/>
      </w:r>
    </w:p>
    <w:p>
      <w:pPr>
        <w:pStyle w:val="Heading1"/>
        <w:widowControl/>
      </w:pPr>
      <w:r>
        <w:t>一 这是什么网站</w:t>
      </w:r>
    </w:p>
    <w:p>
      <w:pPr>
        <w:widowControl/>
      </w:pPr>
      <w:r>
        <w:t>Digital PLS MVP是一套用于展示PLS医院能力建设的数字化工作台原型。它以同一位患者的全流程旅程为主线，把前台接待、咨询、检查、医生诊断、方案沟通、手术、术后随访和医院管理连接起来，同时承载IDEAL患者路径、PLS六大支柱、MDT岗位能力、项目工具和管理数据。</w:t>
      </w:r>
    </w:p>
    <w:p>
      <w:pPr>
        <w:widowControl/>
      </w:pPr>
      <w:r>
        <w:t>MVP的重点不是展示某一款人工晶状体，也不是把PLS理解为库存管理或高端产品销售。它希望回答一个更实际的问题：医院如何围绕患者的真实视觉需求，让临床判断、团队交接、患者教育、质量管理和持续改进形成一套可运行、可复盘的体系。</w:t>
      </w:r>
    </w:p>
    <w:p>
      <w:pPr>
        <w:pStyle w:val="Heading1"/>
        <w:widowControl/>
      </w:pPr>
      <w:r>
        <w:t>二 建设这个MVP的主要目的</w:t>
      </w:r>
    </w:p>
    <w:p>
      <w:pPr>
        <w:pStyle w:val="Heading2"/>
        <w:widowControl/>
      </w:pPr>
      <w:r>
        <w:t>1 让PLS从概念变成可以看见的工作流程</w:t>
      </w:r>
    </w:p>
    <w:p>
      <w:pPr>
        <w:widowControl/>
      </w:pPr>
      <w:r>
        <w:t>通过一位患者从首次接触到长期随访的九个节点，展示每个岗位在什么时间进入、需要完成什么工作、依据什么信息交接，以及下一位责任人是谁。</w:t>
      </w:r>
    </w:p>
    <w:p>
      <w:pPr>
        <w:pStyle w:val="Heading2"/>
        <w:widowControl/>
      </w:pPr>
      <w:r>
        <w:t>2 帮助医院建立统一的PLS服务标准</w:t>
      </w:r>
    </w:p>
    <w:p>
      <w:pPr>
        <w:widowControl/>
      </w:pPr>
      <w:r>
        <w:t>网站把IDEAL患者路径与六大支柱连接起来。前台患者旅程帮助团队完成个体患者的识别、需求发现、教育、共识和视觉计划；后台能力建设帮助医院完善临床质量、MDT协作、SOP、患者教育、透明价值沟通以及口碑与患者触达。</w:t>
      </w:r>
    </w:p>
    <w:p>
      <w:pPr>
        <w:pStyle w:val="Heading2"/>
        <w:widowControl/>
      </w:pPr>
      <w:r>
        <w:t>3 为医院管理层提供项目驾驶舱</w:t>
      </w:r>
    </w:p>
    <w:p>
      <w:pPr>
        <w:widowControl/>
      </w:pPr>
      <w:r>
        <w:t>院长或CEO可以从患者进展、转化漏斗、团队培训、六大支柱和90天行动计划等角度观察项目运行。数据用于发现流程断点和能力差距，而不是用自费比例或某类IOL使用量替代医疗质量评价。</w:t>
      </w:r>
    </w:p>
    <w:p>
      <w:pPr>
        <w:pStyle w:val="Heading2"/>
        <w:widowControl/>
      </w:pPr>
      <w:r>
        <w:t>4 让不同岗位在同一套信息上协作</w:t>
      </w:r>
    </w:p>
    <w:p>
      <w:pPr>
        <w:widowControl/>
      </w:pPr>
      <w:r>
        <w:t>前台、咨询师、验光师、特殊检查技师、医生、手术护士、随访护士、市场人员、HR或培训经理、PLS BDM及管理层可以从自己的工作视角进入系统。不同岗位看到的是同一位患者、同一条路径和同一套责任边界。</w:t>
      </w:r>
    </w:p>
    <w:p>
      <w:pPr>
        <w:pStyle w:val="Heading2"/>
        <w:widowControl/>
      </w:pPr>
      <w:r>
        <w:t>5 为正式数字化建设验证需求</w:t>
      </w:r>
    </w:p>
    <w:p>
      <w:pPr>
        <w:widowControl/>
      </w:pPr>
      <w:r>
        <w:t>MVP用于验证哪些流程最值得数字化、哪些数据需要连接、哪些工作应由系统提醒，以及哪些临床决策必须保留医生确认。医院可先用MVP共创和试运行，再决定是否与HIS、CRM、检查设备、库存或培训平台进一步集成。</w:t>
      </w:r>
    </w:p>
    <w:p>
      <w:pPr>
        <w:pStyle w:val="Heading1"/>
        <w:widowControl/>
      </w:pPr>
      <w:r>
        <w:t>三 网站可以做什么</w:t>
      </w:r>
    </w:p>
    <w:p>
      <w:pPr>
        <w:pStyle w:val="Heading2"/>
        <w:widowControl/>
      </w:pPr>
      <w:r>
        <w:t>PLS患者旅程</w:t>
      </w:r>
    </w:p>
    <w:p>
      <w:pPr>
        <w:widowControl/>
      </w:pPr>
      <w:r>
        <w:t>以九个节点显示患者进展：引流与预约、到院分流、IDEAL评估、全面检查、医生诊断、方案确定、手术执行、术后随访和持续改进。每个节点均标明责任岗位、交接依据和下一步行动。</w:t>
      </w:r>
    </w:p>
    <w:p>
      <w:pPr>
        <w:pStyle w:val="Heading2"/>
        <w:widowControl/>
      </w:pPr>
      <w:r>
        <w:t>路径分流闸门</w:t>
      </w:r>
    </w:p>
    <w:p>
      <w:pPr>
        <w:widowControl/>
      </w:pPr>
      <w:r>
        <w:t>建议在完成基础医学筛查和简版IDEAL需求访谈后、进入PLS专项检查前进行路径确认。系统提示患者进入标准诊疗路径、PLS深度评估或医生优先复核。系统只提供流程提示，不自动判断医保资格、手术适应证或具体方案。</w:t>
      </w:r>
    </w:p>
    <w:p>
      <w:pPr>
        <w:pStyle w:val="Heading2"/>
        <w:widowControl/>
      </w:pPr>
      <w:r>
        <w:t>临床协作工作台</w:t>
      </w:r>
    </w:p>
    <w:p>
      <w:pPr>
        <w:widowControl/>
      </w:pPr>
      <w:r>
        <w:t>记录患者最重要的视觉场景、戴镜偏好和主要顾虑；查看检查完成情况、需要医生复核的问题和结构化术前摘要。页面中的方案内容为规则化演示，最终诊断、手术适应证、IOL型号和度数必须由医生确认。</w:t>
      </w:r>
    </w:p>
    <w:p>
      <w:pPr>
        <w:pStyle w:val="Heading2"/>
        <w:widowControl/>
      </w:pPr>
      <w:r>
        <w:t>患者教育</w:t>
      </w:r>
    </w:p>
    <w:p>
      <w:pPr>
        <w:widowControl/>
      </w:pPr>
      <w:r>
        <w:t>向患者和家属演示白内障、老花及单焦点、双焦点、EDOF、FVR和Toric IOL相关视觉概念，介绍Phaco与FLACS的基本流程，并提供光晕、眩光和视觉效果投诉的规范回应路径。视觉画面属于教学示意，不能预测个人术后效果。</w:t>
      </w:r>
    </w:p>
    <w:p>
      <w:pPr>
        <w:pStyle w:val="Heading2"/>
        <w:widowControl/>
      </w:pPr>
      <w:r>
        <w:t>医院PLS能力建设</w:t>
      </w:r>
    </w:p>
    <w:p>
      <w:pPr>
        <w:widowControl/>
      </w:pPr>
      <w:r>
        <w:t>医院可以对六大支柱进行快速评估，并查看咨询师、验光师、特殊检查技师、手术医生、接待护士、手术护士和术后随访护士等岗位的知识与技能要求。岗位人员可完成自我评分和在线短测，80分为MVP演示及格线。</w:t>
      </w:r>
    </w:p>
    <w:p>
      <w:pPr>
        <w:pStyle w:val="Heading2"/>
        <w:widowControl/>
      </w:pPr>
      <w:r>
        <w:t>PLS三级能力认证</w:t>
      </w:r>
    </w:p>
    <w:p>
      <w:pPr>
        <w:widowControl/>
      </w:pPr>
      <w:r>
        <w:t>页面展示PLS基础实践认证、PLS卓越实践认证和PLS卓越示范中心三个成长层级，以及八大评估模块、核查方式、年度复评和认证红线。MVP中的自评或考试结果不能自动授予医院认证。</w:t>
      </w:r>
    </w:p>
    <w:p>
      <w:pPr>
        <w:pStyle w:val="Heading2"/>
        <w:widowControl/>
      </w:pPr>
      <w:r>
        <w:t>CEO驾驶舱和患者转化漏斗</w:t>
      </w:r>
    </w:p>
    <w:p>
      <w:pPr>
        <w:widowControl/>
      </w:pPr>
      <w:r>
        <w:t>管理层可以查看患者进展、质量提示、团队能力、90天任务和同批患者的旅程漏斗。这里的转化是患者旅程推进情况，不等同于销售转化，也不能用于推动不符合适应证的患者进入自费路径。</w:t>
      </w:r>
    </w:p>
    <w:p>
      <w:pPr>
        <w:pStyle w:val="Heading2"/>
        <w:widowControl/>
      </w:pPr>
      <w:r>
        <w:t>知识与工具</w:t>
      </w:r>
    </w:p>
    <w:p>
      <w:pPr>
        <w:widowControl/>
      </w:pPr>
      <w:r>
        <w:t>网站内置19个PLS项目决策Q&amp;A，可按岗位、主题和关键词检索。关键问题已经嵌入分流、临床、患者教育、投诉和CEO驾驶舱。工具库还可站内打开医院遴选、六大支柱评估、90天行动、视觉需求问卷、心理预期复核、术后随访等现有工具网页。</w:t>
      </w:r>
    </w:p>
    <w:p>
      <w:pPr>
        <w:pStyle w:val="Heading2"/>
        <w:widowControl/>
      </w:pPr>
      <w:r>
        <w:t>IOL与设备耗材库存</w:t>
      </w:r>
    </w:p>
    <w:p>
      <w:pPr>
        <w:widowControl/>
      </w:pPr>
      <w:r>
        <w:t>首页仅显示库存速览，二级页面可查询演示IOL型号、度数以及Catalys和VERITAS相关耗材余量。库存功能用于说明未来系统联动场景，不会预留或扣减库存，也不构成IOL推荐。</w:t>
      </w:r>
    </w:p>
    <w:p>
      <w:pPr>
        <w:pStyle w:val="Heading1"/>
        <w:widowControl/>
      </w:pPr>
      <w:r>
        <w:t>四 首次进入网站</w:t>
      </w:r>
    </w:p>
    <w:p>
      <w:pPr>
        <w:ind w:left="360" w:hanging="360"/>
        <w:widowControl/>
      </w:pPr>
      <w:r>
        <w:rPr>
          <w:b/>
        </w:rPr>
        <w:t xml:space="preserve">1.  </w:t>
      </w:r>
      <w:r>
        <w:t>使用电脑或手机浏览器打开网站链接。</w:t>
      </w:r>
    </w:p>
    <w:p>
      <w:pPr>
        <w:ind w:left="360" w:hanging="360"/>
        <w:widowControl/>
      </w:pPr>
      <w:r>
        <w:rPr>
          <w:b/>
        </w:rPr>
        <w:t xml:space="preserve">2.  </w:t>
      </w:r>
      <w:r>
        <w:t>在登录页面输入管理员分配的用户名。</w:t>
      </w:r>
    </w:p>
    <w:p>
      <w:pPr>
        <w:ind w:left="360" w:hanging="360"/>
        <w:widowControl/>
      </w:pPr>
      <w:r>
        <w:rPr>
          <w:b/>
        </w:rPr>
        <w:t xml:space="preserve">3.  </w:t>
      </w:r>
      <w:r>
        <w:t xml:space="preserve">输入演示统一密码 </w:t>
      </w:r>
      <w:r>
        <w:rPr>
          <w:rFonts w:ascii="Arial" w:hAnsi="Arial" w:eastAsia="Microsoft YaHei"/>
          <w:color w:val="75251F"/>
        </w:rPr>
        <w:t>pls2026</w:t>
      </w:r>
      <w:r>
        <w:t>。</w:t>
      </w:r>
    </w:p>
    <w:p>
      <w:pPr>
        <w:ind w:left="360" w:hanging="360"/>
        <w:widowControl/>
      </w:pPr>
      <w:r>
        <w:rPr>
          <w:b/>
        </w:rPr>
        <w:t xml:space="preserve">4.  </w:t>
      </w:r>
      <w:r>
        <w:t>点击“登录并进入系统”。用户名不区分大小写，首尾多余空格会自动忽略。</w:t>
      </w:r>
    </w:p>
    <w:p>
      <w:pPr>
        <w:ind w:left="360" w:hanging="360"/>
        <w:widowControl/>
      </w:pPr>
      <w:r>
        <w:rPr>
          <w:b/>
        </w:rPr>
        <w:t xml:space="preserve">5.  </w:t>
      </w:r>
      <w:r>
        <w:t>登录后首先看到PLS项目介绍页。首次使用建议完整浏览，随后点击“进入Digital PLS工作台”。</w:t>
      </w:r>
    </w:p>
    <w:p>
      <w:pPr>
        <w:ind w:left="360" w:hanging="360"/>
        <w:widowControl/>
      </w:pPr>
      <w:r>
        <w:rPr>
          <w:b/>
        </w:rPr>
        <w:t xml:space="preserve">6.  </w:t>
      </w:r>
      <w:r>
        <w:t>登录状态只保留在当前浏览器标签页。关闭标签页或点击顶部“退出”后，需要重新登录。</w:t>
      </w:r>
    </w:p>
    <w:p>
      <w:pPr>
        <w:pStyle w:val="Heading1"/>
        <w:widowControl/>
      </w:pPr>
      <w:r>
        <w:t>五 建议的学习路径</w:t>
      </w:r>
    </w:p>
    <w:p>
      <w:pPr>
        <w:pStyle w:val="Heading2"/>
        <w:widowControl/>
      </w:pPr>
      <w:r>
        <w:t>医院领导层和项目负责人</w:t>
      </w:r>
    </w:p>
    <w:p>
      <w:pPr>
        <w:widowControl/>
      </w:pPr>
      <w:r>
        <w:t>先看项目介绍，理解PLS不是单一产品项目；随后进入CEO驾驶舱、患者转化漏斗、医院PLS能力建设、三级能力认证和90天行动计划。重点讨论本院的责任人、试点范围、质量指标和能力缺口。</w:t>
      </w:r>
    </w:p>
    <w:p>
      <w:pPr>
        <w:pStyle w:val="Heading2"/>
        <w:widowControl/>
      </w:pPr>
      <w:r>
        <w:t>医生和临床团队</w:t>
      </w:r>
    </w:p>
    <w:p>
      <w:pPr>
        <w:widowControl/>
      </w:pPr>
      <w:r>
        <w:t>先选择一位演示患者，沿患者旅程查看前序岗位已经收集的信息；进入临床工作台检查需求、检查完整性和风险提示；使用知识与工具查阅临床相关Q&amp;A和工具。医生负责最终的诊断、适应证和方案确认。</w:t>
      </w:r>
    </w:p>
    <w:p>
      <w:pPr>
        <w:pStyle w:val="Heading2"/>
        <w:widowControl/>
      </w:pPr>
      <w:r>
        <w:t>咨询师和护士</w:t>
      </w:r>
    </w:p>
    <w:p>
      <w:pPr>
        <w:widowControl/>
      </w:pPr>
      <w:r>
        <w:t>从“我的工作台”进入当天任务，查看患者处于哪个节点、上一岗位留下了什么信息，以及下一步应交给谁。重点使用IDEAL需求记录、患者教育、术后支持与投诉流程，以及本岗位能力自评和在线考试。</w:t>
      </w:r>
    </w:p>
    <w:p>
      <w:pPr>
        <w:pStyle w:val="Heading2"/>
        <w:widowControl/>
      </w:pPr>
      <w:r>
        <w:t>检查人员和验光师</w:t>
      </w:r>
    </w:p>
    <w:p>
      <w:pPr>
        <w:widowControl/>
      </w:pPr>
      <w:r>
        <w:t>关注检查完整性、数据质量、异常升级和交接要求。检查人员提供可靠数据和质量提示，不替代医生作诊断或手术方案决定。</w:t>
      </w:r>
    </w:p>
    <w:p>
      <w:pPr>
        <w:pStyle w:val="Heading2"/>
        <w:widowControl/>
      </w:pPr>
      <w:r>
        <w:t>HR和培训经理</w:t>
      </w:r>
    </w:p>
    <w:p>
      <w:pPr>
        <w:widowControl/>
      </w:pPr>
      <w:r>
        <w:t>进入医院PLS能力建设，查看各岗位知识技能标准、学习任务、自评与考试结果。建议把低于80分的能力项目转化为学习计划、辅导和复评，而不是只统计培训出席率。</w:t>
      </w:r>
    </w:p>
    <w:p>
      <w:pPr>
        <w:pStyle w:val="Heading2"/>
        <w:widowControl/>
      </w:pPr>
      <w:r>
        <w:t>PLS BDM及强生眼力健内部员工</w:t>
      </w:r>
    </w:p>
    <w:p>
      <w:pPr>
        <w:widowControl/>
      </w:pPr>
      <w:r>
        <w:t>建议依次使用项目介绍、医院遴选工具、六大支柱评估、90天行动计划和CEO驾驶舱，帮助医院识别问题并共创改进路径。内部员工应坚持能力建设定位，不代替医院作临床决策，不将项目与单一产品使用量或不适当业务承诺绑定。</w:t>
      </w:r>
    </w:p>
    <w:p>
      <w:pPr>
        <w:pStyle w:val="Heading1"/>
        <w:widowControl/>
      </w:pPr>
      <w:r>
        <w:t>六 一个患者如何在系统中被团队接力</w:t>
      </w:r>
    </w:p>
    <w:p>
      <w:pPr>
        <w:ind w:left="360" w:hanging="360"/>
        <w:widowControl/>
      </w:pPr>
      <w:r>
        <w:rPr>
          <w:b/>
        </w:rPr>
        <w:t xml:space="preserve">1.  </w:t>
      </w:r>
      <w:r>
        <w:t>前台或客服建立演示患者，记录来源和基础信息。</w:t>
      </w:r>
    </w:p>
    <w:p>
      <w:pPr>
        <w:ind w:left="360" w:hanging="360"/>
        <w:widowControl/>
      </w:pPr>
      <w:r>
        <w:rPr>
          <w:b/>
        </w:rPr>
        <w:t xml:space="preserve">2.  </w:t>
      </w:r>
      <w:r>
        <w:t>咨询师完成简版IDEAL需求访谈，了解生活方式、视觉任务、戴镜意愿和主要顾虑。</w:t>
      </w:r>
    </w:p>
    <w:p>
      <w:pPr>
        <w:ind w:left="360" w:hanging="360"/>
        <w:widowControl/>
      </w:pPr>
      <w:r>
        <w:rPr>
          <w:b/>
        </w:rPr>
        <w:t xml:space="preserve">3.  </w:t>
      </w:r>
      <w:r>
        <w:t>团队在路径分流闸门完成基础医学与需求确认，决定进入标准诊疗、PLS深度评估或医生优先复核。</w:t>
      </w:r>
    </w:p>
    <w:p>
      <w:pPr>
        <w:ind w:left="360" w:hanging="360"/>
        <w:widowControl/>
      </w:pPr>
      <w:r>
        <w:rPr>
          <w:b/>
        </w:rPr>
        <w:t xml:space="preserve">4.  </w:t>
      </w:r>
      <w:r>
        <w:t>验光师和特殊检查技师完成规定检查，标记完整性并上报异常。</w:t>
      </w:r>
    </w:p>
    <w:p>
      <w:pPr>
        <w:ind w:left="360" w:hanging="360"/>
        <w:widowControl/>
      </w:pPr>
      <w:r>
        <w:rPr>
          <w:b/>
        </w:rPr>
        <w:t xml:space="preserve">5.  </w:t>
      </w:r>
      <w:r>
        <w:t>医生查看结构化摘要，结合检查完成诊断、适应证判断和方案讨论。</w:t>
      </w:r>
    </w:p>
    <w:p>
      <w:pPr>
        <w:ind w:left="360" w:hanging="360"/>
        <w:widowControl/>
      </w:pPr>
      <w:r>
        <w:rPr>
          <w:b/>
        </w:rPr>
        <w:t xml:space="preserve">6.  </w:t>
      </w:r>
      <w:r>
        <w:t>咨询师依据医生确认的方案完成患者教育、费用与替代路径说明，并确认患者理解。</w:t>
      </w:r>
    </w:p>
    <w:p>
      <w:pPr>
        <w:ind w:left="360" w:hanging="360"/>
        <w:widowControl/>
      </w:pPr>
      <w:r>
        <w:rPr>
          <w:b/>
        </w:rPr>
        <w:t xml:space="preserve">7.  </w:t>
      </w:r>
      <w:r>
        <w:t>手术团队完成身份、眼别、IOL和关键手术信息核查。</w:t>
      </w:r>
    </w:p>
    <w:p>
      <w:pPr>
        <w:ind w:left="360" w:hanging="360"/>
        <w:widowControl/>
      </w:pPr>
      <w:r>
        <w:rPr>
          <w:b/>
        </w:rPr>
        <w:t xml:space="preserve">8.  </w:t>
      </w:r>
      <w:r>
        <w:t>随访护士或咨询师按节点随访；出现危险信号、光晕眩光或不满意反馈时，按流程升级给医生和质量团队。</w:t>
      </w:r>
    </w:p>
    <w:p>
      <w:pPr>
        <w:ind w:left="360" w:hanging="360"/>
        <w:widowControl/>
      </w:pPr>
      <w:r>
        <w:rPr>
          <w:b/>
        </w:rPr>
        <w:t xml:space="preserve">9.  </w:t>
      </w:r>
      <w:r>
        <w:t>院长或项目负责人通过驾驶舱、投诉复盘和90天行动计划推动持续改进。</w:t>
      </w:r>
    </w:p>
    <w:p>
      <w:pPr>
        <w:pStyle w:val="Heading1"/>
        <w:widowControl/>
      </w:pPr>
      <w:r>
        <w:t>七 建议的医院使用方式</w:t>
      </w:r>
    </w:p>
    <w:p>
      <w:pPr>
        <w:widowControl/>
      </w:pPr>
      <w:r>
        <w:rPr>
          <w:b/>
        </w:rPr>
        <w:t>项目启动会：</w:t>
      </w:r>
      <w:r>
        <w:t>用项目介绍页统一管理层和MDT团队对PLS的理解。</w:t>
      </w:r>
    </w:p>
    <w:p>
      <w:pPr>
        <w:widowControl/>
      </w:pPr>
      <w:r>
        <w:rPr>
          <w:b/>
        </w:rPr>
        <w:t>流程共创会：</w:t>
      </w:r>
      <w:r>
        <w:t>用患者旅程和分流闸门讨论本院实际流程、岗位及交接单。</w:t>
      </w:r>
    </w:p>
    <w:p>
      <w:pPr>
        <w:widowControl/>
      </w:pPr>
      <w:r>
        <w:rPr>
          <w:b/>
        </w:rPr>
        <w:t>基线评估：</w:t>
      </w:r>
      <w:r>
        <w:t>用六大支柱和岗位能力标准识别优先改进项。</w:t>
      </w:r>
    </w:p>
    <w:p>
      <w:pPr>
        <w:widowControl/>
      </w:pPr>
      <w:r>
        <w:rPr>
          <w:b/>
        </w:rPr>
        <w:t>培训与演练：</w:t>
      </w:r>
      <w:r>
        <w:t>选择演示患者，让不同岗位完成一次从接诊到随访的桌面推演。</w:t>
      </w:r>
    </w:p>
    <w:p>
      <w:pPr>
        <w:widowControl/>
      </w:pPr>
      <w:r>
        <w:rPr>
          <w:b/>
        </w:rPr>
        <w:t>90天试运行：</w:t>
      </w:r>
      <w:r>
        <w:t>把问题转成有责任人、完成期限和验证证据的行动。</w:t>
      </w:r>
    </w:p>
    <w:p>
      <w:pPr>
        <w:widowControl/>
      </w:pPr>
      <w:r>
        <w:rPr>
          <w:b/>
        </w:rPr>
        <w:t>月度复盘：</w:t>
      </w:r>
      <w:r>
        <w:t>结合CEO驾驶舱、漏斗、患者反馈和投诉案例讨论质量与流程，而不是只看业务数量。</w:t>
      </w:r>
    </w:p>
    <w:p>
      <w:pPr>
        <w:widowControl/>
      </w:pPr>
      <w:r>
        <w:br w:type="page"/>
      </w:r>
    </w:p>
    <w:p>
      <w:pPr>
        <w:pStyle w:val="Heading1"/>
        <w:widowControl/>
      </w:pPr>
      <w:r>
        <w:t>八 使用边界</w:t>
      </w:r>
    </w:p>
    <w:p>
      <w:pPr>
        <w:pStyle w:val="ListBullet"/>
        <w:widowControl/>
      </w:pPr>
      <w:r>
        <w:t>本网站是MVP演示系统，不是医院HIS、EMR、CRM、LMS或正式库存系统。</w:t>
      </w:r>
    </w:p>
    <w:p>
      <w:pPr>
        <w:pStyle w:val="ListBullet"/>
        <w:widowControl/>
      </w:pPr>
      <w:r>
        <w:t>所有初始患者、运营指标、IOL规格和库存数量均为虚构演示数据。</w:t>
      </w:r>
    </w:p>
    <w:p>
      <w:pPr>
        <w:pStyle w:val="ListBullet"/>
        <w:widowControl/>
      </w:pPr>
      <w:r>
        <w:t>请勿录入真实患者姓名、电话、身份证号、病历、检查结果或其他敏感信息。</w:t>
      </w:r>
    </w:p>
    <w:p>
      <w:pPr>
        <w:pStyle w:val="ListBullet"/>
        <w:widowControl/>
      </w:pPr>
      <w:r>
        <w:t>系统不提供自动诊断、手术适应证判断、IOL推荐或疗效预测。</w:t>
      </w:r>
    </w:p>
    <w:p>
      <w:pPr>
        <w:pStyle w:val="ListBullet"/>
        <w:widowControl/>
      </w:pPr>
      <w:r>
        <w:t>患者教育内容和视觉示意不能替代医生面对面的个体化解释。</w:t>
      </w:r>
    </w:p>
    <w:p>
      <w:pPr>
        <w:pStyle w:val="ListBullet"/>
        <w:widowControl/>
      </w:pPr>
      <w:r>
        <w:t>医保、收费、税务、宣传和合规要求应由医院相应责任岗位按照属地规定复核。</w:t>
      </w:r>
    </w:p>
    <w:p>
      <w:pPr>
        <w:pStyle w:val="ListBullet"/>
        <w:widowControl/>
      </w:pPr>
      <w:r>
        <w:t>登录功能是静态网站的演示级访问限制。账号与校验逻辑存在前端文件中，不具备正式系统的安全强度。</w:t>
      </w:r>
    </w:p>
    <w:p>
      <w:pPr>
        <w:pStyle w:val="ListBullet"/>
        <w:widowControl/>
      </w:pPr>
      <w:r>
        <w:t>如进入真实业务应用，必须建设服务器端身份认证、分级权限、日志审计、加密存储、备份和医院系统接口。</w:t>
      </w:r>
    </w:p>
    <w:p>
      <w:pPr>
        <w:pStyle w:val="Heading1"/>
        <w:widowControl/>
      </w:pPr>
      <w:r>
        <w:t>九 使用后的反馈建议</w:t>
      </w:r>
    </w:p>
    <w:p>
      <w:pPr>
        <w:widowControl/>
      </w:pPr>
      <w:r>
        <w:t>试用时建议记录三类反馈：第一，哪个页面真正帮助了日常工作；第二，哪个环节仍需要重复录入或线下沟通；第三，哪些数据、提醒或权限必须在正式系统中实现。反馈应回到患者价值、临床安全、团队效率和持续改进四个维度，用于决定Digital PLS下一阶段的开发重点。</w:t>
      </w:r>
    </w:p>
    <w:p>
      <w:pPr>
        <w:widowControl/>
      </w:pPr>
      <w:r>
        <w:rPr>
          <w:b/>
        </w:rPr>
        <w:t>版本说明：</w:t>
      </w:r>
      <w:r>
        <w:t>本说明对应当前Digital PLS MVP演示版本。网站内容将随医院共创、临床审核和项目试运行持续更新。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181" w:bottom="1037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Digital PLS MVP  内部与客户沟通参考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color w:val="606F7D"/>
        <w:sz w:val="17"/>
      </w:rPr>
      <w:t>Digital PLS MVP网站使用说明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307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2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Microsoft YaHei" w:hAnsi="Microsoft YaHei" w:eastAsia="Microsoft YaHe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icrosoft YaHei" w:hAnsi="Microsoft YaHei" w:eastAsia="Microsoft YaHei"/>
      <w:color w:val="00000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icrosoft YaHei" w:hAnsi="Microsoft YaHei" w:eastAsia="Microsoft YaHei"/>
      <w:color w:val="00000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Digital PLS MVP网站使用说明</dc:title>
  <dc:subject>PLS合作医院与强生眼力健内部团队使用指南</dc:subject>
  <dc:creator>Digital PLS项目组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