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Digital PLS MVP网站使用说明</w:t>
      </w:r>
    </w:p>
    <w:p>
      <w:pPr>
        <w:pStyle w:val="GuideSubtitle"/>
      </w:pPr>
      <w:r>
        <w:t>供PLS客户与强生眼力健内部员工参考</w:t>
      </w:r>
    </w:p>
    <w:p/>
    <w:p>
      <w:pPr>
        <w:jc w:val="center"/>
      </w:pPr>
      <w:r>
        <w:rPr>
          <w:b/>
          <w:color w:val="195B89"/>
          <w:sz w:val="22"/>
        </w:rPr>
        <w:t>理解PLS  启动自评  30 60 90天行动  流程实施  复盘改进</w:t>
      </w:r>
    </w:p>
    <w:p/>
    <w:p>
      <w:pPr>
        <w:ind w:left="936" w:right="936"/>
        <w:jc w:val="center"/>
      </w:pPr>
      <w:r>
        <w:t>本说明面向PLS合作医院领导层与项目团队、强生眼力健一线销售与内部支持人员，说明如何用一家示例医院的数字化工作台，完成从领导层共识到医院流程落地的全过程。</w:t>
      </w:r>
    </w:p>
    <w:p>
      <w:r>
        <w:br w:type="page"/>
      </w:r>
    </w:p>
    <w:p>
      <w:pPr>
        <w:pStyle w:val="Heading1"/>
      </w:pPr>
      <w:r>
        <w:t>一  网站是什么</w:t>
      </w:r>
    </w:p>
    <w:p>
      <w:r>
        <w:t>Digital PLS MVP是面向PLS试点医院和强生眼力健项目团的数字化演示工作台。它以“上海Happy卓越眼科医院”为单院示例，展示一家医院如何理解PLS、完成自评、制定30 60 90天行动、实施各部门流程并持续复盘。</w:t>
      </w:r>
    </w:p>
    <w:p>
      <w:r>
        <w:rPr>
          <w:b/>
        </w:rPr>
        <w:t>核心定位：</w:t>
      </w:r>
      <w:r>
        <w:t>帮助医院把PLS从一个由少数人推动的项目，逐步建设成一套以患者为中心、由MDT团队协同、依靠标准流程和持续改进运行的医院能力体系。</w:t>
      </w:r>
    </w:p>
    <w:p>
      <w:r>
        <w:t>Digital PLS不是全国42家试点医院的排名或管理平台，也不是产品展示网站、HIS、电子病历或临床决策系统。当前MVP用于会议沟通、现状诊断、团队培训、流程共创与阶段复盘。每家医院都应根据自己的患者、团队和现有流程进行本地化。</w:t>
      </w:r>
    </w:p>
    <w:p>
      <w:pPr>
        <w:pStyle w:val="Heading1"/>
      </w:pPr>
      <w:r>
        <w:t>二  先理解PLS到底是什么</w:t>
      </w:r>
    </w:p>
    <w:p>
      <w:r>
        <w:t>PLS是Premium Lens Surgery的缩写。P代表Premium，指更高的医疗与服务标准，不等于“价格更高”；L代表Lens，关注自然晶状体、人工晶状体与患者的整体视觉需求；S代表Surgery，指以医学安全、视觉质量和充分知情为前提的晶状体手术。</w:t>
      </w:r>
    </w:p>
    <w:p>
      <w:r>
        <w:t>PLS不是一种新手术，也不是某一枚IOL、某台设备或“全自费白内障”的另一个名称。它的价值在于把现有的临床技术、IDEAL需求评估、共同决策、患者教育、团队交接、术后随访和质量改进连成一套稳定运行的医院能力。</w:t>
      </w:r>
    </w:p>
    <w:p>
      <w:r>
        <w:t>需要明确边界：白内障晶状体手术与适宜人群的CLE RLE有不同的医学背景、风险收益平衡和决策门槛；DLS可用于理解晶状体老化与视觉质量，但不是独立的手术适应证。</w:t>
      </w:r>
    </w:p>
    <w:p>
      <w:pPr>
        <w:pStyle w:val="Heading1"/>
      </w:pPr>
      <w:r>
        <w:t>三  网站帮助医院解决什么</w:t>
      </w:r>
    </w:p>
    <w:p>
      <w:pPr>
        <w:pStyle w:val="Heading2"/>
      </w:pPr>
      <w:r>
        <w:t>帮助医院理解PLS的完整内涵</w:t>
      </w:r>
    </w:p>
    <w:p>
      <w:r>
        <w:t>PLS不只是高端人工晶状体的选择，而是一套围绕屈光性白内障手术和老视矫正型晶状体手术建立的高质量视觉医疗能力体系。它连接患者筛查、需求分析、医学评估、方案匹配、精准手术、患者教育、术后随访和质量改进。</w:t>
      </w:r>
    </w:p>
    <w:p>
      <w:pPr>
        <w:pStyle w:val="Heading2"/>
      </w:pPr>
      <w:r>
        <w:t>让患者旅程中的岗位协作更加清楚</w:t>
      </w:r>
    </w:p>
    <w:p>
      <w:r>
        <w:t>网站明确展示前台、接待护士、咨询师、验光师、特殊检查技师、医生、手术护士、随访人员和医院管理者在不同阶段的职责，说明谁负责、完成什么、依据什么交接、下一位接手者是谁，以及哪些问题必须升级。</w:t>
      </w:r>
    </w:p>
    <w:p>
      <w:pPr>
        <w:pStyle w:val="Heading2"/>
      </w:pPr>
      <w:r>
        <w:t>帮助医院发现能力差距</w:t>
      </w:r>
    </w:p>
    <w:p>
      <w:r>
        <w:t>医院可以从PLS六大支柱、MDT岗位能力、患者旅程、SOP、患者教育、术后管理和经营数据等方面进行快速评估。评估的目的不是简单打分，而是把问题转化为有负责人、有期限、有复评证据的90天行动。</w:t>
      </w:r>
    </w:p>
    <w:p>
      <w:pPr>
        <w:pStyle w:val="Heading2"/>
      </w:pPr>
      <w:r>
        <w:t>支持医院持续质量改进</w:t>
      </w:r>
    </w:p>
    <w:p>
      <w:r>
        <w:t>院长和项目负责人可通过CEO驾驶舱、转化漏斗、团队学习进度及行动计划了解运行状态。网站关注的不只是病例数量，还包括患者安全、医学质量、知情选择、患者体验、团队协作和可持续发展。</w:t>
      </w:r>
    </w:p>
    <w:p>
      <w:pPr>
        <w:pStyle w:val="Heading1"/>
      </w:pPr>
      <w:r>
        <w:t>四  谁可以使用</w:t>
      </w:r>
    </w:p>
    <w:tbl>
      <w:tblPr>
        <w:tblStyle w:val="TableGrid"/>
        <w:tblW w:type="auto" w:w="0"/>
        <w:jc w:val="center"/>
        <w:tblLook w:firstColumn="1" w:firstRow="1" w:lastColumn="0" w:lastRow="0" w:noHBand="0" w:noVBand="1" w:val="04A0"/>
      </w:tblPr>
      <w:tblGrid>
        <w:gridCol w:w="4939"/>
        <w:gridCol w:w="4939"/>
      </w:tblGrid>
      <w:tr>
        <w:trPr>
          <w:tblHeader w:val="true"/>
          <w:cantSplit/>
        </w:trPr>
        <w:tc>
          <w:tcPr>
            <w:tcW w:type="dxa" w:w="2520"/>
            <w:shd w:fill="173F63"/>
            <w:tcMar>
              <w:top w:w="110" w:type="dxa"/>
              <w:start w:w="120" w:type="dxa"/>
              <w:bottom w:w="110" w:type="dxa"/>
              <w:end w:w="120" w:type="dxa"/>
            </w:tcMar>
            <w:vAlign w:val="center"/>
          </w:tcPr>
          <w:p>
            <w:pPr>
              <w:jc w:val="center"/>
            </w:pPr>
            <w:r>
              <w:rPr>
                <w:b/>
                <w:color w:val="FFFFFF"/>
                <w:sz w:val="19"/>
              </w:rPr>
              <w:t>使用者</w:t>
            </w:r>
          </w:p>
        </w:tc>
        <w:tc>
          <w:tcPr>
            <w:tcW w:type="dxa" w:w="7200"/>
            <w:shd w:fill="173F63"/>
            <w:tcMar>
              <w:top w:w="110" w:type="dxa"/>
              <w:start w:w="120" w:type="dxa"/>
              <w:bottom w:w="110" w:type="dxa"/>
              <w:end w:w="120" w:type="dxa"/>
            </w:tcMar>
            <w:vAlign w:val="center"/>
          </w:tcPr>
          <w:p>
            <w:pPr>
              <w:jc w:val="center"/>
            </w:pPr>
            <w:r>
              <w:rPr>
                <w:b/>
                <w:color w:val="FFFFFF"/>
                <w:sz w:val="19"/>
              </w:rPr>
              <w:t>主要用途</w:t>
            </w:r>
          </w:p>
        </w:tc>
      </w:tr>
      <w:tr>
        <w:trPr>
          <w:cantSplit/>
        </w:trPr>
        <w:tc>
          <w:tcPr>
            <w:tcW w:type="dxa" w:w="2520"/>
            <w:tcMar>
              <w:top w:w="110" w:type="dxa"/>
              <w:start w:w="120" w:type="dxa"/>
              <w:bottom w:w="110" w:type="dxa"/>
              <w:end w:w="120" w:type="dxa"/>
            </w:tcMar>
            <w:vAlign w:val="center"/>
          </w:tcPr>
          <w:p>
            <w:pPr>
              <w:spacing w:after="0" w:line="288" w:lineRule="auto"/>
            </w:pPr>
            <w:r>
              <w:rPr>
                <w:sz w:val="18"/>
              </w:rPr>
              <w:t>医院院长和CEO</w:t>
            </w:r>
          </w:p>
        </w:tc>
        <w:tc>
          <w:tcPr>
            <w:tcW w:type="dxa" w:w="7200"/>
            <w:tcMar>
              <w:top w:w="110" w:type="dxa"/>
              <w:start w:w="120" w:type="dxa"/>
              <w:bottom w:w="110" w:type="dxa"/>
              <w:end w:w="120" w:type="dxa"/>
            </w:tcMar>
            <w:vAlign w:val="center"/>
          </w:tcPr>
          <w:p>
            <w:pPr>
              <w:spacing w:after="0" w:line="288" w:lineRule="auto"/>
            </w:pPr>
            <w:r>
              <w:rPr>
                <w:sz w:val="18"/>
              </w:rPr>
              <w:t>了解PLS战略价值、医院能力、患者转化、团队能力、90天行动和经营情景。</w:t>
            </w:r>
          </w:p>
        </w:tc>
      </w:tr>
      <w:tr>
        <w:trPr>
          <w:cantSplit/>
        </w:trPr>
        <w:tc>
          <w:tcPr>
            <w:tcW w:type="dxa" w:w="2520"/>
            <w:tcMar>
              <w:top w:w="110" w:type="dxa"/>
              <w:start w:w="120" w:type="dxa"/>
              <w:bottom w:w="110" w:type="dxa"/>
              <w:end w:w="120" w:type="dxa"/>
            </w:tcMar>
            <w:vAlign w:val="center"/>
            <w:shd w:fill="F2F6F9"/>
          </w:tcPr>
          <w:p>
            <w:pPr>
              <w:spacing w:after="0" w:line="288" w:lineRule="auto"/>
            </w:pPr>
            <w:r>
              <w:rPr>
                <w:sz w:val="18"/>
              </w:rPr>
              <w:t>PLS项目负责人</w:t>
            </w:r>
          </w:p>
        </w:tc>
        <w:tc>
          <w:tcPr>
            <w:tcW w:type="dxa" w:w="7200"/>
            <w:tcMar>
              <w:top w:w="110" w:type="dxa"/>
              <w:start w:w="120" w:type="dxa"/>
              <w:bottom w:w="110" w:type="dxa"/>
              <w:end w:w="120" w:type="dxa"/>
            </w:tcMar>
            <w:vAlign w:val="center"/>
            <w:shd w:fill="F2F6F9"/>
          </w:tcPr>
          <w:p>
            <w:pPr>
              <w:spacing w:after="0" w:line="288" w:lineRule="auto"/>
            </w:pPr>
            <w:r>
              <w:rPr>
                <w:sz w:val="18"/>
              </w:rPr>
              <w:t>组织项目启动、任务分工、进度追踪、问题复盘和跨部门协作。</w:t>
            </w:r>
          </w:p>
        </w:tc>
      </w:tr>
      <w:tr>
        <w:trPr>
          <w:cantSplit/>
        </w:trPr>
        <w:tc>
          <w:tcPr>
            <w:tcW w:type="dxa" w:w="2520"/>
            <w:tcMar>
              <w:top w:w="110" w:type="dxa"/>
              <w:start w:w="120" w:type="dxa"/>
              <w:bottom w:w="110" w:type="dxa"/>
              <w:end w:w="120" w:type="dxa"/>
            </w:tcMar>
            <w:vAlign w:val="center"/>
          </w:tcPr>
          <w:p>
            <w:pPr>
              <w:spacing w:after="0" w:line="288" w:lineRule="auto"/>
            </w:pPr>
            <w:r>
              <w:rPr>
                <w:sz w:val="18"/>
              </w:rPr>
              <w:t>眼科医生和手术医生</w:t>
            </w:r>
          </w:p>
        </w:tc>
        <w:tc>
          <w:tcPr>
            <w:tcW w:type="dxa" w:w="7200"/>
            <w:tcMar>
              <w:top w:w="110" w:type="dxa"/>
              <w:start w:w="120" w:type="dxa"/>
              <w:bottom w:w="110" w:type="dxa"/>
              <w:end w:w="120" w:type="dxa"/>
            </w:tcMar>
            <w:vAlign w:val="center"/>
          </w:tcPr>
          <w:p>
            <w:pPr>
              <w:spacing w:after="0" w:line="288" w:lineRule="auto"/>
            </w:pPr>
            <w:r>
              <w:rPr>
                <w:sz w:val="18"/>
              </w:rPr>
              <w:t>查看患者视觉需求、检查完成情况、需复核问题和术前摘要，支持医学判断与共同决策。</w:t>
            </w:r>
          </w:p>
        </w:tc>
      </w:tr>
      <w:tr>
        <w:trPr>
          <w:cantSplit/>
        </w:trPr>
        <w:tc>
          <w:tcPr>
            <w:tcW w:type="dxa" w:w="2520"/>
            <w:tcMar>
              <w:top w:w="110" w:type="dxa"/>
              <w:start w:w="120" w:type="dxa"/>
              <w:bottom w:w="110" w:type="dxa"/>
              <w:end w:w="120" w:type="dxa"/>
            </w:tcMar>
            <w:vAlign w:val="center"/>
            <w:shd w:fill="F2F6F9"/>
          </w:tcPr>
          <w:p>
            <w:pPr>
              <w:spacing w:after="0" w:line="288" w:lineRule="auto"/>
            </w:pPr>
            <w:r>
              <w:rPr>
                <w:sz w:val="18"/>
              </w:rPr>
              <w:t>咨询师</w:t>
            </w:r>
          </w:p>
        </w:tc>
        <w:tc>
          <w:tcPr>
            <w:tcW w:type="dxa" w:w="7200"/>
            <w:tcMar>
              <w:top w:w="110" w:type="dxa"/>
              <w:start w:w="120" w:type="dxa"/>
              <w:bottom w:w="110" w:type="dxa"/>
              <w:end w:w="120" w:type="dxa"/>
            </w:tcMar>
            <w:vAlign w:val="center"/>
            <w:shd w:fill="F2F6F9"/>
          </w:tcPr>
          <w:p>
            <w:pPr>
              <w:spacing w:after="0" w:line="288" w:lineRule="auto"/>
            </w:pPr>
            <w:r>
              <w:rPr>
                <w:sz w:val="18"/>
              </w:rPr>
              <w:t>完成IDEAL需求访谈、患者教育、方案沟通、术后随访和投诉回应。</w:t>
            </w:r>
          </w:p>
        </w:tc>
      </w:tr>
      <w:tr>
        <w:trPr>
          <w:cantSplit/>
        </w:trPr>
        <w:tc>
          <w:tcPr>
            <w:tcW w:type="dxa" w:w="2520"/>
            <w:tcMar>
              <w:top w:w="110" w:type="dxa"/>
              <w:start w:w="120" w:type="dxa"/>
              <w:bottom w:w="110" w:type="dxa"/>
              <w:end w:w="120" w:type="dxa"/>
            </w:tcMar>
            <w:vAlign w:val="center"/>
          </w:tcPr>
          <w:p>
            <w:pPr>
              <w:spacing w:after="0" w:line="288" w:lineRule="auto"/>
            </w:pPr>
            <w:r>
              <w:rPr>
                <w:sz w:val="18"/>
              </w:rPr>
              <w:t>验光师和特殊检查技师</w:t>
            </w:r>
          </w:p>
        </w:tc>
        <w:tc>
          <w:tcPr>
            <w:tcW w:type="dxa" w:w="7200"/>
            <w:tcMar>
              <w:top w:w="110" w:type="dxa"/>
              <w:start w:w="120" w:type="dxa"/>
              <w:bottom w:w="110" w:type="dxa"/>
              <w:end w:w="120" w:type="dxa"/>
            </w:tcMar>
            <w:vAlign w:val="center"/>
          </w:tcPr>
          <w:p>
            <w:pPr>
              <w:spacing w:after="0" w:line="288" w:lineRule="auto"/>
            </w:pPr>
            <w:r>
              <w:rPr>
                <w:sz w:val="18"/>
              </w:rPr>
              <w:t>确认检查完整性、记录关键信息、识别异常并将完整资料交接给医生。</w:t>
            </w:r>
          </w:p>
        </w:tc>
      </w:tr>
      <w:tr>
        <w:trPr>
          <w:cantSplit/>
        </w:trPr>
        <w:tc>
          <w:tcPr>
            <w:tcW w:type="dxa" w:w="2520"/>
            <w:tcMar>
              <w:top w:w="110" w:type="dxa"/>
              <w:start w:w="120" w:type="dxa"/>
              <w:bottom w:w="110" w:type="dxa"/>
              <w:end w:w="120" w:type="dxa"/>
            </w:tcMar>
            <w:vAlign w:val="center"/>
            <w:shd w:fill="F2F6F9"/>
          </w:tcPr>
          <w:p>
            <w:pPr>
              <w:spacing w:after="0" w:line="288" w:lineRule="auto"/>
            </w:pPr>
            <w:r>
              <w:rPr>
                <w:sz w:val="18"/>
              </w:rPr>
              <w:t>接待护士和前台人员</w:t>
            </w:r>
          </w:p>
        </w:tc>
        <w:tc>
          <w:tcPr>
            <w:tcW w:type="dxa" w:w="7200"/>
            <w:tcMar>
              <w:top w:w="110" w:type="dxa"/>
              <w:start w:w="120" w:type="dxa"/>
              <w:bottom w:w="110" w:type="dxa"/>
              <w:end w:w="120" w:type="dxa"/>
            </w:tcMar>
            <w:vAlign w:val="center"/>
            <w:shd w:fill="F2F6F9"/>
          </w:tcPr>
          <w:p>
            <w:pPr>
              <w:spacing w:after="0" w:line="288" w:lineRule="auto"/>
            </w:pPr>
            <w:r>
              <w:rPr>
                <w:sz w:val="18"/>
              </w:rPr>
              <w:t>完成登记、来源记录、初步信息采集和就诊路径衔接。</w:t>
            </w:r>
          </w:p>
        </w:tc>
      </w:tr>
      <w:tr>
        <w:trPr>
          <w:cantSplit/>
        </w:trPr>
        <w:tc>
          <w:tcPr>
            <w:tcW w:type="dxa" w:w="2520"/>
            <w:tcMar>
              <w:top w:w="110" w:type="dxa"/>
              <w:start w:w="120" w:type="dxa"/>
              <w:bottom w:w="110" w:type="dxa"/>
              <w:end w:w="120" w:type="dxa"/>
            </w:tcMar>
            <w:vAlign w:val="center"/>
          </w:tcPr>
          <w:p>
            <w:pPr>
              <w:spacing w:after="0" w:line="288" w:lineRule="auto"/>
            </w:pPr>
            <w:r>
              <w:rPr>
                <w:sz w:val="18"/>
              </w:rPr>
              <w:t>手术护士和术后随访人员</w:t>
            </w:r>
          </w:p>
        </w:tc>
        <w:tc>
          <w:tcPr>
            <w:tcW w:type="dxa" w:w="7200"/>
            <w:tcMar>
              <w:top w:w="110" w:type="dxa"/>
              <w:start w:w="120" w:type="dxa"/>
              <w:bottom w:w="110" w:type="dxa"/>
              <w:end w:w="120" w:type="dxa"/>
            </w:tcMar>
            <w:vAlign w:val="center"/>
          </w:tcPr>
          <w:p>
            <w:pPr>
              <w:spacing w:after="0" w:line="288" w:lineRule="auto"/>
            </w:pPr>
            <w:r>
              <w:rPr>
                <w:sz w:val="18"/>
              </w:rPr>
              <w:t>执行术前核查、手术信息记录、术后任务安排、异常升级和长期随访。</w:t>
            </w:r>
          </w:p>
        </w:tc>
      </w:tr>
      <w:tr>
        <w:trPr>
          <w:cantSplit/>
        </w:trPr>
        <w:tc>
          <w:tcPr>
            <w:tcW w:type="dxa" w:w="2520"/>
            <w:tcMar>
              <w:top w:w="110" w:type="dxa"/>
              <w:start w:w="120" w:type="dxa"/>
              <w:bottom w:w="110" w:type="dxa"/>
              <w:end w:w="120" w:type="dxa"/>
            </w:tcMar>
            <w:vAlign w:val="center"/>
            <w:shd w:fill="F2F6F9"/>
          </w:tcPr>
          <w:p>
            <w:pPr>
              <w:spacing w:after="0" w:line="288" w:lineRule="auto"/>
            </w:pPr>
            <w:r>
              <w:rPr>
                <w:sz w:val="18"/>
              </w:rPr>
              <w:t>HR/培训经理</w:t>
            </w:r>
          </w:p>
        </w:tc>
        <w:tc>
          <w:tcPr>
            <w:tcW w:type="dxa" w:w="7200"/>
            <w:tcMar>
              <w:top w:w="110" w:type="dxa"/>
              <w:start w:w="120" w:type="dxa"/>
              <w:bottom w:w="110" w:type="dxa"/>
              <w:end w:w="120" w:type="dxa"/>
            </w:tcMar>
            <w:vAlign w:val="center"/>
            <w:shd w:fill="F2F6F9"/>
          </w:tcPr>
          <w:p>
            <w:pPr>
              <w:spacing w:after="0" w:line="288" w:lineRule="auto"/>
            </w:pPr>
            <w:r>
              <w:rPr>
                <w:sz w:val="18"/>
              </w:rPr>
              <w:t>组织岗位学习、自我评分、在线短测和能力提升计划。</w:t>
            </w:r>
          </w:p>
        </w:tc>
      </w:tr>
      <w:tr>
        <w:trPr>
          <w:cantSplit/>
        </w:trPr>
        <w:tc>
          <w:tcPr>
            <w:tcW w:type="dxa" w:w="2520"/>
            <w:tcMar>
              <w:top w:w="110" w:type="dxa"/>
              <w:start w:w="120" w:type="dxa"/>
              <w:bottom w:w="110" w:type="dxa"/>
              <w:end w:w="120" w:type="dxa"/>
            </w:tcMar>
            <w:vAlign w:val="center"/>
          </w:tcPr>
          <w:p>
            <w:pPr>
              <w:spacing w:after="0" w:line="288" w:lineRule="auto"/>
            </w:pPr>
            <w:r>
              <w:rPr>
                <w:sz w:val="18"/>
              </w:rPr>
              <w:t>强生眼力健销售人员和PLS BDM</w:t>
            </w:r>
          </w:p>
        </w:tc>
        <w:tc>
          <w:tcPr>
            <w:tcW w:type="dxa" w:w="7200"/>
            <w:tcMar>
              <w:top w:w="110" w:type="dxa"/>
              <w:start w:w="120" w:type="dxa"/>
              <w:bottom w:w="110" w:type="dxa"/>
              <w:end w:w="120" w:type="dxa"/>
            </w:tcMar>
            <w:vAlign w:val="center"/>
          </w:tcPr>
          <w:p>
            <w:pPr>
              <w:spacing w:after="0" w:line="288" w:lineRule="auto"/>
            </w:pPr>
            <w:r>
              <w:rPr>
                <w:sz w:val="18"/>
              </w:rPr>
              <w:t>支持试点医院遴选、现状诊断、首次研讨会、90天试运行和阶段复盘。</w:t>
            </w:r>
          </w:p>
        </w:tc>
      </w:tr>
    </w:tbl>
    <w:p>
      <w:pPr>
        <w:spacing w:after="20"/>
      </w:pPr>
    </w:p>
    <w:p>
      <w:pPr>
        <w:pStyle w:val="Heading1"/>
      </w:pPr>
      <w:r>
        <w:t>五  网站的七个一级入口</w:t>
      </w:r>
    </w:p>
    <w:p>
      <w:pPr>
        <w:pStyle w:val="Heading2"/>
      </w:pPr>
      <w:r>
        <w:t>项目总览</w:t>
      </w:r>
    </w:p>
    <w:p>
      <w:r>
        <w:t>从单院建设视角展示项目路线图、当前阶段、下次复盘时点、患者进展、能力建设和CEO需要关注的事项。</w:t>
      </w:r>
    </w:p>
    <w:p>
      <w:pPr>
        <w:pStyle w:val="Heading2"/>
      </w:pPr>
      <w:r>
        <w:t>认识PLS</w:t>
      </w:r>
    </w:p>
    <w:p>
      <w:r>
        <w:t>回答“PLS到底是啥”，说明P L S三个字母、医学边界、DLS、CLE RLE与PLS能力体系，用于CEO和团队建立共识。</w:t>
      </w:r>
    </w:p>
    <w:p>
      <w:pPr>
        <w:pStyle w:val="Heading2"/>
      </w:pPr>
      <w:r>
        <w:t>启动与自评</w:t>
      </w:r>
    </w:p>
    <w:p>
      <w:r>
        <w:t>用PLS六大支柱、MDT岗位标准、自我评分和在线短测建立基线。演示版以80分为学习达标线，不等于正式上岗资格或医院认证。</w:t>
      </w:r>
    </w:p>
    <w:p>
      <w:pPr>
        <w:pStyle w:val="Heading2"/>
      </w:pPr>
      <w:r>
        <w:t>30 60 90天行动</w:t>
      </w:r>
    </w:p>
    <w:p>
      <w:r>
        <w:t>前30天建立最小可运行流程，31至60天识别问题并优化，61至90天固化SOP、证据和认证准备。每项行动都需有医院责任人、时限和验收证据。</w:t>
      </w:r>
    </w:p>
    <w:p>
      <w:pPr>
        <w:pStyle w:val="Heading2"/>
      </w:pPr>
      <w:r>
        <w:t>医院流程实施</w:t>
      </w:r>
    </w:p>
    <w:p>
      <w:r>
        <w:t>以同一位患者的九个交接节点为主线，连接医生与检查团队、咨询师与患者教育、HR与MDT团队、运营与手术支持。</w:t>
      </w:r>
    </w:p>
    <w:p>
      <w:pPr>
        <w:pStyle w:val="Heading2"/>
      </w:pPr>
      <w:r>
        <w:t>复盘与改进</w:t>
      </w:r>
    </w:p>
    <w:p>
      <w:r>
        <w:t>先检查执行证据、医疗质量、患者理解和团队协作，再讨论缺口、漏斗、经营情景与是否扩大规模。</w:t>
      </w:r>
    </w:p>
    <w:p>
      <w:pPr>
        <w:pStyle w:val="Heading2"/>
      </w:pPr>
      <w:r>
        <w:t>知识与工具</w:t>
      </w:r>
    </w:p>
    <w:p>
      <w:r>
        <w:t>集中查询PLS项目决策Q&amp;A、临床与患者教育知识、医院评估工具、90天行动、随访和复盘模板。</w:t>
      </w:r>
    </w:p>
    <w:p>
      <w:pPr>
        <w:pStyle w:val="Heading1"/>
      </w:pPr>
      <w:r>
        <w:t>六  重点功能如何使用</w:t>
      </w:r>
    </w:p>
    <w:p>
      <w:pPr>
        <w:pStyle w:val="Heading2"/>
      </w:pPr>
      <w:r>
        <w:t>PLS患者旅程</w:t>
      </w:r>
    </w:p>
    <w:p>
      <w:r>
        <w:t>展示引流预约、到院登记、IDEAL评估、全面检查、医生诊断与方案、共同决策、手术执行、术后随访和长期关爱九个阶段。</w:t>
      </w:r>
    </w:p>
    <w:p>
      <w:pPr>
        <w:pStyle w:val="Heading2"/>
      </w:pPr>
      <w:r>
        <w:t>患者路径确认闸门</w:t>
      </w:r>
    </w:p>
    <w:p>
      <w:r>
        <w:t>在完成基础医学与安全判断，并初步了解患者视觉需求后，再确认进入标准诊疗、PLS深度评估或医生优先复核。不能仅根据收入、职业或支付能力分流，也不能在医学信息不足时过早判断。</w:t>
      </w:r>
    </w:p>
    <w:p>
      <w:pPr>
        <w:pStyle w:val="Heading2"/>
      </w:pPr>
      <w:r>
        <w:t>临床协作工作台</w:t>
      </w:r>
    </w:p>
    <w:p>
      <w:r>
        <w:t>集中显示生活方式和视觉需求、IDEAL五步、检查完成情况、需复核问题和术前摘要预览。信息用于提高协作效率，不替代医生诊断，也不自动推荐人工晶状体。</w:t>
      </w:r>
    </w:p>
    <w:p>
      <w:pPr>
        <w:pStyle w:val="Heading2"/>
      </w:pPr>
      <w:r>
        <w:t>患者教育</w:t>
      </w:r>
    </w:p>
    <w:p>
      <w:r>
        <w:t>帮助患者和家属理解白内障、老视、单焦点、双焦点、EDOF、FVR、Toric，以及Phaco和FLACS的基本过程；同时提供光晕眩光辅导和视觉效果投诉回应流程。视觉模拟仅为教学示意。</w:t>
      </w:r>
    </w:p>
    <w:p>
      <w:pPr>
        <w:pStyle w:val="Heading2"/>
      </w:pPr>
      <w:r>
        <w:t>医院PLS能力建设</w:t>
      </w:r>
    </w:p>
    <w:p>
      <w:r>
        <w:t>包括六大支柱快速评估和七类MDT岗位能力标准。各岗位可以自评并参加在线短测，演示版以80分作为学习达标线，但不构成正式上岗资格或医院认证。</w:t>
      </w:r>
    </w:p>
    <w:p>
      <w:pPr>
        <w:pStyle w:val="Heading2"/>
      </w:pPr>
      <w:r>
        <w:t>PLS三级能力认证</w:t>
      </w:r>
    </w:p>
    <w:p>
      <w:r>
        <w:t>展示PLS基础实践认证、PLS卓越实践认证和PLS卓越示范中心的成长路径。正式认证仍需依据标准、运行证据、现场核查和年度复评。</w:t>
      </w:r>
    </w:p>
    <w:p>
      <w:pPr>
        <w:pStyle w:val="Heading2"/>
      </w:pPr>
      <w:r>
        <w:t>CEO驾驶舱</w:t>
      </w:r>
    </w:p>
    <w:p>
      <w:r>
        <w:t>集中呈现患者与质量、六大支柱、MDT学习与考核、90天行动、本月转化漏斗和未来12个月经营情景，帮助院长识别项目堵点。</w:t>
      </w:r>
    </w:p>
    <w:p>
      <w:pPr>
        <w:pStyle w:val="Heading2"/>
      </w:pPr>
      <w:r>
        <w:t>经营情景测算</w:t>
      </w:r>
    </w:p>
    <w:p>
      <w:r>
        <w:t>比较审慎、基准和进取三种情景。测算前先判断医院属于重点建设型、培育型或暂缓型。结果用于能力和资源讨论，不是收入承诺、利润预测或销售任务。</w:t>
      </w:r>
    </w:p>
    <w:p>
      <w:pPr>
        <w:pStyle w:val="Heading2"/>
      </w:pPr>
      <w:r>
        <w:t>PLS项目决策Q&amp;A</w:t>
      </w:r>
    </w:p>
    <w:p>
      <w:r>
        <w:t>收录20个医院常见问题，可按岗位、类别和关键词查询。关键问题会根据场景出现在CEO驾驶舱、临床工作台、患者教育和患者旅程中。</w:t>
      </w:r>
    </w:p>
    <w:p>
      <w:pPr>
        <w:pStyle w:val="Heading2"/>
      </w:pPr>
      <w:r>
        <w:t>知识与工具</w:t>
      </w:r>
    </w:p>
    <w:p>
      <w:r>
        <w:t>网站内嵌PLS工具箱中的多项网页工具，供医生和项目团队查阅或使用。工具目前是独立网页，尚未与患者档案或医院系统连接。</w:t>
      </w:r>
    </w:p>
    <w:p>
      <w:pPr>
        <w:pStyle w:val="Heading2"/>
      </w:pPr>
      <w:r>
        <w:t>IOL与设备耗材库存</w:t>
      </w:r>
    </w:p>
    <w:p>
      <w:r>
        <w:t>主页仅显示库存速览，二级页面演示不同IOL型号和度数以及Catalys、VERITAS耗材查询。该功能不连接真实库存，不执行预留或扣减，IOL规格必须由医生确认。</w:t>
      </w:r>
    </w:p>
    <w:p>
      <w:pPr>
        <w:pStyle w:val="Heading1"/>
      </w:pPr>
      <w:r>
        <w:t>七  医院如何按顺序推进</w:t>
      </w:r>
    </w:p>
    <w:p>
      <w:pPr>
        <w:pStyle w:val="Heading2"/>
      </w:pPr>
      <w:r>
        <w:t>1  认识PLS并建立领导层共识</w:t>
      </w:r>
    </w:p>
    <w:p>
      <w:r>
        <w:t>院长 CEO、项目负责人与PLS BDM先查看“认识PLS”和项目总览，确认项目要解决的医院问题、试点边界和领导层投入。</w:t>
      </w:r>
    </w:p>
    <w:p>
      <w:pPr>
        <w:pStyle w:val="Heading2"/>
      </w:pPr>
      <w:r>
        <w:t>2  启动项目并完成基线自评</w:t>
      </w:r>
    </w:p>
    <w:p>
      <w:r>
        <w:t>用六大支柱、MDT角色标准和医院遴选工具判断当前起点，找出最影响患者价值和项目落地的三至五个问题。</w:t>
      </w:r>
    </w:p>
    <w:p>
      <w:pPr>
        <w:pStyle w:val="Heading2"/>
      </w:pPr>
      <w:r>
        <w:t>3  制定30 60 90天行动</w:t>
      </w:r>
    </w:p>
    <w:p>
      <w:r>
        <w:t>明确行动内容、医院责任人、时限、所需支持、验收证据和复盘日期。强生眼力健提供工具、培训和辅导，医院承担实施主体责任。</w:t>
      </w:r>
    </w:p>
    <w:p>
      <w:pPr>
        <w:pStyle w:val="Heading2"/>
      </w:pPr>
      <w:r>
        <w:t>4  围绕一位患者实施流程</w:t>
      </w:r>
    </w:p>
    <w:p>
      <w:r>
        <w:t>组织前台、咨询师、验光师、特殊检查技师、医生、手术护士和随访人员，逐节点确认责任、信息、升级条件和交接证据。</w:t>
      </w:r>
    </w:p>
    <w:p>
      <w:pPr>
        <w:pStyle w:val="Heading2"/>
      </w:pPr>
      <w:r>
        <w:t>5  在30天节点完成首次复盘</w:t>
      </w:r>
    </w:p>
    <w:p>
      <w:r>
        <w:t>先查看流程是否真正运行、哪些资料缺失、哪些患者需要暂缓或转医生复核，再分析漏斗与经营结果。</w:t>
      </w:r>
    </w:p>
    <w:p>
      <w:pPr>
        <w:pStyle w:val="Heading2"/>
      </w:pPr>
      <w:r>
        <w:t>6  在60天和90天完成优化与固化</w:t>
      </w:r>
    </w:p>
    <w:p>
      <w:r>
        <w:t>优化SOP、补齐团队能力、沉淀病例与运行证据，并评估是否具备扩大试点和进入PLS三级能力认证的条件。</w:t>
      </w:r>
    </w:p>
    <w:p>
      <w:pPr>
        <w:pStyle w:val="Heading1"/>
      </w:pPr>
      <w:r>
        <w:t>八  一线销售如何与CEO和医院团队使用</w:t>
      </w:r>
    </w:p>
    <w:p>
      <w:pPr>
        <w:pStyle w:val="Heading2"/>
      </w:pPr>
      <w:r>
        <w:t>试点医院遴选</w:t>
      </w:r>
    </w:p>
    <w:p>
      <w:r>
        <w:t>使用医院遴选、六大支柱和项目Q&amp;A，核实医院信息、领导投入、患者基础、团队能力和试点意愿。</w:t>
      </w:r>
    </w:p>
    <w:p>
      <w:pPr>
        <w:pStyle w:val="Heading2"/>
      </w:pPr>
      <w:r>
        <w:t>院长沟通</w:t>
      </w:r>
    </w:p>
    <w:p>
      <w:r>
        <w:t>通过项目介绍、CEO驾驶舱、患者旅程和三级能力认证，说明PLS是医院能力建设，而不是单一产品推广。</w:t>
      </w:r>
    </w:p>
    <w:p>
      <w:pPr>
        <w:pStyle w:val="Heading2"/>
      </w:pPr>
      <w:r>
        <w:t>第一次项目研讨会</w:t>
      </w:r>
    </w:p>
    <w:p>
      <w:r>
        <w:t>引导医院围绕真实患者旅程完成诊断，找出最重要的三个问题，并形成90天行动计划。</w:t>
      </w:r>
    </w:p>
    <w:p>
      <w:pPr>
        <w:pStyle w:val="Heading2"/>
      </w:pPr>
      <w:r>
        <w:t>医院团队培训</w:t>
      </w:r>
    </w:p>
    <w:p>
      <w:r>
        <w:t>根据岗位选择相应模块，让不同人员学习与其工作直接相关的标准、工具和Q&amp;A。</w:t>
      </w:r>
    </w:p>
    <w:p>
      <w:pPr>
        <w:pStyle w:val="Heading2"/>
      </w:pPr>
      <w:r>
        <w:t>项目跟进与复盘</w:t>
      </w:r>
    </w:p>
    <w:p>
      <w:r>
        <w:t>每次拜访不只询问病例数量，还应共同查看流程、人员、质量、患者体验和行动进展。</w:t>
      </w:r>
    </w:p>
    <w:p>
      <w:r>
        <w:t>强生眼力健人员可以提供工具、培训、项目辅导和经验分享，但不能替代医院进行临床判断、患者沟通、收费决策或内部管理。</w:t>
      </w:r>
    </w:p>
    <w:p>
      <w:pPr>
        <w:pStyle w:val="Heading1"/>
      </w:pPr>
      <w:r>
        <w:t>九  建议的分角色路径</w:t>
      </w:r>
    </w:p>
    <w:tbl>
      <w:tblPr>
        <w:tblStyle w:val="TableGrid"/>
        <w:tblW w:type="auto" w:w="0"/>
        <w:jc w:val="center"/>
        <w:tblLook w:firstColumn="1" w:firstRow="1" w:lastColumn="0" w:lastRow="0" w:noHBand="0" w:noVBand="1" w:val="04A0"/>
      </w:tblPr>
      <w:tblGrid>
        <w:gridCol w:w="4939"/>
        <w:gridCol w:w="4939"/>
      </w:tblGrid>
      <w:tr>
        <w:trPr>
          <w:tblHeader w:val="true"/>
          <w:cantSplit/>
        </w:trPr>
        <w:tc>
          <w:tcPr>
            <w:tcW w:type="dxa" w:w="2520"/>
            <w:shd w:fill="173F63"/>
            <w:tcMar>
              <w:top w:w="110" w:type="dxa"/>
              <w:start w:w="120" w:type="dxa"/>
              <w:bottom w:w="110" w:type="dxa"/>
              <w:end w:w="120" w:type="dxa"/>
            </w:tcMar>
            <w:vAlign w:val="center"/>
          </w:tcPr>
          <w:p>
            <w:pPr>
              <w:jc w:val="center"/>
            </w:pPr>
            <w:r>
              <w:rPr>
                <w:b/>
                <w:color w:val="FFFFFF"/>
                <w:sz w:val="19"/>
              </w:rPr>
              <w:t>角色</w:t>
            </w:r>
          </w:p>
        </w:tc>
        <w:tc>
          <w:tcPr>
            <w:tcW w:type="dxa" w:w="7200"/>
            <w:shd w:fill="173F63"/>
            <w:tcMar>
              <w:top w:w="110" w:type="dxa"/>
              <w:start w:w="120" w:type="dxa"/>
              <w:bottom w:w="110" w:type="dxa"/>
              <w:end w:w="120" w:type="dxa"/>
            </w:tcMar>
            <w:vAlign w:val="center"/>
          </w:tcPr>
          <w:p>
            <w:pPr>
              <w:jc w:val="center"/>
            </w:pPr>
            <w:r>
              <w:rPr>
                <w:b/>
                <w:color w:val="FFFFFF"/>
                <w:sz w:val="19"/>
              </w:rPr>
              <w:t>建议路径</w:t>
            </w:r>
          </w:p>
        </w:tc>
      </w:tr>
      <w:tr>
        <w:trPr>
          <w:cantSplit/>
        </w:trPr>
        <w:tc>
          <w:tcPr>
            <w:tcW w:type="dxa" w:w="2520"/>
            <w:tcMar>
              <w:top w:w="110" w:type="dxa"/>
              <w:start w:w="120" w:type="dxa"/>
              <w:bottom w:w="110" w:type="dxa"/>
              <w:end w:w="120" w:type="dxa"/>
            </w:tcMar>
            <w:vAlign w:val="center"/>
          </w:tcPr>
          <w:p>
            <w:pPr>
              <w:spacing w:after="0" w:line="288" w:lineRule="auto"/>
            </w:pPr>
            <w:r>
              <w:rPr>
                <w:sz w:val="18"/>
              </w:rPr>
              <w:t>医院院长和CEO</w:t>
            </w:r>
          </w:p>
        </w:tc>
        <w:tc>
          <w:tcPr>
            <w:tcW w:type="dxa" w:w="7200"/>
            <w:tcMar>
              <w:top w:w="110" w:type="dxa"/>
              <w:start w:w="120" w:type="dxa"/>
              <w:bottom w:w="110" w:type="dxa"/>
              <w:end w:w="120" w:type="dxa"/>
            </w:tcMar>
            <w:vAlign w:val="center"/>
          </w:tcPr>
          <w:p>
            <w:pPr>
              <w:spacing w:after="0" w:line="288" w:lineRule="auto"/>
            </w:pPr>
            <w:r>
              <w:rPr>
                <w:sz w:val="18"/>
              </w:rPr>
              <w:t>项目介绍 → CEO驾驶舱 → 六大支柱 → 经营情景测算 → 三级能力认证 → 90天行动</w:t>
            </w:r>
          </w:p>
        </w:tc>
      </w:tr>
      <w:tr>
        <w:trPr>
          <w:cantSplit/>
        </w:trPr>
        <w:tc>
          <w:tcPr>
            <w:tcW w:type="dxa" w:w="2520"/>
            <w:tcMar>
              <w:top w:w="110" w:type="dxa"/>
              <w:start w:w="120" w:type="dxa"/>
              <w:bottom w:w="110" w:type="dxa"/>
              <w:end w:w="120" w:type="dxa"/>
            </w:tcMar>
            <w:vAlign w:val="center"/>
            <w:shd w:fill="F2F6F9"/>
          </w:tcPr>
          <w:p>
            <w:pPr>
              <w:spacing w:after="0" w:line="288" w:lineRule="auto"/>
            </w:pPr>
            <w:r>
              <w:rPr>
                <w:sz w:val="18"/>
              </w:rPr>
              <w:t>医生</w:t>
            </w:r>
          </w:p>
        </w:tc>
        <w:tc>
          <w:tcPr>
            <w:tcW w:type="dxa" w:w="7200"/>
            <w:tcMar>
              <w:top w:w="110" w:type="dxa"/>
              <w:start w:w="120" w:type="dxa"/>
              <w:bottom w:w="110" w:type="dxa"/>
              <w:end w:w="120" w:type="dxa"/>
            </w:tcMar>
            <w:vAlign w:val="center"/>
            <w:shd w:fill="F2F6F9"/>
          </w:tcPr>
          <w:p>
            <w:pPr>
              <w:spacing w:after="0" w:line="288" w:lineRule="auto"/>
            </w:pPr>
            <w:r>
              <w:rPr>
                <w:sz w:val="18"/>
              </w:rPr>
              <w:t>PLS患者旅程 → 临床工作台 → 患者教育 → 医生相关Q&amp;A → 知识与工具</w:t>
            </w:r>
          </w:p>
        </w:tc>
      </w:tr>
      <w:tr>
        <w:trPr>
          <w:cantSplit/>
        </w:trPr>
        <w:tc>
          <w:tcPr>
            <w:tcW w:type="dxa" w:w="2520"/>
            <w:tcMar>
              <w:top w:w="110" w:type="dxa"/>
              <w:start w:w="120" w:type="dxa"/>
              <w:bottom w:w="110" w:type="dxa"/>
              <w:end w:w="120" w:type="dxa"/>
            </w:tcMar>
            <w:vAlign w:val="center"/>
          </w:tcPr>
          <w:p>
            <w:pPr>
              <w:spacing w:after="0" w:line="288" w:lineRule="auto"/>
            </w:pPr>
            <w:r>
              <w:rPr>
                <w:sz w:val="18"/>
              </w:rPr>
              <w:t>咨询师</w:t>
            </w:r>
          </w:p>
        </w:tc>
        <w:tc>
          <w:tcPr>
            <w:tcW w:type="dxa" w:w="7200"/>
            <w:tcMar>
              <w:top w:w="110" w:type="dxa"/>
              <w:start w:w="120" w:type="dxa"/>
              <w:bottom w:w="110" w:type="dxa"/>
              <w:end w:w="120" w:type="dxa"/>
            </w:tcMar>
            <w:vAlign w:val="center"/>
          </w:tcPr>
          <w:p>
            <w:pPr>
              <w:spacing w:after="0" w:line="288" w:lineRule="auto"/>
            </w:pPr>
            <w:r>
              <w:rPr>
                <w:sz w:val="18"/>
              </w:rPr>
              <w:t>我的工作台 → IDEAL需求评估 → 患者教育 → 术后视觉辅导 → 投诉回应 → 在线短测</w:t>
            </w:r>
          </w:p>
        </w:tc>
      </w:tr>
      <w:tr>
        <w:trPr>
          <w:cantSplit/>
        </w:trPr>
        <w:tc>
          <w:tcPr>
            <w:tcW w:type="dxa" w:w="2520"/>
            <w:tcMar>
              <w:top w:w="110" w:type="dxa"/>
              <w:start w:w="120" w:type="dxa"/>
              <w:bottom w:w="110" w:type="dxa"/>
              <w:end w:w="120" w:type="dxa"/>
            </w:tcMar>
            <w:vAlign w:val="center"/>
            <w:shd w:fill="F2F6F9"/>
          </w:tcPr>
          <w:p>
            <w:pPr>
              <w:spacing w:after="0" w:line="288" w:lineRule="auto"/>
            </w:pPr>
            <w:r>
              <w:rPr>
                <w:sz w:val="18"/>
              </w:rPr>
              <w:t>护士和检查人员</w:t>
            </w:r>
          </w:p>
        </w:tc>
        <w:tc>
          <w:tcPr>
            <w:tcW w:type="dxa" w:w="7200"/>
            <w:tcMar>
              <w:top w:w="110" w:type="dxa"/>
              <w:start w:w="120" w:type="dxa"/>
              <w:bottom w:w="110" w:type="dxa"/>
              <w:end w:w="120" w:type="dxa"/>
            </w:tcMar>
            <w:vAlign w:val="center"/>
            <w:shd w:fill="F2F6F9"/>
          </w:tcPr>
          <w:p>
            <w:pPr>
              <w:spacing w:after="0" w:line="288" w:lineRule="auto"/>
            </w:pPr>
            <w:r>
              <w:rPr>
                <w:sz w:val="18"/>
              </w:rPr>
              <w:t>患者旅程 → 岗位交接 → 检查或手术节点 → 岗位能力标准 → 在线短测</w:t>
            </w:r>
          </w:p>
        </w:tc>
      </w:tr>
      <w:tr>
        <w:trPr>
          <w:cantSplit/>
        </w:trPr>
        <w:tc>
          <w:tcPr>
            <w:tcW w:type="dxa" w:w="2520"/>
            <w:tcMar>
              <w:top w:w="110" w:type="dxa"/>
              <w:start w:w="120" w:type="dxa"/>
              <w:bottom w:w="110" w:type="dxa"/>
              <w:end w:w="120" w:type="dxa"/>
            </w:tcMar>
            <w:vAlign w:val="center"/>
          </w:tcPr>
          <w:p>
            <w:pPr>
              <w:spacing w:after="0" w:line="288" w:lineRule="auto"/>
            </w:pPr>
            <w:r>
              <w:rPr>
                <w:sz w:val="18"/>
              </w:rPr>
              <w:t>HR/培训经理</w:t>
            </w:r>
          </w:p>
        </w:tc>
        <w:tc>
          <w:tcPr>
            <w:tcW w:type="dxa" w:w="7200"/>
            <w:tcMar>
              <w:top w:w="110" w:type="dxa"/>
              <w:start w:w="120" w:type="dxa"/>
              <w:bottom w:w="110" w:type="dxa"/>
              <w:end w:w="120" w:type="dxa"/>
            </w:tcMar>
            <w:vAlign w:val="center"/>
          </w:tcPr>
          <w:p>
            <w:pPr>
              <w:spacing w:after="0" w:line="288" w:lineRule="auto"/>
            </w:pPr>
            <w:r>
              <w:rPr>
                <w:sz w:val="18"/>
              </w:rPr>
              <w:t>岗位标准 → 学习计划 → 自我评分 → 在线考试 → 改进计划 → 复评</w:t>
            </w:r>
          </w:p>
        </w:tc>
      </w:tr>
      <w:tr>
        <w:trPr>
          <w:cantSplit/>
        </w:trPr>
        <w:tc>
          <w:tcPr>
            <w:tcW w:type="dxa" w:w="2520"/>
            <w:tcMar>
              <w:top w:w="110" w:type="dxa"/>
              <w:start w:w="120" w:type="dxa"/>
              <w:bottom w:w="110" w:type="dxa"/>
              <w:end w:w="120" w:type="dxa"/>
            </w:tcMar>
            <w:vAlign w:val="center"/>
            <w:shd w:fill="F2F6F9"/>
          </w:tcPr>
          <w:p>
            <w:pPr>
              <w:spacing w:after="0" w:line="288" w:lineRule="auto"/>
            </w:pPr>
            <w:r>
              <w:rPr>
                <w:sz w:val="18"/>
              </w:rPr>
              <w:t>PLS BDM和销售人员</w:t>
            </w:r>
          </w:p>
        </w:tc>
        <w:tc>
          <w:tcPr>
            <w:tcW w:type="dxa" w:w="7200"/>
            <w:tcMar>
              <w:top w:w="110" w:type="dxa"/>
              <w:start w:w="120" w:type="dxa"/>
              <w:bottom w:w="110" w:type="dxa"/>
              <w:end w:w="120" w:type="dxa"/>
            </w:tcMar>
            <w:vAlign w:val="center"/>
            <w:shd w:fill="F2F6F9"/>
          </w:tcPr>
          <w:p>
            <w:pPr>
              <w:spacing w:after="0" w:line="288" w:lineRule="auto"/>
            </w:pPr>
            <w:r>
              <w:rPr>
                <w:sz w:val="18"/>
              </w:rPr>
              <w:t>项目介绍 → 医院遴选 → 六大支柱 → 患者旅程 → 决策Q&amp;A → 90天行动 → CEO复盘</w:t>
            </w:r>
          </w:p>
        </w:tc>
      </w:tr>
    </w:tbl>
    <w:p>
      <w:pPr>
        <w:spacing w:after="20"/>
      </w:pPr>
    </w:p>
    <w:p>
      <w:pPr>
        <w:pStyle w:val="Heading1"/>
      </w:pPr>
      <w:r>
        <w:t>十  从一位患者完成MDT接力</w:t>
      </w:r>
    </w:p>
    <w:p>
      <w:pPr>
        <w:pStyle w:val="ListNumber"/>
        <w:spacing w:after="60"/>
      </w:pPr>
      <w:r>
        <w:t>市场或客服记录患者来源与预约信息。</w:t>
      </w:r>
    </w:p>
    <w:p>
      <w:pPr>
        <w:pStyle w:val="ListNumber"/>
        <w:spacing w:after="60"/>
      </w:pPr>
      <w:r>
        <w:t>前台或接待护士完成到院登记和基础医学信息采集。</w:t>
      </w:r>
    </w:p>
    <w:p>
      <w:pPr>
        <w:pStyle w:val="ListNumber"/>
        <w:spacing w:after="60"/>
      </w:pPr>
      <w:r>
        <w:t>咨询师完成简版IDEAL需求访谈，了解生活方式、视觉任务、戴镜意愿和主要顾虑。</w:t>
      </w:r>
    </w:p>
    <w:p>
      <w:pPr>
        <w:pStyle w:val="ListNumber"/>
        <w:spacing w:after="60"/>
      </w:pPr>
      <w:r>
        <w:t>完成基础医学与安全判断、简版需求评估后，再进入分流节点：标准诊疗、PLS深度评估或医生优先复核。</w:t>
      </w:r>
    </w:p>
    <w:p>
      <w:pPr>
        <w:pStyle w:val="ListNumber"/>
        <w:spacing w:after="60"/>
      </w:pPr>
      <w:r>
        <w:t>验光师和特殊检查技师确认检查完整性与数据质量，异常立即升级。</w:t>
      </w:r>
    </w:p>
    <w:p>
      <w:pPr>
        <w:pStyle w:val="ListNumber"/>
        <w:spacing w:after="60"/>
      </w:pPr>
      <w:r>
        <w:t>医生结合病史、检查和需求完成诊断、适应证判断与方案确认。</w:t>
      </w:r>
    </w:p>
    <w:p>
      <w:pPr>
        <w:pStyle w:val="ListNumber"/>
        <w:spacing w:after="60"/>
      </w:pPr>
      <w:r>
        <w:t>咨询师依据医生确认的方案完成患者教育、替代选择、费用与预期沟通，并验证患者理解。</w:t>
      </w:r>
    </w:p>
    <w:p>
      <w:pPr>
        <w:pStyle w:val="ListNumber"/>
        <w:spacing w:after="60"/>
      </w:pPr>
      <w:r>
        <w:t>手术团队核对身份、眼别、手术方案、IOL和关键耗材，完成标准化执行。</w:t>
      </w:r>
    </w:p>
    <w:p>
      <w:pPr>
        <w:pStyle w:val="ListNumber"/>
        <w:spacing w:after="60"/>
      </w:pPr>
      <w:r>
        <w:t>随访护士或咨询师完成节点随访；出现危险信号、光晕眩光或不满意时，按流程升级至医生和质量团队。</w:t>
      </w:r>
    </w:p>
    <w:p>
      <w:pPr>
        <w:pStyle w:val="Heading1"/>
      </w:pPr>
      <w:r>
        <w:t>十一  重要使用边界</w:t>
      </w:r>
    </w:p>
    <w:p>
      <w:pPr>
        <w:pStyle w:val="ListNumber"/>
        <w:spacing w:after="60"/>
      </w:pPr>
      <w:r>
        <w:t>不录入真实患者姓名、电话、身份证号、病历或其他个人敏感信息。</w:t>
      </w:r>
    </w:p>
    <w:p>
      <w:pPr>
        <w:pStyle w:val="ListNumber"/>
        <w:spacing w:after="60"/>
      </w:pPr>
      <w:r>
        <w:t>不把网站中的演示数据当作医院真实数据。</w:t>
      </w:r>
    </w:p>
    <w:p>
      <w:pPr>
        <w:pStyle w:val="ListNumber"/>
        <w:spacing w:after="60"/>
      </w:pPr>
      <w:r>
        <w:t>不使用网站自动判断手术适应证、IOL方案或医保资格。</w:t>
      </w:r>
    </w:p>
    <w:p>
      <w:pPr>
        <w:pStyle w:val="ListNumber"/>
        <w:spacing w:after="60"/>
      </w:pPr>
      <w:r>
        <w:t>不以经营测算结果作为医生病例指标或收入承诺。</w:t>
      </w:r>
    </w:p>
    <w:p>
      <w:pPr>
        <w:pStyle w:val="ListNumber"/>
        <w:spacing w:after="60"/>
      </w:pPr>
      <w:r>
        <w:t>不因患者支付能力较强而放宽医学标准。</w:t>
      </w:r>
    </w:p>
    <w:p>
      <w:pPr>
        <w:pStyle w:val="ListNumber"/>
        <w:spacing w:after="60"/>
      </w:pPr>
      <w:r>
        <w:t>不因地区经济水平较低而省略对合理选择的完整告知。</w:t>
      </w:r>
    </w:p>
    <w:p>
      <w:pPr>
        <w:pStyle w:val="ListNumber"/>
        <w:spacing w:after="60"/>
      </w:pPr>
      <w:r>
        <w:t>不把视觉模拟当作个人术后效果保证。</w:t>
      </w:r>
    </w:p>
    <w:p>
      <w:pPr>
        <w:pStyle w:val="ListNumber"/>
        <w:spacing w:after="60"/>
      </w:pPr>
      <w:r>
        <w:t>出现危险症状、异常检查或患者投诉时，必须及时升级给医生及医院规定的责任人员。</w:t>
      </w:r>
    </w:p>
    <w:p>
      <w:pPr>
        <w:pStyle w:val="ListNumber"/>
        <w:spacing w:after="60"/>
      </w:pPr>
      <w:r>
        <w:t>正式上线前应完成医院品牌、临床、患者教育、产品资料、隐私保护和合规审核。</w:t>
      </w:r>
    </w:p>
    <w:p>
      <w:pPr>
        <w:pStyle w:val="ListNumber"/>
        <w:spacing w:after="60"/>
      </w:pPr>
      <w:r>
        <w:t>公开GitHub Pages不适合承载真实患者资料或医院敏感数据。</w:t>
      </w:r>
    </w:p>
    <w:p>
      <w:pPr>
        <w:pStyle w:val="Heading1"/>
      </w:pPr>
      <w:r>
        <w:t>十二  使用原则</w:t>
      </w:r>
    </w:p>
    <w:p>
      <w:r>
        <w:t>使用Digital PLS时，应始终坚持以患者需求为起点，以医学安全为底线，以医生判断为核心，以充分知情和自主选择为原则，以MDT团队协作为保障，以持续质量改进为长期目标。</w:t>
      </w:r>
    </w:p>
    <w:p>
      <w:r>
        <w:t>Digital PLS的价值，不在于让所有患者都进入PLS路径，而在于帮助医院准确识别真正适合的患者，为他们提供专业、透明、完整的选择，并把一次次高质量服务沉淀为医院可以持续运行的组织能力。</w:t>
      </w:r>
    </w:p>
    <w:sectPr w:rsidR="00FC693F" w:rsidRPr="0006063C" w:rsidSect="00034616">
      <w:headerReference w:type="default" r:id="rId9"/>
      <w:footerReference w:type="default" r:id="rId10"/>
      <w:pgSz w:w="12240" w:h="15840"/>
      <w:pgMar w:top="1080"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olor w:val="69737D"/>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eastAsia="Microsoft YaHei"/>
        <w:color w:val="69737D"/>
        <w:sz w:val="16"/>
      </w:rPr>
      <w:t>Digital PLS MVP网站使用说明</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4" w:lineRule="auto"/>
    </w:pPr>
    <w:rPr>
      <w:rFonts w:ascii="Microsoft YaHei" w:hAnsi="Microsoft YaHei" w:eastAsia="Microsoft YaHei"/>
      <w:color w:val="232D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Microsoft YaHei" w:hAnsi="Microsoft YaHei" w:eastAsia="Microsoft YaHe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Microsoft YaHei" w:hAnsi="Microsoft YaHe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Microsoft YaHei" w:hAnsi="Microsoft YaHei" w:eastAsia="Microsoft Ya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jc w:val="center"/>
    </w:pPr>
    <w:rPr>
      <w:rFonts w:asciiTheme="majorHAnsi" w:eastAsiaTheme="majorEastAsia" w:hAnsiTheme="majorHAnsi" w:cstheme="majorBidi" w:ascii="Microsoft YaHei" w:hAnsi="Microsoft YaHei" w:eastAsia="Microsoft YaHe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Subtitle">
    <w:name w:val="Guide Subtitle"/>
    <w:pPr>
      <w:spacing w:after="320"/>
      <w:jc w:val="center"/>
    </w:pPr>
    <w:rPr>
      <w:rFonts w:ascii="Microsoft YaHei" w:hAnsi="Microsoft YaHei" w:eastAsia="Microsoft YaHei"/>
      <w:color w:val="465562"/>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PLS MVP网站使用说明</dc:title>
  <dc:subject>供PLS客户与强生眼力健内部员工使用的Digital PLS MVP指南</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