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b w:val="0"/>
        </w:rPr>
        <w:t>漂浮舱水质消杀合规与安全评估报告：氯/溴消杀剂的法规困境、健康危害与工程风险汇总</w:t>
      </w:r>
    </w:p>
    <w:p>
      <w:pPr>
        <w:ind w:left="360"/>
      </w:pPr>
      <w:r>
        <w:rPr>
          <w:rFonts w:ascii="微软雅黑" w:hAnsi="微软雅黑" w:eastAsia="微软雅黑"/>
          <w:b w:val="0"/>
          <w:color w:val="555555"/>
        </w:rPr>
        <w:t>内部参考｜2026-09-04｜用于专利撰写启发，</w:t>
      </w:r>
      <w:r>
        <w:rPr>
          <w:rFonts w:ascii="微软雅黑" w:hAnsi="微软雅黑" w:eastAsia="微软雅黑"/>
          <w:b/>
          <w:color w:val="555555"/>
        </w:rPr>
        <w:t>不是</w:t>
      </w:r>
      <w:r>
        <w:rPr>
          <w:rFonts w:ascii="微软雅黑" w:hAnsi="微软雅黑" w:eastAsia="微软雅黑"/>
          <w:b w:val="0"/>
          <w:color w:val="555555"/>
        </w:rPr>
        <w:t xml:space="preserve">申请文件，也不是法律意见。 过闸结论见 </w:t>
      </w:r>
      <w:r>
        <w:rPr>
          <w:rFonts w:ascii="微软雅黑" w:hAnsi="微软雅黑" w:eastAsia="微软雅黑"/>
          <w:color w:val="555555"/>
        </w:rPr>
        <w:t>PAT-PRI-042</w:t>
      </w:r>
      <w:r>
        <w:rPr>
          <w:rFonts w:ascii="微软雅黑" w:hAnsi="微软雅黑" w:eastAsia="微软雅黑"/>
          <w:b w:val="0"/>
          <w:color w:val="555555"/>
        </w:rPr>
        <w:t>、</w:t>
      </w:r>
      <w:r>
        <w:rPr>
          <w:rFonts w:ascii="微软雅黑" w:hAnsi="微软雅黑" w:eastAsia="微软雅黑"/>
          <w:color w:val="555555"/>
        </w:rPr>
        <w:t>PAT-SEED-001</w:t>
      </w:r>
      <w:r>
        <w:rPr>
          <w:rFonts w:ascii="微软雅黑" w:hAnsi="微软雅黑" w:eastAsia="微软雅黑"/>
          <w:b w:val="0"/>
          <w:color w:val="555555"/>
        </w:rPr>
        <w:t>。法规与伤害描述可以写进</w:t>
      </w:r>
      <w:r>
        <w:rPr>
          <w:rFonts w:ascii="微软雅黑" w:hAnsi="微软雅黑" w:eastAsia="微软雅黑"/>
          <w:b/>
          <w:color w:val="555555"/>
        </w:rPr>
        <w:t>背景</w:t>
      </w:r>
      <w:r>
        <w:rPr>
          <w:rFonts w:ascii="微软雅黑" w:hAnsi="微软雅黑" w:eastAsia="微软雅黑"/>
          <w:b w:val="0"/>
          <w:color w:val="555555"/>
        </w:rPr>
        <w:t>，不能写成权利要求。</w:t>
      </w:r>
    </w:p>
    <w:p/>
    <w:p>
      <w:pPr>
        <w:pStyle w:val="Heading2"/>
      </w:pPr>
      <w:r>
        <w:rPr>
          <w:rFonts w:ascii="微软雅黑" w:hAnsi="微软雅黑" w:eastAsia="微软雅黑"/>
          <w:b w:val="0"/>
        </w:rPr>
        <w:t>1. 监管法规与合规困境（EPA FIFRA 与州级法规冲突）</w:t>
      </w:r>
    </w:p>
    <w:p>
      <w:pPr>
        <w:pStyle w:val="Heading3"/>
      </w:pPr>
      <w:r>
        <w:rPr>
          <w:rFonts w:ascii="微软雅黑" w:hAnsi="微软雅黑" w:eastAsia="微软雅黑"/>
          <w:b w:val="0"/>
        </w:rPr>
        <w:t>1.1 美国联邦 EPA 与 FIFRA 法规底线</w:t>
      </w:r>
    </w:p>
    <w:p>
      <w:pPr>
        <w:pStyle w:val="ListBullet"/>
      </w:pPr>
      <w:r>
        <w:rPr>
          <w:rFonts w:ascii="微软雅黑" w:hAnsi="微软雅黑" w:eastAsia="微软雅黑"/>
          <w:b/>
        </w:rPr>
        <w:t>《联邦杀虫剂、杀菌剂和杀鼠剂法》（FIFRA）的核心准则</w:t>
      </w:r>
      <w:r>
        <w:rPr>
          <w:rFonts w:ascii="微软雅黑" w:hAnsi="微软雅黑" w:eastAsia="微软雅黑"/>
          <w:b w:val="0"/>
        </w:rPr>
        <w:t>：</w:t>
      </w:r>
    </w:p>
    <w:p>
      <w:pPr>
        <w:pStyle w:val="ListBullet"/>
      </w:pPr>
      <w:r>
        <w:rPr>
          <w:rFonts w:ascii="微软雅黑" w:hAnsi="微软雅黑" w:eastAsia="微软雅黑"/>
          <w:b w:val="0"/>
        </w:rPr>
        <w:t>在美国，所有用于水体消毒、抑菌的化学品均属于 FIFRA 管辖范畴。</w:t>
      </w:r>
    </w:p>
    <w:p>
      <w:pPr>
        <w:pStyle w:val="ListBullet"/>
      </w:pPr>
      <w:r>
        <w:rPr>
          <w:rFonts w:ascii="微软雅黑" w:hAnsi="微软雅黑" w:eastAsia="微软雅黑"/>
          <w:b/>
        </w:rPr>
        <w:t>"The Label is the Law"（标签即法律）</w:t>
      </w:r>
      <w:r>
        <w:rPr>
          <w:rFonts w:ascii="微软雅黑" w:hAnsi="微软雅黑" w:eastAsia="微软雅黑"/>
          <w:b w:val="0"/>
        </w:rPr>
        <w:t>：根据 FIFRA 第 12(a)(2)(G) 条，以任何与产品注册标签说明（Directions for Use）不符的方式使用 EPA 注册农药/消毒剂，均属</w:t>
      </w:r>
      <w:r>
        <w:rPr>
          <w:rFonts w:ascii="微软雅黑" w:hAnsi="微软雅黑" w:eastAsia="微软雅黑"/>
          <w:b/>
        </w:rPr>
        <w:t>联邦违法行为（Federal Violation）</w:t>
      </w:r>
      <w:r>
        <w:rPr>
          <w:rFonts w:ascii="微软雅黑" w:hAnsi="微软雅黑" w:eastAsia="微软雅黑"/>
          <w:b w:val="0"/>
        </w:rPr>
        <w:t>。</w:t>
      </w:r>
    </w:p>
    <w:p>
      <w:pPr>
        <w:pStyle w:val="ListBullet"/>
      </w:pPr>
      <w:r>
        <w:rPr>
          <w:rFonts w:ascii="微软雅黑" w:hAnsi="微软雅黑" w:eastAsia="微软雅黑"/>
          <w:b/>
        </w:rPr>
        <w:t>漂浮舱应用场景的未注册现状</w:t>
      </w:r>
      <w:r>
        <w:rPr>
          <w:rFonts w:ascii="微软雅黑" w:hAnsi="微软雅黑" w:eastAsia="微软雅黑"/>
          <w:b w:val="0"/>
        </w:rPr>
        <w:t>：</w:t>
      </w:r>
    </w:p>
    <w:p>
      <w:pPr>
        <w:pStyle w:val="ListBullet"/>
      </w:pPr>
      <w:r>
        <w:rPr>
          <w:rFonts w:ascii="微软雅黑" w:hAnsi="微软雅黑" w:eastAsia="微软雅黑"/>
          <w:b w:val="0"/>
        </w:rPr>
        <w:t>市场上流通的商用氯（如次氯酸钠、三氯异氰尿酸）和溴（如 BCDMH）产品的 EPA 注册标签，其批准场景仅限于</w:t>
      </w:r>
      <w:r>
        <w:rPr>
          <w:rFonts w:ascii="微软雅黑" w:hAnsi="微软雅黑" w:eastAsia="微软雅黑"/>
          <w:b/>
        </w:rPr>
        <w:t>传统游泳池（Swimming Pools）、商用温泉/热水浴缸（Hot Tubs/Spas）</w:t>
      </w:r>
      <w:r>
        <w:rPr>
          <w:rFonts w:ascii="微软雅黑" w:hAnsi="微软雅黑" w:eastAsia="微软雅黑"/>
          <w:b w:val="0"/>
        </w:rPr>
        <w:t>。</w:t>
      </w:r>
    </w:p>
    <w:p>
      <w:pPr>
        <w:pStyle w:val="ListBullet"/>
      </w:pPr>
      <w:r>
        <w:rPr>
          <w:rFonts w:ascii="微软雅黑" w:hAnsi="微软雅黑" w:eastAsia="微软雅黑"/>
          <w:b w:val="0"/>
        </w:rPr>
        <w:t>截至目前，</w:t>
      </w:r>
      <w:r>
        <w:rPr>
          <w:rFonts w:ascii="微软雅黑" w:hAnsi="微软雅黑" w:eastAsia="微软雅黑"/>
          <w:b/>
        </w:rPr>
        <w:t>没有任何一款氯或溴消杀剂针对“高浓度硫酸镁（22%–30% MgSO₄）密闭漂浮舱”获得过 EPA 专项注册或标签扩展许可</w:t>
      </w:r>
      <w:r>
        <w:rPr>
          <w:rFonts w:ascii="微软雅黑" w:hAnsi="微软雅黑" w:eastAsia="微软雅黑"/>
          <w:b w:val="0"/>
        </w:rPr>
        <w:t>。将泳池用氯/溴投入高盐密闭漂浮舱，法律实质上属于</w:t>
      </w:r>
      <w:r>
        <w:rPr>
          <w:rFonts w:ascii="微软雅黑" w:hAnsi="微软雅黑" w:eastAsia="微软雅黑"/>
          <w:b/>
        </w:rPr>
        <w:t>超标签使用（Off-label Use）</w:t>
      </w:r>
      <w:r>
        <w:rPr>
          <w:rFonts w:ascii="微软雅黑" w:hAnsi="微软雅黑" w:eastAsia="微软雅黑"/>
          <w:b w:val="0"/>
        </w:rPr>
        <w:t>。</w:t>
      </w:r>
    </w:p>
    <w:p>
      <w:pPr>
        <w:pStyle w:val="Heading3"/>
      </w:pPr>
      <w:r>
        <w:rPr>
          <w:rFonts w:ascii="微软雅黑" w:hAnsi="微软雅黑" w:eastAsia="微软雅黑"/>
          <w:b w:val="0"/>
        </w:rPr>
        <w:t>1.2 联邦与州/地方卫生局（HD）的“监管夹缝”</w:t>
      </w:r>
    </w:p>
    <w:p>
      <w:pPr>
        <w:pStyle w:val="ListBullet"/>
      </w:pPr>
      <w:r>
        <w:rPr>
          <w:rFonts w:ascii="微软雅黑" w:hAnsi="微软雅黑" w:eastAsia="微软雅黑"/>
          <w:b/>
        </w:rPr>
        <w:t>地方卫生局的惯性套用</w:t>
      </w:r>
      <w:r>
        <w:rPr>
          <w:rFonts w:ascii="微软雅黑" w:hAnsi="微软雅黑" w:eastAsia="微软雅黑"/>
          <w:b w:val="0"/>
        </w:rPr>
        <w:t>：</w:t>
      </w:r>
    </w:p>
    <w:p>
      <w:pPr>
        <w:pStyle w:val="ListBullet"/>
      </w:pPr>
      <w:r>
        <w:rPr>
          <w:rFonts w:ascii="微软雅黑" w:hAnsi="微软雅黑" w:eastAsia="微软雅黑"/>
          <w:b w:val="0"/>
        </w:rPr>
        <w:t>美国部分州及县级卫生监管部门缺乏对漂浮舱特殊流体与密闭物理环境的认知，往往机械套用公立泳池/水疗馆规范（如要求水中必须维持 1–3 ppm 游离余氯或 3–5 ppm 游离溴的“持续化学残留”）。</w:t>
      </w:r>
    </w:p>
    <w:p>
      <w:pPr>
        <w:pStyle w:val="ListBullet"/>
      </w:pPr>
      <w:r>
        <w:rPr>
          <w:rFonts w:ascii="微软雅黑" w:hAnsi="微软雅黑" w:eastAsia="微软雅黑"/>
          <w:b/>
        </w:rPr>
        <w:t>业界的双重合规陷阱</w:t>
      </w:r>
      <w:r>
        <w:rPr>
          <w:rFonts w:ascii="微软雅黑" w:hAnsi="微软雅黑" w:eastAsia="微软雅黑"/>
          <w:b w:val="0"/>
        </w:rPr>
        <w:t>：</w:t>
      </w:r>
    </w:p>
    <w:p>
      <w:pPr>
        <w:pStyle w:val="ListBullet"/>
      </w:pPr>
      <w:r>
        <w:rPr>
          <w:rFonts w:ascii="微软雅黑" w:hAnsi="微软雅黑" w:eastAsia="微软雅黑"/>
          <w:b/>
        </w:rPr>
        <w:t>遵从地方卫生局要求加氯/溴</w:t>
      </w:r>
      <w:r>
        <w:rPr>
          <w:rFonts w:ascii="微软雅黑" w:hAnsi="微软雅黑" w:eastAsia="微软雅黑"/>
          <w:b w:val="0"/>
        </w:rPr>
        <w:t xml:space="preserve"> → 触犯联邦 FIFRA“超标签使用”法规，并面临用户人身伤害诉讼风险；</w:t>
      </w:r>
    </w:p>
    <w:p>
      <w:pPr>
        <w:pStyle w:val="ListBullet"/>
      </w:pPr>
      <w:r>
        <w:rPr>
          <w:rFonts w:ascii="微软雅黑" w:hAnsi="微软雅黑" w:eastAsia="微软雅黑"/>
          <w:b/>
        </w:rPr>
        <w:t>遵从无氯/无溴标准（采用 UV + 臭氧 + 双氧水或高级氧化）</w:t>
      </w:r>
      <w:r>
        <w:rPr>
          <w:rFonts w:ascii="微软雅黑" w:hAnsi="微软雅黑" w:eastAsia="微软雅黑"/>
          <w:b w:val="0"/>
        </w:rPr>
        <w:t xml:space="preserve"> → 虽符合设备原理与用户安全，但在尚未采纳 CDC 最新指引的州面临拿不到营业许可或被勒令停业的行政风险。</w:t>
      </w:r>
    </w:p>
    <w:p/>
    <w:p>
      <w:pPr>
        <w:pStyle w:val="Heading2"/>
      </w:pPr>
      <w:r>
        <w:rPr>
          <w:rFonts w:ascii="微软雅黑" w:hAnsi="微软雅黑" w:eastAsia="微软雅黑"/>
          <w:b w:val="0"/>
        </w:rPr>
        <w:t>2. 气体逸散与密闭头空间聚集（Inhalation Hazard &amp; Off-gassing）</w:t>
      </w:r>
    </w:p>
    <w:p>
      <w:pPr>
        <w:jc w:val="left"/>
      </w:pPr>
      <w:r>
        <w:rPr>
          <w:rFonts w:ascii="微软雅黑" w:hAnsi="微软雅黑" w:eastAsia="微软雅黑"/>
          <w:b w:val="0"/>
        </w:rPr>
        <w:t>漂浮舱与开敞式泳池或通风良好的普通 Spa 存在本质区别：</w:t>
      </w:r>
      <w:r>
        <w:rPr>
          <w:rFonts w:ascii="微软雅黑" w:hAnsi="微软雅黑" w:eastAsia="微软雅黑"/>
          <w:b/>
        </w:rPr>
        <w:t>舱门闭合、气室体积小（头空间仅数百升）、无强制对流强排</w:t>
      </w:r>
      <w:r>
        <w:rPr>
          <w:rFonts w:ascii="微软雅黑" w:hAnsi="微软雅黑" w:eastAsia="微软雅黑"/>
          <w:b w:val="0"/>
        </w:rPr>
        <w:t>。</w:t>
      </w:r>
    </w:p>
    <w:p>
      <w:pPr>
        <w:pStyle w:val="Heading3"/>
      </w:pPr>
      <w:r>
        <w:rPr>
          <w:rFonts w:ascii="微软雅黑" w:hAnsi="微软雅黑" w:eastAsia="微软雅黑"/>
          <w:b w:val="0"/>
        </w:rPr>
        <w:t>2.1 挥发性副产物在头空间的极端聚集</w:t>
      </w:r>
    </w:p>
    <w:p>
      <w:pPr>
        <w:pStyle w:val="ListBullet"/>
      </w:pPr>
      <w:r>
        <w:rPr>
          <w:rFonts w:ascii="微软雅黑" w:hAnsi="微软雅黑" w:eastAsia="微软雅黑"/>
          <w:b/>
        </w:rPr>
        <w:t>溴与溴胺的易挥发特性</w:t>
      </w:r>
      <w:r>
        <w:rPr>
          <w:rFonts w:ascii="微软雅黑" w:hAnsi="微软雅黑" w:eastAsia="微软雅黑"/>
          <w:b w:val="0"/>
        </w:rPr>
        <w:t>：</w:t>
      </w:r>
    </w:p>
    <w:p>
      <w:pPr>
        <w:pStyle w:val="ListBullet"/>
      </w:pPr>
      <w:r>
        <w:rPr>
          <w:rFonts w:ascii="微软雅黑" w:hAnsi="微软雅黑" w:eastAsia="微软雅黑"/>
          <w:b w:val="0"/>
        </w:rPr>
        <w:t>溴在酸碱度微变及 34.5°C–35.5°C 的近体温液体中，极易形成挥发性游离溴单质、溴化氢及有机溴副产物。</w:t>
      </w:r>
    </w:p>
    <w:p>
      <w:pPr>
        <w:pStyle w:val="ListBullet"/>
      </w:pPr>
      <w:r>
        <w:rPr>
          <w:rFonts w:ascii="微软雅黑" w:hAnsi="微软雅黑" w:eastAsia="微软雅黑"/>
          <w:b w:val="0"/>
        </w:rPr>
        <w:t>相比开敞环境，漂浮舱微小气室内缺乏气流扩散条件，挥发性气体直接在液面与顶部舱壳之间的“头空间（Headspace）”内积聚。</w:t>
      </w:r>
    </w:p>
    <w:p>
      <w:pPr>
        <w:pStyle w:val="ListBullet"/>
      </w:pPr>
      <w:r>
        <w:rPr>
          <w:rFonts w:ascii="微软雅黑" w:hAnsi="微软雅黑" w:eastAsia="微软雅黑"/>
          <w:b/>
        </w:rPr>
        <w:t>高浓度三卤甲烷（THMs）与卤胺毒性</w:t>
      </w:r>
      <w:r>
        <w:rPr>
          <w:rFonts w:ascii="微软雅黑" w:hAnsi="微软雅黑" w:eastAsia="微软雅黑"/>
          <w:b w:val="0"/>
        </w:rPr>
        <w:t>：</w:t>
      </w:r>
    </w:p>
    <w:p>
      <w:pPr>
        <w:pStyle w:val="ListBullet"/>
      </w:pPr>
      <w:r>
        <w:rPr>
          <w:rFonts w:ascii="微软雅黑" w:hAnsi="微软雅黑" w:eastAsia="微软雅黑"/>
          <w:b w:val="0"/>
        </w:rPr>
        <w:t>使用者身体皮屑、汗液微量有机物与高活性卤素反应，生成单氯胺、二氯胺、三氯化氮（NCl₃）及溴代三卤甲烷。</w:t>
      </w:r>
    </w:p>
    <w:p>
      <w:pPr>
        <w:pStyle w:val="ListBullet"/>
      </w:pPr>
      <w:r>
        <w:rPr>
          <w:rFonts w:ascii="微软雅黑" w:hAnsi="微软雅黑" w:eastAsia="微软雅黑"/>
          <w:b w:val="0"/>
        </w:rPr>
        <w:t>漂浮者口鼻距离液面仅几厘米，呼吸带处于挥发气体积聚浓度最高的核心区域，导致呼吸道灼痛、剧烈咳嗽、胸闷及黏膜化学性急性炎症。</w:t>
      </w:r>
    </w:p>
    <w:p>
      <w:pPr>
        <w:pStyle w:val="Heading3"/>
      </w:pPr>
      <w:r>
        <w:rPr>
          <w:rFonts w:ascii="微软雅黑" w:hAnsi="微软雅黑" w:eastAsia="微软雅黑"/>
          <w:b w:val="0"/>
        </w:rPr>
        <w:t>2.2 彻底破坏“感官剥夺”的核心体验</w:t>
      </w:r>
    </w:p>
    <w:p>
      <w:pPr>
        <w:pStyle w:val="ListBullet"/>
      </w:pPr>
      <w:r>
        <w:rPr>
          <w:rFonts w:ascii="微软雅黑" w:hAnsi="微软雅黑" w:eastAsia="微软雅黑"/>
          <w:b/>
        </w:rPr>
        <w:t>低刺激阈值冲突</w:t>
      </w:r>
      <w:r>
        <w:rPr>
          <w:rFonts w:ascii="微软雅黑" w:hAnsi="微软雅黑" w:eastAsia="微软雅黑"/>
          <w:b w:val="0"/>
        </w:rPr>
        <w:t>：</w:t>
      </w:r>
    </w:p>
    <w:p>
      <w:pPr>
        <w:pStyle w:val="ListBullet"/>
      </w:pPr>
      <w:r>
        <w:rPr>
          <w:rFonts w:ascii="微软雅黑" w:hAnsi="微软雅黑" w:eastAsia="微软雅黑"/>
          <w:b w:val="0"/>
        </w:rPr>
        <w:t>漂浮体验依赖全黑、全静、无触觉刺激的极低感知背景。</w:t>
      </w:r>
    </w:p>
    <w:p>
      <w:pPr>
        <w:pStyle w:val="ListBullet"/>
      </w:pPr>
      <w:r>
        <w:rPr>
          <w:rFonts w:ascii="微软雅黑" w:hAnsi="微软雅黑" w:eastAsia="微软雅黑"/>
          <w:b w:val="0"/>
        </w:rPr>
        <w:t>氯胺与挥发溴具有强烈的刺鼻异味，在密闭微环境中气味被成倍放大，直接破坏放松状态甚至引发幽闭综合征与恶心反应。</w:t>
      </w:r>
    </w:p>
    <w:p/>
    <w:p>
      <w:pPr>
        <w:pStyle w:val="Heading2"/>
      </w:pPr>
      <w:r>
        <w:rPr>
          <w:rFonts w:ascii="微软雅黑" w:hAnsi="微软雅黑" w:eastAsia="微软雅黑"/>
          <w:b w:val="0"/>
        </w:rPr>
        <w:t>3. 人体健康与生理接触危害（长时间浸泡）</w:t>
      </w:r>
    </w:p>
    <w:p>
      <w:pPr>
        <w:jc w:val="left"/>
      </w:pPr>
      <w:r>
        <w:rPr>
          <w:rFonts w:ascii="微软雅黑" w:hAnsi="微软雅黑" w:eastAsia="微软雅黑"/>
          <w:b w:val="0"/>
        </w:rPr>
        <w:t xml:space="preserve">漂浮单次时长通常长达 </w:t>
      </w:r>
      <w:r>
        <w:rPr>
          <w:rFonts w:ascii="微软雅黑" w:hAnsi="微软雅黑" w:eastAsia="微软雅黑"/>
          <w:b/>
        </w:rPr>
        <w:t>45–90 分钟</w:t>
      </w:r>
      <w:r>
        <w:rPr>
          <w:rFonts w:ascii="微软雅黑" w:hAnsi="微软雅黑" w:eastAsia="微软雅黑"/>
          <w:b w:val="0"/>
        </w:rPr>
        <w:t>，且全身几乎无衣物大面积裸露浸泡，这与普通沐浴存在代际差异：</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接触部位</w:t>
            </w:r>
          </w:p>
        </w:tc>
        <w:tc>
          <w:tcPr>
            <w:tcW w:type="dxa" w:w="4320"/>
          </w:tcPr>
          <w:p>
            <w:r/>
            <w:r>
              <w:rPr>
                <w:rFonts w:ascii="微软雅黑" w:hAnsi="微软雅黑" w:eastAsia="微软雅黑"/>
                <w:b/>
              </w:rPr>
              <w:t>氯/溴在漂浮高盐环境下的危害机制</w:t>
            </w:r>
          </w:p>
        </w:tc>
      </w:tr>
      <w:tr>
        <w:tc>
          <w:tcPr>
            <w:tcW w:type="dxa" w:w="4320"/>
          </w:tcPr>
          <w:p>
            <w:r/>
            <w:r>
              <w:rPr>
                <w:rFonts w:ascii="微软雅黑" w:hAnsi="微软雅黑" w:eastAsia="微软雅黑"/>
                <w:b/>
              </w:rPr>
              <w:t>眼部黏膜</w:t>
            </w:r>
          </w:p>
        </w:tc>
        <w:tc>
          <w:tcPr>
            <w:tcW w:type="dxa" w:w="4320"/>
          </w:tcPr>
          <w:p>
            <w:r/>
            <w:r>
              <w:rPr>
                <w:rFonts w:ascii="微软雅黑" w:hAnsi="微软雅黑" w:eastAsia="微软雅黑"/>
                <w:b w:val="0"/>
              </w:rPr>
              <w:t>高盐环境本身具有高渗透压，当水滴误入眼部已有强烈刺痛感；若水中含有活性游离氯、溴或卤胺，强氧化性会迅速破坏角膜上皮屏障，造成</w:t>
            </w:r>
            <w:r>
              <w:rPr>
                <w:rFonts w:ascii="微软雅黑" w:hAnsi="微软雅黑" w:eastAsia="微软雅黑"/>
                <w:b/>
              </w:rPr>
              <w:t>化学性结膜炎及角膜微化学灼伤</w:t>
            </w:r>
            <w:r>
              <w:rPr>
                <w:rFonts w:ascii="微软雅黑" w:hAnsi="微软雅黑" w:eastAsia="微软雅黑"/>
                <w:b w:val="0"/>
              </w:rPr>
              <w:t>。</w:t>
            </w:r>
          </w:p>
        </w:tc>
      </w:tr>
      <w:tr>
        <w:tc>
          <w:tcPr>
            <w:tcW w:type="dxa" w:w="4320"/>
          </w:tcPr>
          <w:p>
            <w:r/>
            <w:r>
              <w:rPr>
                <w:rFonts w:ascii="微软雅黑" w:hAnsi="微软雅黑" w:eastAsia="微软雅黑"/>
                <w:b/>
              </w:rPr>
              <w:t>皮肤屏障</w:t>
            </w:r>
          </w:p>
        </w:tc>
        <w:tc>
          <w:tcPr>
            <w:tcW w:type="dxa" w:w="4320"/>
          </w:tcPr>
          <w:p>
            <w:r/>
            <w:r>
              <w:rPr>
                <w:rFonts w:ascii="微软雅黑" w:hAnsi="微软雅黑" w:eastAsia="微软雅黑"/>
                <w:b w:val="0"/>
              </w:rPr>
              <w:t>45–90 分钟的连续浸泡使角质层水合过度。高浓度卤素会使角质蛋白变性、剥离皮脂膜，导致出舱后严重脱屑、剧烈瘙痒及接触性皮炎（尤其是“溴疹”Bromine Rash）。</w:t>
            </w:r>
          </w:p>
        </w:tc>
      </w:tr>
      <w:tr>
        <w:tc>
          <w:tcPr>
            <w:tcW w:type="dxa" w:w="4320"/>
          </w:tcPr>
          <w:p>
            <w:r/>
            <w:r>
              <w:rPr>
                <w:rFonts w:ascii="微软雅黑" w:hAnsi="微软雅黑" w:eastAsia="微软雅黑"/>
                <w:b/>
              </w:rPr>
              <w:t>呼吸系统</w:t>
            </w:r>
          </w:p>
        </w:tc>
        <w:tc>
          <w:tcPr>
            <w:tcW w:type="dxa" w:w="4320"/>
          </w:tcPr>
          <w:p>
            <w:r/>
            <w:r>
              <w:rPr>
                <w:rFonts w:ascii="微软雅黑" w:hAnsi="微软雅黑" w:eastAsia="微软雅黑"/>
                <w:b w:val="0"/>
              </w:rPr>
              <w:t>仰卧姿态下呼吸频率减缓、潮气量增加，吸入富含挥发溴/三氯化氮的湿热头空间空气，极易诱发气道高反应性与化学性支气管痉挛。</w:t>
            </w:r>
          </w:p>
        </w:tc>
      </w:tr>
    </w:tbl>
    <w:p/>
    <w:p/>
    <w:p>
      <w:pPr>
        <w:pStyle w:val="Heading2"/>
      </w:pPr>
      <w:r>
        <w:rPr>
          <w:rFonts w:ascii="微软雅黑" w:hAnsi="微软雅黑" w:eastAsia="微软雅黑"/>
          <w:b w:val="0"/>
        </w:rPr>
        <w:t>4. 腐蚀与设备硬件劣化（高盐 + 强氧化剂双重催化）</w:t>
      </w:r>
    </w:p>
    <w:p>
      <w:pPr>
        <w:jc w:val="left"/>
      </w:pPr>
      <w:r>
        <w:rPr>
          <w:rFonts w:ascii="微软雅黑" w:hAnsi="微软雅黑" w:eastAsia="微软雅黑"/>
          <w:b w:val="0"/>
        </w:rPr>
        <w:t>25%–30% 硫酸镁溶液本身就是高电导率、高腐蚀倾向的介质，加入氯/溴等强氧化剂后，设备材料面临加速损毁：</w:t>
      </w:r>
    </w:p>
    <w:p>
      <w:pPr>
        <w:pStyle w:val="ListNumber"/>
      </w:pPr>
      <w:r>
        <w:rPr>
          <w:rFonts w:ascii="微软雅黑" w:hAnsi="微软雅黑" w:eastAsia="微软雅黑"/>
          <w:b/>
        </w:rPr>
        <w:t>不锈钢钝化膜击穿（点蚀与应力腐蚀破裂）</w:t>
      </w:r>
      <w:r>
        <w:rPr>
          <w:rFonts w:ascii="微软雅黑" w:hAnsi="微软雅黑" w:eastAsia="微软雅黑"/>
          <w:b w:val="0"/>
        </w:rPr>
        <w:t>：</w:t>
      </w:r>
    </w:p>
    <w:p>
      <w:pPr>
        <w:pStyle w:val="ListBullet"/>
      </w:pPr>
      <w:r>
        <w:rPr>
          <w:rFonts w:ascii="微软雅黑" w:hAnsi="微软雅黑" w:eastAsia="微软雅黑"/>
          <w:b w:val="0"/>
        </w:rPr>
        <w:t>即使是 316L 级卫生级不锈钢，在高浓度卤素离子与硫酸镁的协同电化学腐蚀下，表面氧化铬钝化膜极易被局部击穿，导致加热管外壳、循环泵轴、紧固件发生点蚀与晶间断裂。</w:t>
      </w:r>
    </w:p>
    <w:p>
      <w:pPr>
        <w:pStyle w:val="ListNumber"/>
      </w:pPr>
      <w:r>
        <w:rPr>
          <w:rFonts w:ascii="微软雅黑" w:hAnsi="微软雅黑" w:eastAsia="微软雅黑"/>
          <w:b/>
        </w:rPr>
        <w:t>密封件与管路聚合物硬化失效</w:t>
      </w:r>
      <w:r>
        <w:rPr>
          <w:rFonts w:ascii="微软雅黑" w:hAnsi="微软雅黑" w:eastAsia="微软雅黑"/>
          <w:b w:val="0"/>
        </w:rPr>
        <w:t>：</w:t>
      </w:r>
    </w:p>
    <w:p>
      <w:pPr>
        <w:pStyle w:val="ListBullet"/>
      </w:pPr>
      <w:r>
        <w:rPr>
          <w:rFonts w:ascii="微软雅黑" w:hAnsi="微软雅黑" w:eastAsia="微软雅黑"/>
          <w:b w:val="0"/>
        </w:rPr>
        <w:t>常用耐盐耐温密封圈（如 EPDM、NBR、硅胶）在游离卤素氧化下加速交联老化，迅速发硬、脆化、龟裂，导致循环泵阀轴封渗漏。</w:t>
      </w:r>
    </w:p>
    <w:p>
      <w:pPr>
        <w:pStyle w:val="ListNumber"/>
      </w:pPr>
      <w:r>
        <w:rPr>
          <w:rFonts w:ascii="微软雅黑" w:hAnsi="微软雅黑" w:eastAsia="微软雅黑"/>
          <w:b/>
        </w:rPr>
        <w:t>高盐传感器交叉干扰与电极中毒</w:t>
      </w:r>
      <w:r>
        <w:rPr>
          <w:rFonts w:ascii="微软雅黑" w:hAnsi="微软雅黑" w:eastAsia="微软雅黑"/>
          <w:b w:val="0"/>
        </w:rPr>
        <w:t>：</w:t>
      </w:r>
    </w:p>
    <w:p>
      <w:pPr>
        <w:pStyle w:val="ListBullet"/>
      </w:pPr>
      <w:r>
        <w:rPr>
          <w:rFonts w:ascii="微软雅黑" w:hAnsi="微软雅黑" w:eastAsia="微软雅黑"/>
          <w:b w:val="0"/>
        </w:rPr>
        <w:t>传统用于泳池的 DPD 比色计、在线余氯/余溴安培法探头在高离子强度（25% 盐溶液）下存在严重的盐效应基底干扰，读数严重漂移或失准；</w:t>
      </w:r>
    </w:p>
    <w:p>
      <w:pPr>
        <w:pStyle w:val="ListBullet"/>
      </w:pPr>
      <w:r>
        <w:rPr>
          <w:rFonts w:ascii="微软雅黑" w:hAnsi="微软雅黑" w:eastAsia="微软雅黑"/>
          <w:b w:val="0"/>
        </w:rPr>
        <w:t>强氧化性加速钝化测量电极表面，导致系统无法准确自控加药量，引发“过量投药—腐蚀加剧”的恶性循环。</w:t>
      </w:r>
    </w:p>
    <w:p/>
    <w:p>
      <w:pPr>
        <w:pStyle w:val="Heading2"/>
      </w:pPr>
      <w:r>
        <w:rPr>
          <w:rFonts w:ascii="微软雅黑" w:hAnsi="微软雅黑" w:eastAsia="微软雅黑"/>
          <w:b w:val="0"/>
        </w:rPr>
        <w:t>5. 业界现状与推荐替代技术路径</w:t>
      </w:r>
    </w:p>
    <w:p>
      <w:pPr>
        <w:jc w:val="left"/>
      </w:pPr>
      <w:r>
        <w:rPr>
          <w:rFonts w:ascii="微软雅黑" w:hAnsi="微软雅黑" w:eastAsia="微软雅黑"/>
          <w:b w:val="0"/>
        </w:rPr>
        <w:t>目前全美漂浮健康协会（FTA）及国内外主流设备制造商已达成广泛共识：</w:t>
      </w:r>
      <w:r>
        <w:rPr>
          <w:rFonts w:ascii="微软雅黑" w:hAnsi="微软雅黑" w:eastAsia="微软雅黑"/>
          <w:b/>
        </w:rPr>
        <w:t>坚决不推荐在漂浮舱中使用氯、溴作为主消杀手段</w:t>
      </w:r>
      <w:r>
        <w:rPr>
          <w:rFonts w:ascii="微软雅黑" w:hAnsi="微软雅黑" w:eastAsia="微软雅黑"/>
          <w:b w:val="0"/>
        </w:rPr>
        <w:t>。</w:t>
      </w:r>
    </w:p>
    <w:p>
      <w:pPr>
        <w:pStyle w:val="Heading3"/>
      </w:pPr>
      <w:r>
        <w:rPr>
          <w:rFonts w:ascii="微软雅黑" w:hAnsi="微软雅黑" w:eastAsia="微软雅黑"/>
          <w:b w:val="0"/>
        </w:rPr>
        <w:t>推荐的复合物理/非残留化学消杀方案：</w:t>
      </w:r>
    </w:p>
    <w:p>
      <w:pPr>
        <w:pStyle w:val="ListNumber"/>
      </w:pPr>
      <w:r>
        <w:rPr>
          <w:rFonts w:ascii="微软雅黑" w:hAnsi="微软雅黑" w:eastAsia="微软雅黑"/>
          <w:b/>
        </w:rPr>
        <w:t>多重物理屏障（循环拦截与灭活）</w:t>
      </w:r>
      <w:r>
        <w:rPr>
          <w:rFonts w:ascii="微软雅黑" w:hAnsi="微软雅黑" w:eastAsia="微软雅黑"/>
          <w:b w:val="0"/>
        </w:rPr>
        <w:t>：</w:t>
      </w:r>
    </w:p>
    <w:p>
      <w:pPr>
        <w:pStyle w:val="ListBullet"/>
      </w:pPr>
      <w:r>
        <w:rPr>
          <w:rFonts w:ascii="微软雅黑" w:hAnsi="微软雅黑" w:eastAsia="微软雅黑"/>
          <w:b/>
        </w:rPr>
        <w:t>微米级精密过滤</w:t>
      </w:r>
      <w:r>
        <w:rPr>
          <w:rFonts w:ascii="微软雅黑" w:hAnsi="微软雅黑" w:eastAsia="微软雅黑"/>
          <w:b w:val="0"/>
        </w:rPr>
        <w:t>：1–5 μm 滤芯在客休间隔进行多周期全液量循环（通常要求 3–4 次全舱置换）。</w:t>
      </w:r>
    </w:p>
    <w:p>
      <w:pPr>
        <w:pStyle w:val="ListBullet"/>
      </w:pPr>
      <w:r>
        <w:rPr>
          <w:rFonts w:ascii="微软雅黑" w:hAnsi="微软雅黑" w:eastAsia="微软雅黑"/>
          <w:b/>
        </w:rPr>
        <w:t>高剂量流体 C 波段紫外线（UV-C）</w:t>
      </w:r>
      <w:r>
        <w:rPr>
          <w:rFonts w:ascii="微软雅黑" w:hAnsi="微软雅黑" w:eastAsia="微软雅黑"/>
          <w:b w:val="0"/>
        </w:rPr>
        <w:t>：在密闭不锈钢反应管内，破坏循环流过病原体的 DNA/RNA，不向水体添加任何化学物质，无气体挥发副产物。</w:t>
      </w:r>
    </w:p>
    <w:p>
      <w:pPr>
        <w:pStyle w:val="ListNumber"/>
      </w:pPr>
      <w:r>
        <w:rPr>
          <w:rFonts w:ascii="微软雅黑" w:hAnsi="微软雅黑" w:eastAsia="微软雅黑"/>
          <w:b/>
        </w:rPr>
        <w:t>非持久性高级氧化（AOP / 臭氧）</w:t>
      </w:r>
      <w:r>
        <w:rPr>
          <w:rFonts w:ascii="微软雅黑" w:hAnsi="微软雅黑" w:eastAsia="微软雅黑"/>
          <w:b w:val="0"/>
        </w:rPr>
        <w:t>：</w:t>
      </w:r>
    </w:p>
    <w:p>
      <w:pPr>
        <w:pStyle w:val="ListBullet"/>
      </w:pPr>
      <w:r>
        <w:rPr>
          <w:rFonts w:ascii="微软雅黑" w:hAnsi="微软雅黑" w:eastAsia="微软雅黑"/>
          <w:b/>
        </w:rPr>
        <w:t>臭氧（O₃）注入 + 气液高效分离</w:t>
      </w:r>
      <w:r>
        <w:rPr>
          <w:rFonts w:ascii="微软雅黑" w:hAnsi="微软雅黑" w:eastAsia="微软雅黑"/>
          <w:b w:val="0"/>
        </w:rPr>
        <w:t>：仅在客休维护循环期间注入臭氧氧化分解有机污染物，并通过反应舱与催化消除单元确保残余臭氧在漂浮开始前完全分解，严防泄漏至头空间。</w:t>
      </w:r>
    </w:p>
    <w:p>
      <w:pPr>
        <w:pStyle w:val="ListNumber"/>
      </w:pPr>
      <w:r>
        <w:rPr>
          <w:rFonts w:ascii="微软雅黑" w:hAnsi="微软雅黑" w:eastAsia="微软雅黑"/>
          <w:b/>
        </w:rPr>
        <w:t>温和过氧化物辅助</w:t>
      </w:r>
      <w:r>
        <w:rPr>
          <w:rFonts w:ascii="微软雅黑" w:hAnsi="微软雅黑" w:eastAsia="微软雅黑"/>
          <w:b w:val="0"/>
        </w:rPr>
        <w:t>：</w:t>
      </w:r>
    </w:p>
    <w:p>
      <w:pPr>
        <w:pStyle w:val="ListBullet"/>
      </w:pPr>
      <w:r>
        <w:rPr>
          <w:rFonts w:ascii="微软雅黑" w:hAnsi="微软雅黑" w:eastAsia="微软雅黑"/>
          <w:b/>
        </w:rPr>
        <w:t>食品级过氧化氢（H₂O₂）维持在 50–100 ppm 低浓度</w:t>
      </w:r>
      <w:r>
        <w:rPr>
          <w:rFonts w:ascii="微软雅黑" w:hAnsi="微软雅黑" w:eastAsia="微软雅黑"/>
          <w:b w:val="0"/>
        </w:rPr>
        <w:t>：在无刺激、不挥发的前提下提供抑菌辅助，其终产物仅为纯水与微量氧气，对皮肤、呼吸道及舱壳材料完全友好。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