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nsf_ansi_50_对漂浮舱_floatation_senso_2c16aa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NSF/ANSI 50 对漂浮舱（Floatation/Sensory Deprivation Systems）的标准要求汇总</w:t>
      </w:r>
      <w:bookmarkEnd w:id="0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版本 2026-09-04｜仅内部参考｜禁止外发给客户、投资人、展会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本文件整合 NSF 官方发布的漂浮舱专项认证规范全文（CCS-12804, Issue 2, Published）及 NSF/ANSI/CAN 50-2021 第 28 节（漂浮舱专项条款）的官方说明。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一_标准框架概览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一、标准框架概览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NSF/ANSI/CAN 50 全称是《游泳池、水疗池、热水浴缸及其他休闲水设施的设备与化学品标准》。2021 年修订版新增</w:t>
      </w:r>
      <w:r>
        <w:rPr>
          <w:rFonts w:eastAsia="source serif 4" w:cs="source serif 4" w:ascii="source serif 4" w:hAnsi="source serif 4"/>
          <w:b/>
          <w:color w:val="000000"/>
        </w:rPr>
        <w:t xml:space="preserve">第 28 节（Section 28）</w:t>
      </w:r>
      <w:r>
        <w:rPr>
          <w:rFonts w:eastAsia="source serif 4" w:cs="source serif 4" w:ascii="source serif 4" w:hAnsi="source serif 4"/>
          <w:color w:val="000000"/>
        </w:rPr>
        <w:t xml:space="preserve">，专门针对漂浮舱/感官剥夺系统[web:109]。同时 NSF 发布了专项认证规范</w:t>
      </w:r>
      <w:r>
        <w:rPr>
          <w:rFonts w:eastAsia="source serif 4" w:cs="source serif 4" w:ascii="source serif 4" w:hAnsi="source serif 4"/>
          <w:b/>
          <w:color w:val="000000"/>
        </w:rPr>
        <w:t xml:space="preserve">CCS-12804</w:t>
      </w:r>
      <w:r>
        <w:rPr>
          <w:rFonts w:eastAsia="source serif 4" w:cs="source serif 4" w:ascii="source serif 4" w:hAnsi="source serif 4"/>
          <w:color w:val="000000"/>
        </w:rPr>
        <w:t xml:space="preserve">（Component Certification Specification for Floatation or Sensory Deprivation Systems and Related Equipment），为厂商提供第三方认证路径[web:96][web:103]。</w:t>
      </w:r>
    </w:p>
    <w:p>
      <w:pPr>
        <w:spacing w:line="360" w:before="315" w:after="105" w:lineRule="auto"/>
        <w:ind w:left="-30"/>
        <w:jc w:val="left"/>
      </w:pPr>
      <w:bookmarkStart w:id="2" w:name="标准覆盖的设备类型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标准覆盖的设备类型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自包含式漂浮舱（self-contained）：工厂集成控制、加热、循环系统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非自包含式漂浮舱（non-self-contained）：加热/循环设备非必需组件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便携式与固定式系统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工厂预制舱体与现场组装系统</w:t>
      </w:r>
    </w:p>
    <w:p>
      <w:pPr>
        <w:spacing w:line="360" w:before="315" w:after="105" w:lineRule="auto"/>
        <w:ind w:left="-30"/>
        <w:jc w:val="left"/>
      </w:pPr>
      <w:bookmarkStart w:id="3" w:name="认证合规时间表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认证合规时间表</w:t>
      </w:r>
      <w:bookmarkEnd w:id="3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2025 年 1 月 1 日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：已按 CCS 认证的产品需完成审查与必要测试[web:109]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2024 年 1 月 1 日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：多项修订条款（自动化阀门、超细过滤、流量计量装置等）生效[web:109]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二_核心性能测试要求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二、核心性能测试要求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bm_2_1_浊度削减测试_turbidity_reduction_tes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2.1 浊度削减测试（Turbidity Reduction Test）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这是过滤系统性能的主考项，具体流程如下：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测试参数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要求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挑战液配制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使用 Sil-co-sil 106（#140 硅粉）将测试水箱浊度调至 45 ± 10 NTU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测试流程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过滤器以厂商标称最大设计流量运行，每循环一个水箱容积（tank turnover）后取样测一次浊度，连续测 5 个循环容积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通过标准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 次循环后，浊度残留比 TR = (TB3−TB1)/(TB2−TB1) ≤ 0.30，即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浊度削减率 ≥ 70%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高容量筒式滤芯特例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若 5 次循环后 TR 仍 &gt; 0.30 但滤芯未达厂商建议清洗条件，允许在不清洗滤芯的情况下重新排水做第二次测试，并以第二次结果为准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测试间隔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每次浊度测量后要求至少停机 10 ± 0.5 分钟的间歇期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浊度计精度要求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0-10 NTU 范围内精度须达 ±0.5 NTU；10 NTU 以上须达 ±5% 读数或 ±1 NTU（取较大值）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依据</w:t>
      </w:r>
      <w:r>
        <w:rPr>
          <w:rFonts w:eastAsia="source serif 4" w:cs="source serif 4" w:ascii="source serif 4" w:hAnsi="source serif 4"/>
          <w:color w:val="000000"/>
        </w:rPr>
        <w:t xml:space="preserve">：NSF/ANSI 50 Section 5, Annex B；CCS-12804 Section 1.7.1.4.1[web:96]</w:t>
      </w:r>
    </w:p>
    <w:p>
      <w:pPr>
        <w:spacing w:line="360" w:before="315" w:after="105" w:lineRule="auto"/>
        <w:ind w:left="-30"/>
        <w:jc w:val="left"/>
      </w:pPr>
      <w:bookmarkStart w:id="6" w:name="bm_2_2_水体周转时间_turnover_rat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2.2 水体周转时间（Turnover Rate）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要求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数值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最大水体周转时间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≤ 30 分钟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（整个舱内液体量必须在 30 分钟内被循环过滤系统完整处理一遍）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制造商建议的用户间清洁周期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循环系统需达到制造商建议的用户间清洁周期所需的周转次数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依据</w:t>
      </w:r>
      <w:r>
        <w:rPr>
          <w:rFonts w:eastAsia="source serif 4" w:cs="source serif 4" w:ascii="source serif 4" w:hAnsi="source serif 4"/>
          <w:color w:val="000000"/>
        </w:rPr>
        <w:t xml:space="preserve">：NSF/ANSI/CAN 50 Section 28；CCS-12804 Section 1.7.1.2[web:96][web:103]</w:t>
      </w:r>
    </w:p>
    <w:p>
      <w:pPr>
        <w:spacing w:line="360" w:before="315" w:after="105" w:lineRule="auto"/>
        <w:ind w:left="-30"/>
        <w:jc w:val="left"/>
      </w:pPr>
      <w:bookmarkStart w:id="7" w:name="bm_2_3_吸入口数量要求_suction_outlet_fitting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2.3 吸入口数量要求（Suction Outlet Fittings）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漂浮舱循环系统</w:t>
      </w:r>
      <w:r>
        <w:rPr>
          <w:rFonts w:eastAsia="source serif 4" w:cs="source serif 4" w:ascii="source serif 4" w:hAnsi="source serif 4"/>
          <w:b/>
          <w:color w:val="000000"/>
        </w:rPr>
        <w:t xml:space="preserve">必须包含两个或以上的吸入口配件</w:t>
      </w:r>
      <w:r>
        <w:rPr>
          <w:rFonts w:eastAsia="source serif 4" w:cs="source serif 4" w:ascii="source serif 4" w:hAnsi="source serif 4"/>
          <w:color w:val="000000"/>
        </w:rPr>
        <w:t xml:space="preserve">，这是防止单一吸入口发生负压卡吸事故（entrapment）的安全设计要求，与游泳池的防卡吸法规一脉相承。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依据</w:t>
      </w:r>
      <w:r>
        <w:rPr>
          <w:rFonts w:eastAsia="source serif 4" w:cs="source serif 4" w:ascii="source serif 4" w:hAnsi="source serif 4"/>
          <w:color w:val="000000"/>
        </w:rPr>
        <w:t xml:space="preserve">：NSF/ANSI/CAN 50 Section 28[web:103]</w:t>
      </w:r>
    </w:p>
    <w:p>
      <w:pPr>
        <w:spacing w:line="360" w:before="315" w:after="105" w:lineRule="auto"/>
        <w:ind w:left="-30"/>
        <w:jc w:val="left"/>
      </w:pPr>
      <w:bookmarkStart w:id="8" w:name="bm_2_4_消毒效能测试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2.4 消毒效能测试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紫外线设备分两档测试标准：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消毒级别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测试对象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灭活率要求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辅助消毒（Supplemental Disinfection）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进水中的细菌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≥ 3-log（99.9%）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二级消毒（Secondary Disinfection）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隐孢子虫（C. parvum）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≥ 3-log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依据</w:t>
      </w:r>
      <w:r>
        <w:rPr>
          <w:rFonts w:eastAsia="source serif 4" w:cs="source serif 4" w:ascii="source serif 4" w:hAnsi="source serif 4"/>
          <w:color w:val="000000"/>
        </w:rPr>
        <w:t xml:space="preserve">：NSF/ANSI 50 Section 15.18；CCS-12804 Section 1.7.1.4.9[web:96][web:98]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三_材料与结构安全要求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三、材料与结构安全要求</w:t>
      </w:r>
      <w:bookmarkEnd w:id="9"/>
    </w:p>
    <w:p>
      <w:pPr>
        <w:spacing w:line="360" w:before="315" w:after="105" w:lineRule="auto"/>
        <w:ind w:left="-30"/>
        <w:jc w:val="left"/>
      </w:pPr>
      <w:bookmarkStart w:id="10" w:name="bm_3_1_水接触材料安全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3.1 水接触材料安全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所有与舱内水接触的材料必须通过</w:t>
      </w:r>
      <w:r>
        <w:rPr>
          <w:rFonts w:eastAsia="source serif 4" w:cs="source serif 4" w:ascii="source serif 4" w:hAnsi="source serif 4"/>
          <w:b/>
          <w:color w:val="000000"/>
        </w:rPr>
        <w:t xml:space="preserve">NSF/ANSI 50 Section 3 及 Annex A</w:t>
      </w:r>
      <w:r>
        <w:rPr>
          <w:rFonts w:eastAsia="source serif 4" w:cs="source serif 4" w:ascii="source serif 4" w:hAnsi="source serif 4"/>
          <w:color w:val="000000"/>
        </w:rPr>
        <w:t xml:space="preserve">的健康安全与耐腐蚀性评估，包括：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刚性塑料管件：需符合 NSF/ANSI 14（NSF-pw，饮用水终端使用标准）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柔性增强塑料软管：需符合 NSF/ANSI 50 Section 4 及 IAPMO Z1033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柔性非增强塑料软管：需符合 NSF/ANSI 50 Section 4 及 IAPMO Z1033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依据</w:t>
      </w:r>
      <w:r>
        <w:rPr>
          <w:rFonts w:eastAsia="source serif 4" w:cs="source serif 4" w:ascii="source serif 4" w:hAnsi="source serif 4"/>
          <w:color w:val="000000"/>
        </w:rPr>
        <w:t xml:space="preserve">：CCS-12804 Section 1.4[web:96]</w:t>
      </w:r>
    </w:p>
    <w:p>
      <w:pPr>
        <w:spacing w:line="360" w:before="315" w:after="105" w:lineRule="auto"/>
        <w:ind w:left="-30"/>
        <w:jc w:val="left"/>
      </w:pPr>
      <w:bookmarkStart w:id="11" w:name="bm_3_2_舱体_内衬性能测试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3.2 舱体/内衬性能测试</w:t>
      </w:r>
      <w:bookmarkEnd w:id="11"/>
    </w:p>
    <w:p>
      <w:pPr>
        <w:spacing w:line="360" w:before="315" w:after="105" w:lineRule="auto"/>
        <w:ind w:left="-30"/>
        <w:jc w:val="left"/>
      </w:pPr>
      <w:bookmarkStart w:id="12" w:name="塑料内衬_非增强型_必须通过的测试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塑料内衬（非增强型）必须通过的测试：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测试项目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标准要求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厚度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≥ 0.030 英寸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耐穿刺性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ASTM D4551 或 ASTM D4833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耐凹陷性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ASTM D4551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静水压力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ASTM D4551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撕裂强度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ASTM D1004（≥ 225 lbs/in）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拉伸强度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ASTM D638（≥ 2000 psi）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100% 伸长率模量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ASTM D882（≥ 950 psi）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耐化学性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NSF/ANSI 50 Annex G.1，100 天暴露于最大推荐化学品浓度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3" w:name="塑料舱壳需符合的标准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塑料舱壳需符合的标准：</w:t>
      </w:r>
      <w:bookmarkEnd w:id="13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ANSI Z124.1.2 Section 5.2 耐污性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ANSI Z124.7（预制塑料水疗舱壳）：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Section 4.3 表面测试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Section 4.4 基底测试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Section 5.1 色牢度测试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Section 5.2 耐磨与可清洁性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Section 5.3 香烟测试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Section 5.4 耐化学性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Section 6.1.2 静载荷要求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Section 6.2 空载统一载荷测试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Section 6.3 点冲击测试（边缘与座位）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Section 7.1 阻燃性（UL94 HB/HBF 评级）或 ANSI Z124.1.2 Section 5.6 点火测试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依据</w:t>
      </w:r>
      <w:r>
        <w:rPr>
          <w:rFonts w:eastAsia="source serif 4" w:cs="source serif 4" w:ascii="source serif 4" w:hAnsi="source serif 4"/>
          <w:color w:val="000000"/>
        </w:rPr>
        <w:t xml:space="preserve">：CCS-12804 Section 1.5.3.1[web:96]</w:t>
      </w:r>
    </w:p>
    <w:p>
      <w:pPr>
        <w:spacing w:line="360" w:before="315" w:after="105" w:lineRule="auto"/>
        <w:ind w:left="-30"/>
        <w:jc w:val="left"/>
      </w:pPr>
      <w:bookmarkStart w:id="14" w:name="bm_3_3_防滑表面要求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3.3 防滑表面要求</w:t>
      </w:r>
      <w:bookmarkEnd w:id="1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舱内台阶或进出落脚点的表面必须防滑，符合以下任一标准：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ASTM F462（防滑洗浴设施消费者安全规范）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ASTM D1894（塑料薄膜与薄片的静/动摩擦系数）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依据</w:t>
      </w:r>
      <w:r>
        <w:rPr>
          <w:rFonts w:eastAsia="source serif 4" w:cs="source serif 4" w:ascii="source serif 4" w:hAnsi="source serif 4"/>
          <w:color w:val="000000"/>
        </w:rPr>
        <w:t xml:space="preserve">：CCS-12804 Section 1.5.3.2[web:96]</w:t>
      </w:r>
    </w:p>
    <w:p>
      <w:pPr>
        <w:spacing w:line="360" w:before="315" w:after="105" w:lineRule="auto"/>
        <w:ind w:left="-30"/>
        <w:jc w:val="left"/>
      </w:pPr>
      <w:bookmarkStart w:id="15" w:name="bm_3_4_水深与坡度限制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3.4 水深与坡度限制</w:t>
      </w:r>
      <w:bookmarkEnd w:id="1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参数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限制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最大水深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≤ 24 英寸（62 cm），且舱外需有颜色对比的深度标记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舱底坡度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≤ 1 英寸/英尺（最大坡度 1:12）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依据</w:t>
      </w:r>
      <w:r>
        <w:rPr>
          <w:rFonts w:eastAsia="source serif 4" w:cs="source serif 4" w:ascii="source serif 4" w:hAnsi="source serif 4"/>
          <w:color w:val="000000"/>
        </w:rPr>
        <w:t xml:space="preserve">：CCS-12804 Section 1.5.3.3, 1.5.3.4[web:96]</w:t>
      </w:r>
    </w:p>
    <w:p>
      <w:pPr>
        <w:spacing w:line="360" w:before="315" w:after="105" w:lineRule="auto"/>
        <w:ind w:left="-30"/>
        <w:jc w:val="left"/>
      </w:pPr>
      <w:bookmarkStart w:id="16" w:name="bm_3_5_台阶与扶手尺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3.5 台阶与扶手尺寸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部件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尺寸要求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台阶踏面最小深度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≥ 10 英寸（25.4 cm）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台阶踏面最小面积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≥ 240 in2（1550 cm2）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台阶踢面高度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7-12 英寸（17.78-30.48 cm），底层踏面作为座椅时最大 14 英寸（35.56 cm）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扶手最低点距运行水位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≤ 9 英寸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扶手载荷测试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150 磅拉力或 300 磅垂直载荷下不得永久变形或脱落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依据</w:t>
      </w:r>
      <w:r>
        <w:rPr>
          <w:rFonts w:eastAsia="source serif 4" w:cs="source serif 4" w:ascii="source serif 4" w:hAnsi="source serif 4"/>
          <w:color w:val="000000"/>
        </w:rPr>
        <w:t xml:space="preserve">：CCS-12804 Section 1.5.4[web:96]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四_循环与水处理系统要求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四、循环与水处理系统要求</w:t>
      </w:r>
      <w:bookmarkEnd w:id="17"/>
    </w:p>
    <w:p>
      <w:pPr>
        <w:spacing w:line="360" w:before="315" w:after="105" w:lineRule="auto"/>
        <w:ind w:left="-30"/>
        <w:jc w:val="left"/>
      </w:pPr>
      <w:bookmarkStart w:id="18" w:name="bm_4_1_过滤器性能测试_section_1_7_1_4_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4.1 过滤器性能测试（Section 1.7.1.4.1）</w:t>
      </w:r>
      <w:bookmarkEnd w:id="1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整个过滤系统必须通过 NSF/ANSI 50 Section 5 的以下测试：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静水压力测试（1.5 × 最小工作压力 50 psi）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压力损失测试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循环性能测试：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回水设计需辅助舱内水体循环及排出处理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循环系统（含泵与过滤器）需在清洁介质条件下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5 分钟内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完成一次完整水体周转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浊度削减率 ≥ 70%（使用 Sil-co-sil 106 硅粉挑战液）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过滤介质可清洁性测试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有效过滤面积与过滤速率测试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依据</w:t>
      </w:r>
      <w:r>
        <w:rPr>
          <w:rFonts w:eastAsia="source serif 4" w:cs="source serif 4" w:ascii="source serif 4" w:hAnsi="source serif 4"/>
          <w:color w:val="000000"/>
        </w:rPr>
        <w:t xml:space="preserve">：CCS-12804 Section 1.7.1.4.1[web:96]</w:t>
      </w:r>
    </w:p>
    <w:p>
      <w:pPr>
        <w:spacing w:line="360" w:before="315" w:after="105" w:lineRule="auto"/>
        <w:ind w:left="-30"/>
        <w:jc w:val="left"/>
      </w:pPr>
      <w:bookmarkStart w:id="19" w:name="bm_4_2_表面撇污与溢流系统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4.2 表面撇污与溢流系统</w:t>
      </w:r>
      <w:bookmarkEnd w:id="1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漂浮舱必须设计集成撇污系统，用于快速去除漂浮碎屑与污染物，可从以下方式之一实现：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周边溢流格栅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溢流沟系统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撇污器（skimmers）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湍流进水口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所有系统必须标记理想运行水位及可接受范围。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依据</w:t>
      </w:r>
      <w:r>
        <w:rPr>
          <w:rFonts w:eastAsia="source serif 4" w:cs="source serif 4" w:ascii="source serif 4" w:hAnsi="source serif 4"/>
          <w:color w:val="000000"/>
        </w:rPr>
        <w:t xml:space="preserve">：CCS-12804 Section 1.7.1.4.2[web:96]</w:t>
      </w:r>
    </w:p>
    <w:p>
      <w:pPr>
        <w:spacing w:line="360" w:before="315" w:after="105" w:lineRule="auto"/>
        <w:ind w:left="-30"/>
        <w:jc w:val="left"/>
      </w:pPr>
      <w:bookmarkStart w:id="20" w:name="bm_4_3_消毒与处理系统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4.3 消毒与处理系统</w:t>
      </w:r>
      <w:bookmarkEnd w:id="20"/>
    </w:p>
    <w:p>
      <w:pPr>
        <w:spacing w:line="360" w:before="315" w:after="105" w:lineRule="auto"/>
        <w:ind w:left="-30"/>
        <w:jc w:val="left"/>
      </w:pPr>
      <w:bookmarkStart w:id="21" w:name="bm_4_3_1_主消毒系统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4.3.1 主消毒系统</w:t>
      </w:r>
      <w:bookmarkEnd w:id="21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必须使用 EPA 注册的消毒剂（氯/溴等）或符合 NSF/ANSI 50 的消毒系统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若使用自动控制器监测水质或投加化学品，控制器需通过 NSF/ANSI 50 认证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机械化学投加器、流通式化学投加器、电解氯/溴发生器均需通过 NSF/ANSI 50 认证，且与循环泵电气联锁（泵停则化学投加停止）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化学投加器需能在用户间清洁程序后将自由有效氯提升 2.0 ppm（或溴 4.0 ppm）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依据</w:t>
      </w:r>
      <w:r>
        <w:rPr>
          <w:rFonts w:eastAsia="source serif 4" w:cs="source serif 4" w:ascii="source serif 4" w:hAnsi="source serif 4"/>
          <w:color w:val="000000"/>
        </w:rPr>
        <w:t xml:space="preserve">：CCS-12804 Section 1.7.1.4.8[web:96]</w:t>
      </w:r>
    </w:p>
    <w:p>
      <w:pPr>
        <w:spacing w:line="360" w:before="315" w:after="105" w:lineRule="auto"/>
        <w:ind w:left="-30"/>
        <w:jc w:val="left"/>
      </w:pPr>
      <w:bookmarkStart w:id="22" w:name="bm_4_3_2_辅助_二级处理系统_必须至少配置一种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4.3.2 辅助/二级处理系统（必须至少配置一种）</w:t>
      </w:r>
      <w:bookmarkEnd w:id="2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制造商必须指定或要求安装以下至少一种辅助/二级处理系统：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臭氧处理系统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紫外线（UV）处理系统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铜/银离子系统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辅助系统必须与循环泵电气联锁，在每次用户间清洁周期运行。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依据</w:t>
      </w:r>
      <w:r>
        <w:rPr>
          <w:rFonts w:eastAsia="source serif 4" w:cs="source serif 4" w:ascii="source serif 4" w:hAnsi="source serif 4"/>
          <w:color w:val="000000"/>
        </w:rPr>
        <w:t xml:space="preserve">：CCS-12804 Section 1.7.1.4.9[web:96]</w:t>
      </w:r>
    </w:p>
    <w:p>
      <w:pPr>
        <w:spacing w:line="360" w:before="315" w:after="105" w:lineRule="auto"/>
        <w:ind w:left="-30"/>
        <w:jc w:val="left"/>
      </w:pPr>
      <w:bookmarkStart w:id="23" w:name="bm_4_3_3_臭氧浓度限制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4.3.3 臭氧浓度限制</w:t>
      </w:r>
      <w:bookmarkEnd w:id="2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使用臭氧处理的系统必须通过 NSF/ANSI 50 Section 13.10 及 Annex H 测试，舱内水中臭氧浓度</w:t>
      </w:r>
      <w:r>
        <w:rPr>
          <w:rFonts w:eastAsia="source serif 4" w:cs="source serif 4" w:ascii="source serif 4" w:hAnsi="source serif 4"/>
          <w:b/>
          <w:color w:val="000000"/>
        </w:rPr>
        <w:t xml:space="preserve">不得超过 0.1 ppm（0.2 mg/m3）</w:t>
      </w:r>
      <w:r>
        <w:rPr>
          <w:rFonts w:eastAsia="source serif 4" w:cs="source serif 4" w:ascii="source serif 4" w:hAnsi="source serif 4"/>
          <w:color w:val="000000"/>
        </w:rPr>
        <w:t xml:space="preserve">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依据</w:t>
      </w:r>
      <w:r>
        <w:rPr>
          <w:rFonts w:eastAsia="source serif 4" w:cs="source serif 4" w:ascii="source serif 4" w:hAnsi="source serif 4"/>
          <w:color w:val="000000"/>
        </w:rPr>
        <w:t xml:space="preserve">：CCS-12804 Section 1.7.1.4.9.2[web:96]</w:t>
      </w:r>
    </w:p>
    <w:p>
      <w:pPr>
        <w:spacing w:line="360" w:before="315" w:after="105" w:lineRule="auto"/>
        <w:ind w:left="-30"/>
        <w:jc w:val="left"/>
      </w:pPr>
      <w:bookmarkStart w:id="24" w:name="bm_4_3_4_初始消毒效能测试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4.3.4 初始消毒效能测试</w:t>
      </w:r>
      <w:bookmarkEnd w:id="2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系统必须通过 NSF/ANSI 50 Annex H 的消毒效能测试，测试条件：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水位、温度、盐浓度、铜/银含量（如适用）按制造商规格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验证水中无自由有效氯或溴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验证水中无过氧化氢或其他推荐氧化剂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按 Annex H 接种挑战微生物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执行制造商推荐的用户间维护/清洁程序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主消毒系统（氯/溴）关闭，仅测试辅助处理系统性能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依据</w:t>
      </w:r>
      <w:r>
        <w:rPr>
          <w:rFonts w:eastAsia="source serif 4" w:cs="source serif 4" w:ascii="source serif 4" w:hAnsi="source serif 4"/>
          <w:color w:val="000000"/>
        </w:rPr>
        <w:t xml:space="preserve">：CCS-12804 Section 1.7.1.4.9.3[web:96]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5" w:name="五_安全与防护要求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五、安全与防护要求</w:t>
      </w:r>
      <w:bookmarkEnd w:id="25"/>
    </w:p>
    <w:p>
      <w:pPr>
        <w:spacing w:line="360" w:before="315" w:after="105" w:lineRule="auto"/>
        <w:ind w:left="-30"/>
        <w:jc w:val="left"/>
      </w:pPr>
      <w:bookmarkStart w:id="26" w:name="bm_5_1_入口警报与_svrs_防卡吸安全系统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5.1 入口警报与 SVRS（防卡吸安全系统）</w:t>
      </w:r>
      <w:bookmarkEnd w:id="26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舱门可安装经认证的入口警报器，需符合 UL2017 标准（由 OSHA 认可的 NRLT 测试认证）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若使用 SVRS（Suction Vacuum Release System，吸力真空释放系统），需通过 ASME A112.19.17 或 ASTM F2387 认证，且由 ISO 17025 认可的第三方机构测试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依据</w:t>
      </w:r>
      <w:r>
        <w:rPr>
          <w:rFonts w:eastAsia="source serif 4" w:cs="source serif 4" w:ascii="source serif 4" w:hAnsi="source serif 4"/>
          <w:color w:val="000000"/>
        </w:rPr>
        <w:t xml:space="preserve">：CCS-12804 Section 1.6[web:96]</w:t>
      </w:r>
    </w:p>
    <w:p>
      <w:pPr>
        <w:spacing w:line="360" w:before="315" w:after="105" w:lineRule="auto"/>
        <w:ind w:left="-30"/>
        <w:jc w:val="left"/>
      </w:pPr>
      <w:bookmarkStart w:id="27" w:name="bm_5_2_空气吹送与诱导系统_如使用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5.2 空气吹送与诱导系统（如使用）</w:t>
      </w:r>
      <w:bookmarkEnd w:id="27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必须防止水回流至吹风机，可通过以下方式之一：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止回阀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Hartford 回路（管道回路防止水回流）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吹风机安装高度高于水位线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进气源不得从外部引入水、灰尘或污染物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集成空气通道必须能承受 150% 制造商最大额定工作压力至少 5 分钟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吹风机管道需符合 NSF/ANSI 50 及 IAPMO Z1033 的管道性能要求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依据</w:t>
      </w:r>
      <w:r>
        <w:rPr>
          <w:rFonts w:eastAsia="source serif 4" w:cs="source serif 4" w:ascii="source serif 4" w:hAnsi="source serif 4"/>
          <w:color w:val="000000"/>
        </w:rPr>
        <w:t xml:space="preserve">：CCS-12804 Section 1.7.1.4.3[web:96]</w:t>
      </w:r>
    </w:p>
    <w:p>
      <w:pPr>
        <w:spacing w:line="360" w:before="315" w:after="105" w:lineRule="auto"/>
        <w:ind w:left="-30"/>
        <w:jc w:val="left"/>
      </w:pPr>
      <w:bookmarkStart w:id="28" w:name="bm_5_3_完全浸没吸入口配件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5.3 完全浸没吸入口配件</w:t>
      </w:r>
      <w:bookmarkEnd w:id="2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吸入口配件必须通过 APSP-16 认证（由 ISO 17025 认可的第三方机构测试），安装时需评估：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安装方向（地板或墙壁）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安装配置（单个或成对）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特定开口的最大流量评级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依据</w:t>
      </w:r>
      <w:r>
        <w:rPr>
          <w:rFonts w:eastAsia="source serif 4" w:cs="source serif 4" w:ascii="source serif 4" w:hAnsi="source serif 4"/>
          <w:color w:val="000000"/>
        </w:rPr>
        <w:t xml:space="preserve">：CCS-12804 Section 1.7.1.4.7[web:96]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9" w:name="六_标记与使用说明要求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六、标记与使用说明要求</w:t>
      </w:r>
      <w:bookmarkEnd w:id="29"/>
    </w:p>
    <w:p>
      <w:pPr>
        <w:spacing w:line="360" w:before="315" w:after="105" w:lineRule="auto"/>
        <w:ind w:left="-30"/>
        <w:jc w:val="left"/>
      </w:pPr>
      <w:bookmarkStart w:id="30" w:name="bm_6_1_产品标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6.1 产品标记</w:t>
      </w:r>
      <w:bookmarkEnd w:id="30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产品必须带有 NSF CCS-12804 认证标志及其他要求的标记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用户手册必须包含清晰的安装、使用与清洁说明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依据</w:t>
      </w:r>
      <w:r>
        <w:rPr>
          <w:rFonts w:eastAsia="source serif 4" w:cs="source serif 4" w:ascii="source serif 4" w:hAnsi="source serif 4"/>
          <w:color w:val="000000"/>
        </w:rPr>
        <w:t xml:space="preserve">：CCS-12804 Physical Evaluation[web:96]</w:t>
      </w:r>
    </w:p>
    <w:p>
      <w:pPr>
        <w:spacing w:line="360" w:before="315" w:after="105" w:lineRule="auto"/>
        <w:ind w:left="-30"/>
        <w:jc w:val="left"/>
      </w:pPr>
      <w:bookmarkStart w:id="31" w:name="bm_6_2_水位标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6.2 水位标记</w:t>
      </w:r>
      <w:bookmarkEnd w:id="3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以下系统必须标记理想运行水位及可接受范围：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撇污器（skimmers）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周边溢流格栅或溢流沟系统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湍流进水口及其他水面取水装置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标记位置可在撇污器面板、舱体内部结构/内衬或外壳外部。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依据</w:t>
      </w:r>
      <w:r>
        <w:rPr>
          <w:rFonts w:eastAsia="source serif 4" w:cs="source serif 4" w:ascii="source serif 4" w:hAnsi="source serif 4"/>
          <w:color w:val="000000"/>
        </w:rPr>
        <w:t xml:space="preserve">：CCS-12804 Section 1.7.1.4.2[web:96]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2" w:name="七_对你专利发散的参考意义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七、对你专利发散的参考意义</w:t>
      </w:r>
      <w:bookmarkEnd w:id="32"/>
    </w:p>
    <w:p>
      <w:pPr>
        <w:spacing w:line="360" w:before="315" w:after="105" w:lineRule="auto"/>
        <w:ind w:left="-30"/>
        <w:jc w:val="left"/>
      </w:pPr>
      <w:bookmarkStart w:id="33" w:name="bm_7_1_已高度标准化的领域_不建议再投入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7.1 已高度标准化的领域（不建议再投入）</w:t>
      </w:r>
      <w:bookmarkEnd w:id="33"/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浊度削减 ≥ 70% 的测试流程与通过标准已经极其具体、流程化，任何"过滤精度提升""浊度削减方法"层面的方案都很难绕开这套已标准化的测试体系去主张新颖性。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水体周转 ≤ 30 分钟、吸入口 ≥ 2 个、臭氧浓度 ≤ 0.1 ppm 等是硬性安全要求，不是创新空间。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辅助消毒（UV/臭氧/铜银离子）必须与循环泵电气联锁是通用工程手段，US9956374 已公开类似逻辑。</w:t>
      </w:r>
    </w:p>
    <w:p>
      <w:pPr>
        <w:spacing w:line="360" w:before="315" w:after="105" w:lineRule="auto"/>
        <w:ind w:left="-30"/>
        <w:jc w:val="left"/>
      </w:pPr>
      <w:bookmarkStart w:id="34" w:name="bm_7_2_可能的空白点_与你现有方向一致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7.2 可能的空白点（与你现有方向一致）</w:t>
      </w:r>
      <w:bookmarkEnd w:id="34"/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NSF 浊度测试用的挑战介质是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硅粉悬浊液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，测的是"颗粒物削减能力"，而你任务书里强调的"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高盐蒸汽在传感器透气孔结晶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"是一种完全不同的失效机制——不是颗粒物堵塞过滤介质，而是盐分结晶堵塞传感器的透气路径，这个故障模式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不在 NSF 50 任何现有测试项覆盖范围内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。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NSF 测试关注的是过滤系统本身的性能，而你的"沉默失效"发明点属于"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传感与自诊断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"层面，这是标准未触及的空白区，进一步印证了此前判断：这个方向的独特性不是产品功能层面的差异化，而是故障模式层面的新发现。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5" w:name="八_关键参考文件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八、关键参考文件</w:t>
      </w:r>
      <w:bookmarkEnd w:id="35"/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CCS-12804, Issue 2, Published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：Component Certification Specification for Floatation or Sensory Deprivation Systems and Related Equipment（NSF 官方专项认证规范全文）[web:96]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NSF/ANSI/CAN 50-2021, Issue 106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：新增 Section 28（Flotation or Sensory Deprivation Systems and Related Equipment）[web:109]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Water Online 解读文章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：The New Addition To NSF/ANSI/CAN 50: Float Tanks（NSF 高级经理 Kristina Laszlo 撰写）[web:103]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NSF/ANSI 50 Section 5, Annex B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：过滤器性能测试方法（浊度削减、可清洁性、有效过滤面积等）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NSF/ANSI 50 Section 15.18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：紫外线消毒效能测试方法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NSF/ANSI 50 Section 13.10, Annex 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：臭氧浓度测试与消毒效能测试方法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下一步建议</w:t>
      </w:r>
      <w:r>
        <w:rPr>
          <w:rFonts w:eastAsia="source serif 4" w:cs="source serif 4" w:ascii="source serif 4" w:hAnsi="source serif 4"/>
          <w:color w:val="000000"/>
        </w:rPr>
        <w:t xml:space="preserve">：若你计划做 NSF 认证，优先使用已通过 NSF/ANSI 50 认证的组件（泵、过滤器、UV/臭氧系统），这会大幅缩短认证周期与成本[web:103]。同时把"传感器透气孔结晶沉默失效"这个故障模式作为你独有的技术叙事点，因为这是目前 NSF 测试体系完全未覆盖的空白区。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zh-CN" w:eastAsia="zh-CN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2026-09-04T08:26:20.260Z</dcterms:created>
  <dcterms:modified xsi:type="dcterms:W3CDTF">2026-09-04T08:26:20.260Z</dcterms:modified>
</cp:coreProperties>
</file>