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发明专利交底书 · 原件1 空舱三态（按现状不递）</w:t>
      </w:r>
    </w:p>
    <w:p>
      <w:pPr>
        <w:jc w:val="left"/>
      </w:pPr>
      <w:r>
        <w:rPr>
          <w:rFonts w:ascii="微软雅黑" w:hAnsi="微软雅黑" w:eastAsia="微软雅黑"/>
          <w:b/>
        </w:rPr>
        <w:t>一种排空式高盐漂浮舱的空舱气相处理装置及控制方法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 xml:space="preserve">仅内部 · 未公开交底 · 禁止外发 </w:t>
      </w:r>
      <w:r>
        <w:rPr>
          <w:rFonts w:ascii="微软雅黑" w:hAnsi="微软雅黑" w:eastAsia="微软雅黑"/>
          <w:b/>
          <w:color w:val="555555"/>
        </w:rPr>
        <w:t>2026-09-06 过闸：按现机确认，本件不要交给代理师。</w:t>
      </w:r>
      <w:r>
        <w:rPr>
          <w:rFonts w:ascii="微软雅黑" w:hAnsi="微软雅黑" w:eastAsia="微软雅黑"/>
          <w:b w:val="0"/>
          <w:color w:val="555555"/>
        </w:rPr>
        <w:t xml:space="preserve"> 留作否决留痕。现行第一件改走 </w:t>
      </w:r>
      <w:r>
        <w:rPr>
          <w:rFonts w:ascii="微软雅黑" w:hAnsi="微软雅黑" w:eastAsia="微软雅黑"/>
          <w:color w:val="555555"/>
        </w:rPr>
        <w:t>交底书-时变余光限制装置.md</w:t>
      </w:r>
      <w:r>
        <w:rPr>
          <w:rFonts w:ascii="微软雅黑" w:hAnsi="微软雅黑" w:eastAsia="微软雅黑"/>
          <w:b w:val="0"/>
          <w:color w:val="555555"/>
        </w:rPr>
        <w:t>。纪要：</w:t>
      </w:r>
      <w:r>
        <w:rPr>
          <w:rFonts w:ascii="微软雅黑" w:hAnsi="微软雅黑" w:eastAsia="微软雅黑"/>
          <w:color w:val="555555"/>
        </w:rPr>
        <w:t>工程师确认-空舱现状与改判.md</w:t>
      </w:r>
      <w:r>
        <w:rPr>
          <w:rFonts w:ascii="微软雅黑" w:hAnsi="微软雅黑" w:eastAsia="微软雅黑"/>
          <w:b w:val="0"/>
          <w:color w:val="555555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v0.2-否决留痕 / 2026-09-06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记录人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对话确认（用户）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技术确认人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用户当面确认现状，非正式签字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密级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内部 · 未公开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结论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不递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已确认、因而把原独权卡住的事实</w:t>
      </w:r>
    </w:p>
    <w:p>
      <w:pPr>
        <w:pStyle w:val="ListNumber"/>
      </w:pPr>
      <w:r>
        <w:rPr>
          <w:rFonts w:ascii="微软雅黑" w:hAnsi="微软雅黑" w:eastAsia="微软雅黑"/>
          <w:b/>
        </w:rPr>
        <w:t>空舱能关门，但不是封闭气腔。</w:t>
      </w:r>
      <w:r>
        <w:rPr>
          <w:rFonts w:ascii="微软雅黑" w:hAnsi="微软雅黑" w:eastAsia="微软雅黑"/>
          <w:b w:val="0"/>
        </w:rPr>
        <w:t xml:space="preserve"> 有通气孔，因为人躺进去要呼吸。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臭氧机出口接到液体</w:t>
      </w:r>
      <w:r>
        <w:rPr>
          <w:rFonts w:ascii="微软雅黑" w:hAnsi="微软雅黑" w:eastAsia="微软雅黑"/>
          <w:b w:val="0"/>
        </w:rPr>
        <w:t>，不是气腔。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内壁目前没有光催化涂层。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排空后自来水冲一下就没有结盐。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舱内配有紫外灯管。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回填前没有臭氧探头。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原独权依赖：封闭气腔、壁面光催化、臭氧仅入气腔、盐霜判据、残余臭氧探头。上面 1–4、6 直接相反或缺失。第 5 条紫外灯转到件2写，不要在本件里包装成「光催化激发」。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第四节里原来要填的，按现状只能写成这样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4.1 排空</w:t>
      </w:r>
    </w:p>
    <w:p>
      <w:pPr>
        <w:jc w:val="left"/>
      </w:pPr>
      <w:r>
        <w:rPr>
          <w:rFonts w:ascii="微软雅黑" w:hAnsi="微软雅黑" w:eastAsia="微软雅黑"/>
          <w:b w:val="0"/>
        </w:rPr>
        <w:t>已确认会排空、排空后冲自来水。储液罐是否外置仍【缺】。排空到储液罐本身即使有，也是现有技术（</w:t>
      </w:r>
      <w:r>
        <w:rPr>
          <w:rFonts w:ascii="微软雅黑" w:hAnsi="微软雅黑" w:eastAsia="微软雅黑"/>
          <w:color w:val="B03060"/>
        </w:rPr>
        <w:t>PAT-PRI-069</w:t>
      </w:r>
      <w:r>
        <w:rPr>
          <w:rFonts w:ascii="微软雅黑" w:hAnsi="微软雅黑" w:eastAsia="微软雅黑"/>
          <w:b w:val="0"/>
        </w:rPr>
        <w:t>），不能主张。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4.2 占用信号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【缺】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4.3 涂层与激发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光催化涂层：无。舱内紫外灯管：有。不要把紫外灯写成光催化激发源——没有涂层，激发没有对象。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4.4 臭氧流路</w:t>
      </w:r>
    </w:p>
    <w:p>
      <w:pPr>
        <w:jc w:val="left"/>
      </w:pPr>
      <w:r>
        <w:rPr>
          <w:rFonts w:ascii="微软雅黑" w:hAnsi="微软雅黑" w:eastAsia="微软雅黑"/>
          <w:b w:val="0"/>
        </w:rPr>
        <w:t>有臭氧发生器。出口接到液体。液相禁臭氧（</w:t>
      </w:r>
      <w:r>
        <w:rPr>
          <w:rFonts w:ascii="微软雅黑" w:hAnsi="微软雅黑" w:eastAsia="微软雅黑"/>
          <w:color w:val="B03060"/>
        </w:rPr>
        <w:t>027</w:t>
      </w:r>
      <w:r>
        <w:rPr>
          <w:rFonts w:ascii="微软雅黑" w:hAnsi="微软雅黑" w:eastAsia="微软雅黑"/>
          <w:b w:val="0"/>
        </w:rPr>
        <w:t>）与现机相反，不写。不要改口写成接到气腔。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4.5 三态互斥</w:t>
      </w:r>
    </w:p>
    <w:p>
      <w:pPr>
        <w:jc w:val="left"/>
      </w:pPr>
      <w:r>
        <w:rPr>
          <w:rFonts w:ascii="微软雅黑" w:hAnsi="微软雅黑" w:eastAsia="微软雅黑"/>
          <w:b w:val="0"/>
        </w:rPr>
        <w:t>没有封闭气腔、没有气相臭氧、没有涂层、没有臭氧探头，三态互斥写出来没有现机实施例。不写。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4.7 盐霜</w:t>
      </w:r>
    </w:p>
    <w:p>
      <w:pPr>
        <w:jc w:val="left"/>
      </w:pPr>
      <w:r>
        <w:rPr>
          <w:rFonts w:ascii="微软雅黑" w:hAnsi="微软雅黑" w:eastAsia="微软雅黑"/>
          <w:b w:val="0"/>
        </w:rPr>
        <w:t>排空后自来水冲洗，不结盐。盐霜放行闭环不成立。冲水本身是运维，不能当发明点。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4.8 残余臭氧探头</w:t>
      </w:r>
    </w:p>
    <w:p>
      <w:pPr>
        <w:jc w:val="left"/>
      </w:pPr>
      <w:r>
        <w:rPr>
          <w:rFonts w:ascii="微软雅黑" w:hAnsi="微软雅黑" w:eastAsia="微软雅黑"/>
          <w:b w:val="0"/>
        </w:rPr>
        <w:t>无。不编探头。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若将来改机，本件才可能复活（不是现在的任务）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必须同时做到才会重新评估，缺一项就仍不要写：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通气孔在空舱氧化时段能关掉或切到过滤，使人不在时气腔相对封闭；占用时段必须再打开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内壁加光催化涂层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臭氧出口改为只通向空舱气腔，液路物理断开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回填/开门前有气腔臭氧探头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占用时紫外/激发硬件断电</w:t>
      </w:r>
    </w:p>
    <w:p>
      <w:pPr>
        <w:jc w:val="left"/>
      </w:pPr>
      <w:r>
        <w:rPr>
          <w:rFonts w:ascii="微软雅黑" w:hAnsi="微软雅黑" w:eastAsia="微软雅黑"/>
          <w:b w:val="0"/>
        </w:rPr>
        <w:t>那已经是另一台机器。在改机落地前不要用本件占申请日。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红线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[x] 没有把现机没有的封闭气腔写成实施例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[x] 没有把臭氧接液体改口成接气体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[x] 本件不递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签字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记录人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对话确认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2026-09-06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技术确认人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用户确认现状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2026-09-06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