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32"/>
        </w:rPr>
        <w:t>An Explainable Prolog-Based Conversational Expert</w:t>
        <w:br/>
        <w:t>System for Preliminary Disease Screening</w:t>
      </w:r>
    </w:p>
    <w:p>
      <w:pPr>
        <w:spacing w:after="280"/>
        <w:jc w:val="center"/>
      </w:pPr>
      <w:r>
        <w:rPr>
          <w:b/>
          <w:sz w:val="22"/>
        </w:rPr>
        <w:t>Lavanya Murugesan</w:t>
      </w:r>
      <w:r>
        <w:br/>
      </w:r>
      <w:r>
        <w:rPr>
          <w:b w:val="0"/>
          <w:sz w:val="22"/>
        </w:rPr>
        <w:t>University of Massachusetts Dartmouth</w:t>
      </w:r>
      <w:r>
        <w:br/>
      </w:r>
      <w:r>
        <w:rPr>
          <w:b w:val="0"/>
          <w:sz w:val="22"/>
        </w:rPr>
        <w:t>North Dartmouth, MA 02747, USA</w:t>
      </w:r>
      <w:r>
        <w:br/>
      </w:r>
      <w:r>
        <w:rPr>
          <w:b w:val="0"/>
          <w:sz w:val="22"/>
        </w:rPr>
        <w:t>Supervisor: Professor Haiping Xu</w:t>
      </w:r>
    </w:p>
    <w:p>
      <w:pPr>
        <w:spacing w:after="80"/>
        <w:jc w:val="center"/>
      </w:pPr>
      <w:r>
        <w:rPr>
          <w:b/>
          <w:i/>
          <w:sz w:val="22"/>
        </w:rPr>
        <w:t>Abstract</w:t>
      </w:r>
    </w:p>
    <w:p>
      <w:pPr>
        <w:ind w:left="576" w:right="576"/>
        <w:jc w:val="both"/>
      </w:pPr>
      <w:r>
        <w:rPr>
          <w:sz w:val="19"/>
        </w:rPr>
        <w:t>We present a conversational expert system that screens for one of six preliminary conditions — Type 2 Diabetes Mellitus, Hypertension, Anemia, Urinary Tract Infection (UTI), Asthma, and Tuberculosis — through a free-text opening complaint followed by deterministic yes/no questioning. Symptom mentions are extracted with a hand-built keyword lexicon; each subsequent answer is classified into one of four categories (affirmative, negative, uncertain, unrecognized) by a pattern-based classifier that re-prompts on unrecognized input rather than silently discarding it; and a SWI-Prolog forward-chaining engine confirms a diagnosis once a disease-specific count of confirmed symptoms reaches a fixed threshold, restricting the candidate list at every step to only the diseases the patient's opening symptom could plausibly indicate. Each confirmed diagnosis is reported with the exact symptom facts that produced it, making every decision traceable to a rule rather than a probability. Because a system of this kind is only useful if its limits are known, not asserted, we evaluate it quantitatively rather than by demonstration alone. Against a held-out set of scripted dialogues, the system reaches 100% diagnostic accuracy when the patient's opening statement matches the lexicon's phrasing, but drops to 50% under natural paraphrasing of the same six complaints, and on failure it does not abstain — it silently misclassifies against a default candidate list. A second probe confirms the extractor asserts a symptom as positive even when the patient's sentence explicitly negates it (“I do NOT have a cough”), and a third shows 7 of 8 misspelled or non-standard yes/no answers are still classified correctly by the pattern rules. These results locate the system's actual contribution precisely: full determinism and traceability in the confirmation logic, purchased at the cost of a lexical, context-blind front end — a trade-off we make explicit rather than hide, and one that directly motivates the hybrid symbolic/neural direction argued for in Section VII.</w:t>
      </w:r>
    </w:p>
    <w:p>
      <w:pPr>
        <w:spacing w:after="280"/>
        <w:ind w:left="576" w:right="576"/>
      </w:pPr>
      <w:r>
        <w:rPr>
          <w:b/>
          <w:i/>
          <w:sz w:val="19"/>
        </w:rPr>
        <w:t>Index Terms—</w:t>
      </w:r>
      <w:r>
        <w:rPr>
          <w:sz w:val="19"/>
        </w:rPr>
        <w:t xml:space="preserve"> expert system, Prolog, forward chaining, explainable AI, disease screening, rule-based reasoning, conversational agent, clinical decision support, keyword extraction</w:t>
      </w:r>
    </w:p>
    <w:p>
      <w:pPr>
        <w:spacing w:after="40"/>
        <w:pBdr>
          <w:bottom w:val="single" w:sz="8" w:space="1" w:color="000000"/>
        </w:pBdr>
      </w:pPr>
    </w:p>
    <w:p>
      <w:pPr>
        <w:sectPr>
          <w:pgSz w:w="12240" w:h="15840"/>
          <w:pgMar w:top="1080" w:right="1080" w:bottom="1080" w:left="1080" w:header="720" w:footer="720" w:gutter="0"/>
          <w:cols w:space="720"/>
          <w:docGrid w:linePitch="360"/>
        </w:sectPr>
      </w:pPr>
    </w:p>
    <w:p>
      <w:pPr>
        <w:keepNext/>
        <w:spacing w:before="200" w:after="80"/>
      </w:pPr>
      <w:r>
        <w:rPr>
          <w:b/>
          <w:sz w:val="21"/>
        </w:rPr>
        <w:t>I. INTRODUCTION</w:t>
      </w:r>
    </w:p>
    <w:p>
      <w:pPr>
        <w:spacing w:after="120"/>
        <w:ind w:firstLine="216"/>
      </w:pPr>
      <w:r>
        <w:rPr>
          <w:sz w:val="19"/>
        </w:rPr>
        <w:t>Clinical decision support has long faced a trade-off between transparency and coverage. Deterministic rule engines can name the exact fact and threshold behind every conclusion, but their coverage is limited to the vocabulary and rules an author anticipated. Statistical and neural approaches generalize past a fixed vocabulary but cannot, in general, name a single decisive reason for a given output. This paper presents a small, fully deterministic instance of the first family — a Prolog-based conversational expert system for preliminary disease screening — and, in keeping with the second half of its contribution, subjects it to a quantitative evaluation designed to locate exactly where a purely lexical, rule-based front end breaks down, rather than only where it succeeds.</w:t>
      </w:r>
    </w:p>
    <w:p>
      <w:pPr>
        <w:spacing w:after="120"/>
        <w:ind w:firstLine="216"/>
      </w:pPr>
      <w:r>
        <w:rPr>
          <w:sz w:val="19"/>
        </w:rPr>
        <w:t>The system asks a patient to describe their complaint in free text, extracts a candidate symptom via keyword matching, restricts subsequent questioning to only the diseases that symptom could medically explain, and confirms a diagnosis once enough yes-answers accumulate against a per-disease threshold. Every confirmed diagnosis is reported together with the specific symptom facts that produced it. The novelty claimed here is not the individual mechanisms — keyword matching, forward chaining, and threshold confirmation are all well established — but their combination into an audited conversational loop, together with an honest, quantitative account of the resulting system's actual accuracy and failure modes, which is what a screening tool intended for real deployment needs and what most rule-based demonstrations omit.</w:t>
      </w:r>
    </w:p>
    <w:p>
      <w:pPr>
        <w:spacing w:after="120"/>
        <w:ind w:firstLine="216"/>
      </w:pPr>
      <w:r>
        <w:rPr>
          <w:sz w:val="19"/>
        </w:rPr>
        <w:t>This paper makes the following contributions:</w:t>
      </w:r>
    </w:p>
    <w:p>
      <w:pPr>
        <w:pStyle w:val="ListBullet"/>
        <w:spacing w:after="60"/>
      </w:pPr>
      <w:r>
        <w:rPr>
          <w:sz w:val="19"/>
        </w:rPr>
        <w:t>A conversational disease-screening design in which every diagnostic decision is traceable to an explicit rule and an explicit set of confirmed facts, with no hidden scoring or probability estimate anywhere in the pipeline.</w:t>
      </w:r>
    </w:p>
    <w:p>
      <w:pPr>
        <w:pStyle w:val="ListBullet"/>
        <w:spacing w:after="60"/>
      </w:pPr>
      <w:r>
        <w:rPr>
          <w:sz w:val="19"/>
        </w:rPr>
        <w:t>A four-way answer-validation layer (affirmative / negative / uncertain / unrecognized) that refuses to advance the dialogue on input it cannot classify, instead of silently defaulting unclear input to a negative or neutral answer.</w:t>
      </w:r>
    </w:p>
    <w:p>
      <w:pPr>
        <w:pStyle w:val="ListBullet"/>
        <w:spacing w:after="60"/>
      </w:pPr>
      <w:r>
        <w:rPr>
          <w:sz w:val="19"/>
        </w:rPr>
        <w:t>A quantitative evaluation — canonical-phrasing vs. natural-paraphrase accuracy, a negation-handling probe, and a misspelling-robustness test — that identifies specific, reproducible failure modes of the lexical front end rather than reporting only successful dialogue traces.</w:t>
      </w:r>
    </w:p>
    <w:p>
      <w:pPr>
        <w:pStyle w:val="ListBullet"/>
        <w:spacing w:after="60"/>
      </w:pPr>
      <w:r>
        <w:rPr>
          <w:sz w:val="19"/>
        </w:rPr>
        <w:t>An explicit account of where this purely symbolic design's limits lie and how a hybrid symbolic/neural extension, of the kind used for automated medical coding by Bhat et al. [26], could resolve them without discarding the auditability of the confirmation logic.</w:t>
      </w:r>
    </w:p>
    <w:p>
      <w:pPr>
        <w:spacing w:after="120"/>
        <w:ind w:firstLine="216"/>
      </w:pPr>
      <w:r>
        <w:rPr>
          <w:sz w:val="19"/>
        </w:rPr>
        <w:t>The rest of the paper is organized as follows. Section II reviews related work in rule-based expert systems, symptom-checker validation studies, inductive logic programming, and explainable/hybrid clinical NLP. Section III presents the high-level design and Section IV the detailed design, including the confirmation algorithm and the threshold-derivation question directly. Section V reports the quantitative evaluation. Section VI discusses limitations, and Section VII concludes.</w:t>
      </w:r>
    </w:p>
    <w:p>
      <w:pPr>
        <w:keepNext/>
        <w:spacing w:before="200" w:after="80"/>
      </w:pPr>
      <w:r>
        <w:rPr>
          <w:b/>
          <w:sz w:val="21"/>
        </w:rPr>
        <w:t>II. RELATED WORK</w:t>
      </w:r>
    </w:p>
    <w:p>
      <w:pPr>
        <w:spacing w:after="120"/>
        <w:ind w:firstLine="216"/>
      </w:pPr>
      <w:r>
        <w:rPr>
          <w:sz w:val="19"/>
        </w:rPr>
        <w:t>Table I situates the proposed system against four bodies of prior work: classical symbolic expert systems, published symptom-checker validation studies, inductive logic programming, and explainable/hybrid approaches to clinical text classification.</w:t>
      </w:r>
    </w:p>
    <w:p>
      <w:pPr>
        <w:keepNext/>
        <w:spacing w:before="120" w:after="60"/>
      </w:pPr>
      <w:r>
        <w:rPr>
          <w:b/>
          <w:i/>
          <w:sz w:val="20"/>
        </w:rPr>
        <w:t>A. Classical Rule-Based Medical Expert Systems</w:t>
      </w:r>
    </w:p>
    <w:p>
      <w:pPr>
        <w:spacing w:after="120"/>
        <w:ind w:firstLine="216"/>
      </w:pPr>
      <w:r>
        <w:rPr>
          <w:sz w:val="19"/>
        </w:rPr>
        <w:t>Rule-based clinical decision support originates with MYCIN [1,2], which used backward-chaining production rules with certainty factors to recommend antimicrobial therapy and remains the reference point for auditable medical reasoning; its successors CADUCEUS/INTERNIST-I [3] and DXplain [4] extended coverage to internal-medicine differential diagnosis at the cost of rule-base size and maintenance burden. Miller's 1994 survey [5] already identified the trade-off this paper revisits: rule-based systems are easy to audit and hard to scale to free text, while statistical systems scale better but resist explanation. The present system is a direct, much smaller-scale descendant of the MYCIN line — forward-chaining rather than backward-chaining, and confirmation-threshold rather than certainty-factor based — built specifically to make the audit trail (Section IV-B) and the accuracy/coverage trade-off (Section V) explicit and measurable rather than assumed.</w:t>
      </w:r>
    </w:p>
    <w:p>
      <w:pPr>
        <w:keepNext/>
        <w:spacing w:before="120" w:after="60"/>
      </w:pPr>
      <w:r>
        <w:rPr>
          <w:b/>
          <w:i/>
          <w:sz w:val="20"/>
        </w:rPr>
        <w:t>B. Symptom-Checker Validation Studies</w:t>
      </w:r>
    </w:p>
    <w:p>
      <w:pPr>
        <w:spacing w:after="120"/>
        <w:ind w:firstLine="216"/>
      </w:pPr>
      <w:r>
        <w:rPr>
          <w:sz w:val="19"/>
        </w:rPr>
        <w:t>A separate empirical literature has evaluated deployed symptom-checker apps directly rather than describing their architecture. Semigran et al. [6] tested 23 symptom checkers against 45 standardized clinical vignettes and found the correct diagnosis listed first only 34% of the time, a result later echoed by Ada Health / Babylon comparison studies against physician triage [7] and by Meyer et al.'s 2020 JAMA Internal Medicine audit of consumer symptom-checker apps [8], which reported similarly wide accuracy variance across common conditions. These studies establish the methodology this paper adopts — scripted vignettes scored against a known label — but apply it to opaque, typically proprietary systems whose internal reasoning cannot be inspected when a case fails. Because every rule and threshold here is available for inspection (Section IV), Section V's failures can be traced to a specific mechanism (the keyword lexicon) rather than reported as an unexplained accuracy statistic.</w:t>
      </w:r>
    </w:p>
    <w:p>
      <w:pPr>
        <w:keepNext/>
        <w:spacing w:before="120" w:after="60"/>
      </w:pPr>
      <w:r>
        <w:rPr>
          <w:b/>
          <w:i/>
          <w:sz w:val="20"/>
        </w:rPr>
        <w:t>C. Inductive Logic Programming and Rule Learning</w:t>
      </w:r>
    </w:p>
    <w:p>
      <w:pPr>
        <w:spacing w:after="120"/>
        <w:ind w:firstLine="216"/>
      </w:pPr>
      <w:r>
        <w:rPr>
          <w:sz w:val="19"/>
        </w:rPr>
        <w:t>Muggleton's foundational ILP formulation [9] and the Aleph system [10] describe how logic-program rules can be learned from labeled examples rather than hand-authored, directly relevant to the threshold-derivation gap identified in Section IV-C: the six thresholds in this system are currently authored by clinical judgment, not learned from outcome data, and an ILP-style calibration pass — inducing or tuning thresholds against a labeled case corpus — is proposed as the concrete next step rather than left unaddressed.</w:t>
      </w:r>
    </w:p>
    <w:p>
      <w:pPr>
        <w:keepNext/>
        <w:spacing w:before="120" w:after="60"/>
      </w:pPr>
      <w:r>
        <w:rPr>
          <w:b/>
          <w:i/>
          <w:sz w:val="20"/>
        </w:rPr>
        <w:t>D. Explainability and the Rule-vs.-Black-Box Trade-Off</w:t>
      </w:r>
    </w:p>
    <w:p>
      <w:pPr>
        <w:spacing w:after="120"/>
        <w:ind w:firstLine="216"/>
      </w:pPr>
      <w:r>
        <w:rPr>
          <w:sz w:val="19"/>
        </w:rPr>
        <w:t>Lipton [11] and Doshi-Velez and Kim [12] formalize the interpretability properties a system like this one claims by construction (simulatability, decomposability), while Ribeiro et al.'s LIME [13] and Rudin's 2019 argument against post-hoc explanation of black-box models in high-stakes settings [14] make the case, from the opposite direction, for why a natively interpretable model — this system's actual design point — is preferable to an accurate model explained after the fact whenever the two are available at comparable accuracy.</w:t>
      </w:r>
    </w:p>
    <w:p>
      <w:pPr>
        <w:keepNext/>
        <w:spacing w:before="120" w:after="60"/>
      </w:pPr>
      <w:r>
        <w:rPr>
          <w:b/>
          <w:i/>
          <w:sz w:val="20"/>
        </w:rPr>
        <w:t>E. Large Language Models and Hybrid Clinical NLP</w:t>
      </w:r>
    </w:p>
    <w:p>
      <w:pPr>
        <w:spacing w:after="120"/>
        <w:ind w:firstLine="216"/>
      </w:pPr>
      <w:r>
        <w:rPr>
          <w:sz w:val="19"/>
        </w:rPr>
        <w:t>General-purpose and biomedical language models — Med-PaLM [15], GPT-4 evaluated on medical licensing examinations [16], and the broader survey of clinical LLM applications by Thirunavukarasu et al. [17] — substantially outperform lexical matching on free-text symptom recognition and paraphrase robustness, precisely the failure mode measured in Section V-B. Encoder-based domain models such as PubMedBERT [18] extend this further with fine-tunable contextual representations. Bhat et al. [26] demonstrate a directly relevant hybrid pattern for clinical text — an Augmented Decision Tree that routes lexically separable cases to symbolic rules and semantically overlapping cases to a fine-tuned PubMedBERT node, automatically selected per decision node via a keyword-coverage screening statistic — which is exactly the kind of selective augmentation Section VII proposes for this system's symptom extraction stage, without touching the deterministic confirmation logic that is this paper's actual contribution.</w:t>
      </w:r>
    </w:p>
    <w:p>
      <w:pPr>
        <w:spacing w:after="60"/>
      </w:pPr>
      <w:r>
        <w:rPr>
          <w:i/>
          <w:sz w:val="17"/>
        </w:rPr>
        <w:t>Table I. Related work compared against the proposed system.</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1656"/>
          </w:tcPr>
          <w:p>
            <w:r/>
            <w:r>
              <w:rPr>
                <w:b/>
                <w:sz w:val="16"/>
              </w:rPr>
              <w:t>Category</w:t>
            </w:r>
          </w:p>
        </w:tc>
        <w:tc>
          <w:tcPr>
            <w:tcW w:type="dxa" w:w="1656"/>
          </w:tcPr>
          <w:p>
            <w:r/>
            <w:r>
              <w:rPr>
                <w:b/>
                <w:sz w:val="16"/>
              </w:rPr>
              <w:t>Representative Work</w:t>
            </w:r>
          </w:p>
        </w:tc>
        <w:tc>
          <w:tcPr>
            <w:tcW w:type="dxa" w:w="1080"/>
          </w:tcPr>
          <w:p>
            <w:r/>
            <w:r>
              <w:rPr>
                <w:b/>
                <w:sz w:val="16"/>
              </w:rPr>
              <w:t>Interpretability</w:t>
            </w:r>
          </w:p>
        </w:tc>
        <w:tc>
          <w:tcPr>
            <w:tcW w:type="dxa" w:w="1944"/>
          </w:tcPr>
          <w:p>
            <w:r/>
            <w:r>
              <w:rPr>
                <w:b/>
                <w:sz w:val="16"/>
              </w:rPr>
              <w:t>Free-Text Robustness</w:t>
            </w:r>
          </w:p>
        </w:tc>
        <w:tc>
          <w:tcPr>
            <w:tcW w:type="dxa" w:w="2160"/>
          </w:tcPr>
          <w:p>
            <w:r/>
            <w:r>
              <w:rPr>
                <w:b/>
                <w:sz w:val="16"/>
              </w:rPr>
              <w:t>Validated Thresholds</w:t>
            </w:r>
          </w:p>
        </w:tc>
      </w:tr>
      <w:tr>
        <w:tc>
          <w:tcPr>
            <w:tcW w:type="dxa" w:w="1656"/>
          </w:tcPr>
          <w:p>
            <w:r/>
            <w:r>
              <w:rPr>
                <w:sz w:val="16"/>
              </w:rPr>
              <w:t>Classical rule-based CDS</w:t>
            </w:r>
          </w:p>
        </w:tc>
        <w:tc>
          <w:tcPr>
            <w:tcW w:type="dxa" w:w="1656"/>
          </w:tcPr>
          <w:p>
            <w:r/>
            <w:r>
              <w:rPr>
                <w:sz w:val="16"/>
              </w:rPr>
              <w:t>MYCIN [1,2], DXplain [4]</w:t>
            </w:r>
          </w:p>
        </w:tc>
        <w:tc>
          <w:tcPr>
            <w:tcW w:type="dxa" w:w="1080"/>
          </w:tcPr>
          <w:p>
            <w:r/>
            <w:r>
              <w:rPr>
                <w:sz w:val="16"/>
              </w:rPr>
              <w:t>High</w:t>
            </w:r>
          </w:p>
        </w:tc>
        <w:tc>
          <w:tcPr>
            <w:tcW w:type="dxa" w:w="1944"/>
          </w:tcPr>
          <w:p>
            <w:r/>
            <w:r>
              <w:rPr>
                <w:sz w:val="16"/>
              </w:rPr>
              <w:t>Low (fixed vocabulary)</w:t>
            </w:r>
          </w:p>
        </w:tc>
        <w:tc>
          <w:tcPr>
            <w:tcW w:type="dxa" w:w="2160"/>
          </w:tcPr>
          <w:p>
            <w:r/>
            <w:r>
              <w:rPr>
                <w:sz w:val="16"/>
              </w:rPr>
              <w:t>Expert-authored</w:t>
            </w:r>
          </w:p>
        </w:tc>
      </w:tr>
      <w:tr>
        <w:tc>
          <w:tcPr>
            <w:tcW w:type="dxa" w:w="1656"/>
          </w:tcPr>
          <w:p>
            <w:r/>
            <w:r>
              <w:rPr>
                <w:sz w:val="16"/>
              </w:rPr>
              <w:t>Symptom-checker apps</w:t>
            </w:r>
          </w:p>
        </w:tc>
        <w:tc>
          <w:tcPr>
            <w:tcW w:type="dxa" w:w="1656"/>
          </w:tcPr>
          <w:p>
            <w:r/>
            <w:r>
              <w:rPr>
                <w:sz w:val="16"/>
              </w:rPr>
              <w:t>Ada/Babylon [6,7], [8]</w:t>
            </w:r>
          </w:p>
        </w:tc>
        <w:tc>
          <w:tcPr>
            <w:tcW w:type="dxa" w:w="1080"/>
          </w:tcPr>
          <w:p>
            <w:r/>
            <w:r>
              <w:rPr>
                <w:sz w:val="16"/>
              </w:rPr>
              <w:t>Opaque</w:t>
            </w:r>
          </w:p>
        </w:tc>
        <w:tc>
          <w:tcPr>
            <w:tcW w:type="dxa" w:w="1944"/>
          </w:tcPr>
          <w:p>
            <w:r/>
            <w:r>
              <w:rPr>
                <w:sz w:val="16"/>
              </w:rPr>
              <w:t>Moderate–High</w:t>
            </w:r>
          </w:p>
        </w:tc>
        <w:tc>
          <w:tcPr>
            <w:tcW w:type="dxa" w:w="2160"/>
          </w:tcPr>
          <w:p>
            <w:r/>
            <w:r>
              <w:rPr>
                <w:sz w:val="16"/>
              </w:rPr>
              <w:t>Unknown (proprietary)</w:t>
            </w:r>
          </w:p>
        </w:tc>
      </w:tr>
      <w:tr>
        <w:tc>
          <w:tcPr>
            <w:tcW w:type="dxa" w:w="1656"/>
          </w:tcPr>
          <w:p>
            <w:r/>
            <w:r>
              <w:rPr>
                <w:sz w:val="16"/>
              </w:rPr>
              <w:t>ILP / rule learning</w:t>
            </w:r>
          </w:p>
        </w:tc>
        <w:tc>
          <w:tcPr>
            <w:tcW w:type="dxa" w:w="1656"/>
          </w:tcPr>
          <w:p>
            <w:r/>
            <w:r>
              <w:rPr>
                <w:sz w:val="16"/>
              </w:rPr>
              <w:t>Muggleton [9], Aleph [10]</w:t>
            </w:r>
          </w:p>
        </w:tc>
        <w:tc>
          <w:tcPr>
            <w:tcW w:type="dxa" w:w="1080"/>
          </w:tcPr>
          <w:p>
            <w:r/>
            <w:r>
              <w:rPr>
                <w:sz w:val="16"/>
              </w:rPr>
              <w:t>High</w:t>
            </w:r>
          </w:p>
        </w:tc>
        <w:tc>
          <w:tcPr>
            <w:tcW w:type="dxa" w:w="1944"/>
          </w:tcPr>
          <w:p>
            <w:r/>
            <w:r>
              <w:rPr>
                <w:sz w:val="16"/>
              </w:rPr>
              <w:t>N/A (learns rules, not text)</w:t>
            </w:r>
          </w:p>
        </w:tc>
        <w:tc>
          <w:tcPr>
            <w:tcW w:type="dxa" w:w="2160"/>
          </w:tcPr>
          <w:p>
            <w:r/>
            <w:r>
              <w:rPr>
                <w:sz w:val="16"/>
              </w:rPr>
              <w:t>Data-derived</w:t>
            </w:r>
          </w:p>
        </w:tc>
      </w:tr>
      <w:tr>
        <w:tc>
          <w:tcPr>
            <w:tcW w:type="dxa" w:w="1656"/>
          </w:tcPr>
          <w:p>
            <w:r/>
            <w:r>
              <w:rPr>
                <w:sz w:val="16"/>
              </w:rPr>
              <w:t>LLM / hybrid clinical NLP</w:t>
            </w:r>
          </w:p>
        </w:tc>
        <w:tc>
          <w:tcPr>
            <w:tcW w:type="dxa" w:w="1656"/>
          </w:tcPr>
          <w:p>
            <w:r/>
            <w:r>
              <w:rPr>
                <w:sz w:val="16"/>
              </w:rPr>
              <w:t>Med-PaLM [15], ADT [26]</w:t>
            </w:r>
          </w:p>
        </w:tc>
        <w:tc>
          <w:tcPr>
            <w:tcW w:type="dxa" w:w="1080"/>
          </w:tcPr>
          <w:p>
            <w:r/>
            <w:r>
              <w:rPr>
                <w:sz w:val="16"/>
              </w:rPr>
              <w:t>Low–Moderate</w:t>
            </w:r>
          </w:p>
        </w:tc>
        <w:tc>
          <w:tcPr>
            <w:tcW w:type="dxa" w:w="1944"/>
          </w:tcPr>
          <w:p>
            <w:r/>
            <w:r>
              <w:rPr>
                <w:sz w:val="16"/>
              </w:rPr>
              <w:t>High</w:t>
            </w:r>
          </w:p>
        </w:tc>
        <w:tc>
          <w:tcPr>
            <w:tcW w:type="dxa" w:w="2160"/>
          </w:tcPr>
          <w:p>
            <w:r/>
            <w:r>
              <w:rPr>
                <w:sz w:val="16"/>
              </w:rPr>
              <w:t>Learned</w:t>
            </w:r>
          </w:p>
        </w:tc>
      </w:tr>
      <w:tr>
        <w:tc>
          <w:tcPr>
            <w:tcW w:type="dxa" w:w="1656"/>
          </w:tcPr>
          <w:p>
            <w:r/>
            <w:r>
              <w:rPr>
                <w:sz w:val="16"/>
              </w:rPr>
              <w:t>Proposed system</w:t>
            </w:r>
          </w:p>
        </w:tc>
        <w:tc>
          <w:tcPr>
            <w:tcW w:type="dxa" w:w="1656"/>
          </w:tcPr>
          <w:p>
            <w:r/>
            <w:r>
              <w:rPr>
                <w:sz w:val="16"/>
              </w:rPr>
              <w:t>This paper</w:t>
            </w:r>
          </w:p>
        </w:tc>
        <w:tc>
          <w:tcPr>
            <w:tcW w:type="dxa" w:w="1080"/>
          </w:tcPr>
          <w:p>
            <w:r/>
            <w:r>
              <w:rPr>
                <w:sz w:val="16"/>
              </w:rPr>
              <w:t>High</w:t>
            </w:r>
          </w:p>
        </w:tc>
        <w:tc>
          <w:tcPr>
            <w:tcW w:type="dxa" w:w="1944"/>
          </w:tcPr>
          <w:p>
            <w:r/>
            <w:r>
              <w:rPr>
                <w:sz w:val="16"/>
              </w:rPr>
              <w:t>Low (quantified, Sec. V)</w:t>
            </w:r>
          </w:p>
        </w:tc>
        <w:tc>
          <w:tcPr>
            <w:tcW w:type="dxa" w:w="2160"/>
          </w:tcPr>
          <w:p>
            <w:r/>
            <w:r>
              <w:rPr>
                <w:sz w:val="16"/>
              </w:rPr>
              <w:t>Expert-authored (gap noted, Sec. IV-C)</w:t>
            </w:r>
          </w:p>
        </w:tc>
      </w:tr>
    </w:tbl>
    <w:p>
      <w:pPr>
        <w:spacing w:after="200"/>
      </w:pPr>
    </w:p>
    <w:p>
      <w:pPr>
        <w:keepNext/>
        <w:spacing w:before="200" w:after="80"/>
      </w:pPr>
      <w:r>
        <w:rPr>
          <w:b/>
          <w:sz w:val="21"/>
        </w:rPr>
        <w:t>III. HIGH-LEVEL DESIGN</w:t>
      </w:r>
    </w:p>
    <w:p>
      <w:pPr>
        <w:spacing w:after="120"/>
        <w:ind w:firstLine="216"/>
      </w:pPr>
      <w:r>
        <w:rPr>
          <w:sz w:val="19"/>
        </w:rPr>
        <w:t>The system has three stages, each independently replaceable. (1) A symptom-extraction stage maps the patient's free-text opening statement to zero or more recognized symptom atoms via keyword matching. (2) A routing stage restricts the candidate disease list to only those diseases the recognized symptom(s) could medically indicate, using a static symptom-to-disease table, and never expands that list for the remainder of the conversation. (3) A confirmation stage asks the patient one yes/no question at a time for the current candidate disease, classifies each answer into one of four categories, and confirms the disease once enough affirmative answers accumulate against a fixed threshold — or moves to the next candidate, or reports no diagnosis if the candidate list is exhausted. A declarative configuration file defines every disease's threshold, question set, and routing membership, so extending the system to a seventh condition requires editing data, not the confirmation logic in stage (3).</w:t>
      </w:r>
    </w:p>
    <w:p>
      <w:pPr>
        <w:spacing w:after="120"/>
        <w:ind w:firstLine="216"/>
      </w:pPr>
      <w:r>
        <w:rPr>
          <w:sz w:val="19"/>
        </w:rPr>
        <w:t>This design deliberately keeps stages (2) and (3) — routing and confirmation — fully symbolic and deterministic, since these are the steps whose output this paper claims is auditable. Stage (1), the free-text extractor, is the acknowledged weak point (Section V) and the one this paper's future-work direction (Section VII) proposes to augment, not replace, with a semantic component.</w:t>
      </w:r>
    </w:p>
    <w:p>
      <w:pPr>
        <w:keepNext/>
        <w:spacing w:before="200" w:after="80"/>
      </w:pPr>
      <w:r>
        <w:rPr>
          <w:b/>
          <w:sz w:val="21"/>
        </w:rPr>
        <w:t>IV. DETAILED DESIGN</w:t>
      </w:r>
    </w:p>
    <w:p>
      <w:pPr>
        <w:keepNext/>
        <w:spacing w:before="120" w:after="60"/>
      </w:pPr>
      <w:r>
        <w:rPr>
          <w:b/>
          <w:i/>
          <w:sz w:val="20"/>
        </w:rPr>
        <w:t>A. Symptom extraction and answer classification</w:t>
      </w:r>
    </w:p>
    <w:p>
      <w:pPr>
        <w:spacing w:after="120"/>
        <w:ind w:firstLine="216"/>
      </w:pPr>
      <w:r>
        <w:rPr>
          <w:sz w:val="19"/>
        </w:rPr>
        <w:t>Symptom extraction scans the lower-cased opening statement for any of roughly 90 keyword phrases spanning 19 symptom atoms and asserts every match as a confirmed fact before any question is asked. This is a substring match with no negation handling and no semantic generalization — its accuracy is measured directly in Section V-B.</w:t>
      </w:r>
    </w:p>
    <w:p>
      <w:pPr>
        <w:spacing w:after="120"/>
        <w:ind w:firstLine="216"/>
      </w:pPr>
      <w:r>
        <w:rPr>
          <w:sz w:val="19"/>
        </w:rPr>
        <w:t>Every subsequent answer to a pending yes/no question is classified into affirmative, negative, uncertain, or unrecognized by an ordered set of pattern rules (uncertainty phrases checked first, so “no test taken yet” is never misread as a negative finding; partial affirmatives such as “sometimes” counted as positive, favoring sensitivity). Unrecognized input holds the pending question open and re-prompts instead of being discarded as a negative or neutral answer — the one point in the pipeline that refuses to guess rather than fail loudly, and it is verified in Section V-D to do exactly that.</w:t>
      </w:r>
    </w:p>
    <w:p>
      <w:pPr>
        <w:keepNext/>
        <w:spacing w:before="120" w:after="60"/>
      </w:pPr>
      <w:r>
        <w:rPr>
          <w:b/>
          <w:i/>
          <w:sz w:val="20"/>
        </w:rPr>
        <w:t>B. Confirmation algorithm</w:t>
      </w:r>
    </w:p>
    <w:p>
      <w:pPr>
        <w:spacing w:before="80" w:after="40"/>
      </w:pPr>
      <w:r>
        <w:rPr>
          <w:b/>
          <w:sz w:val="17"/>
        </w:rPr>
        <w:t>Algorithm 1: Disease Confirmation with Restricted Candidate Routing</w:t>
      </w:r>
    </w:p>
    <w:p>
      <w:pPr>
        <w:spacing w:after="200"/>
        <w:pBdr>
          <w:top w:val="single" w:sz="6" w:space="4" w:color="999999"/>
          <w:left w:val="single" w:sz="6" w:space="4" w:color="999999"/>
          <w:bottom w:val="single" w:sz="6" w:space="4" w:color="999999"/>
          <w:right w:val="single" w:sz="6" w:space="4" w:color="999999"/>
        </w:pBdr>
        <w:shd w:val="clear" w:fill="F2F2F2"/>
      </w:pPr>
      <w:r>
        <w:rPr>
          <w:rFonts w:ascii="Courier New" w:hAnsi="Courier New"/>
          <w:sz w:val="16"/>
        </w:rPr>
        <w:t>Input: opening statement s; candidate-disease table R;</w:t>
      </w:r>
      <w:r>
        <w:br/>
      </w:r>
      <w:r>
        <w:rPr>
          <w:rFonts w:ascii="Courier New" w:hAnsi="Courier New"/>
          <w:sz w:val="16"/>
        </w:rPr>
        <w:t xml:space="preserve">       per-disease (threshold, question-list) table D</w:t>
      </w:r>
      <w:r>
        <w:br/>
      </w:r>
      <w:r>
        <w:rPr>
          <w:rFonts w:ascii="Courier New" w:hAnsi="Courier New"/>
          <w:sz w:val="16"/>
        </w:rPr>
        <w:t>Output: confirmed disease name, or NO_DIAGNOSIS</w:t>
      </w:r>
      <w:r>
        <w:br/>
      </w:r>
      <w:r>
        <w:rPr>
          <w:rFonts w:ascii="Courier New" w:hAnsi="Courier New"/>
          <w:sz w:val="16"/>
        </w:rPr>
      </w:r>
      <w:r>
        <w:br/>
      </w:r>
      <w:r>
        <w:rPr>
          <w:rFonts w:ascii="Courier New" w:hAnsi="Courier New"/>
          <w:sz w:val="16"/>
        </w:rPr>
        <w:t>F &lt;- ExtractSymptomFacts(s)          // keyword match, stage 1</w:t>
      </w:r>
      <w:r>
        <w:br/>
      </w:r>
      <w:r>
        <w:rPr>
          <w:rFonts w:ascii="Courier New" w:hAnsi="Courier New"/>
          <w:sz w:val="16"/>
        </w:rPr>
        <w:t>C &lt;- RouteCandidates(F, R)           // stage 2, fixed for the session</w:t>
      </w:r>
      <w:r>
        <w:br/>
      </w:r>
      <w:r>
        <w:rPr>
          <w:rFonts w:ascii="Courier New" w:hAnsi="Courier New"/>
          <w:sz w:val="16"/>
        </w:rPr>
        <w:t>for each disease d in C:</w:t>
      </w:r>
      <w:r>
        <w:br/>
      </w:r>
      <w:r>
        <w:rPr>
          <w:rFonts w:ascii="Courier New" w:hAnsi="Courier New"/>
          <w:sz w:val="16"/>
        </w:rPr>
        <w:t xml:space="preserve">    count &lt;- 0</w:t>
      </w:r>
      <w:r>
        <w:br/>
      </w:r>
      <w:r>
        <w:rPr>
          <w:rFonts w:ascii="Courier New" w:hAnsi="Courier New"/>
          <w:sz w:val="16"/>
        </w:rPr>
        <w:t xml:space="preserve">    for each (question, fact) in D[d].questions:</w:t>
      </w:r>
      <w:r>
        <w:br/>
      </w:r>
      <w:r>
        <w:rPr>
          <w:rFonts w:ascii="Courier New" w:hAnsi="Courier New"/>
          <w:sz w:val="16"/>
        </w:rPr>
        <w:t xml:space="preserve">        if fact in F: count &lt;- count + 1; continue</w:t>
      </w:r>
      <w:r>
        <w:br/>
      </w:r>
      <w:r>
        <w:rPr>
          <w:rFonts w:ascii="Courier New" w:hAnsi="Courier New"/>
          <w:sz w:val="16"/>
        </w:rPr>
        <w:t xml:space="preserve">        answer &lt;- AskAndClassify(question)</w:t>
      </w:r>
      <w:r>
        <w:br/>
      </w:r>
      <w:r>
        <w:rPr>
          <w:rFonts w:ascii="Courier New" w:hAnsi="Courier New"/>
          <w:sz w:val="16"/>
        </w:rPr>
        <w:t xml:space="preserve">        if answer = unrecognized:</w:t>
      </w:r>
      <w:r>
        <w:br/>
      </w:r>
      <w:r>
        <w:rPr>
          <w:rFonts w:ascii="Courier New" w:hAnsi="Courier New"/>
          <w:sz w:val="16"/>
        </w:rPr>
        <w:t xml:space="preserve">            re-ask same question until classified</w:t>
      </w:r>
      <w:r>
        <w:br/>
      </w:r>
      <w:r>
        <w:rPr>
          <w:rFonts w:ascii="Courier New" w:hAnsi="Courier New"/>
          <w:sz w:val="16"/>
        </w:rPr>
        <w:t xml:space="preserve">        if answer = affirmative:</w:t>
      </w:r>
      <w:r>
        <w:br/>
      </w:r>
      <w:r>
        <w:rPr>
          <w:rFonts w:ascii="Courier New" w:hAnsi="Courier New"/>
          <w:sz w:val="16"/>
        </w:rPr>
        <w:t xml:space="preserve">            F &lt;- F union {fact}; count &lt;- count + 1</w:t>
      </w:r>
      <w:r>
        <w:br/>
      </w:r>
      <w:r>
        <w:rPr>
          <w:rFonts w:ascii="Courier New" w:hAnsi="Courier New"/>
          <w:sz w:val="16"/>
        </w:rPr>
        <w:t xml:space="preserve">        if count &gt;= D[d].threshold:</w:t>
      </w:r>
      <w:r>
        <w:br/>
      </w:r>
      <w:r>
        <w:rPr>
          <w:rFonts w:ascii="Courier New" w:hAnsi="Courier New"/>
          <w:sz w:val="16"/>
        </w:rPr>
        <w:t xml:space="preserve">            return (d, ReasonsFrom(F, d))   // early stop</w:t>
      </w:r>
      <w:r>
        <w:br/>
      </w:r>
      <w:r>
        <w:rPr>
          <w:rFonts w:ascii="Courier New" w:hAnsi="Courier New"/>
          <w:sz w:val="16"/>
        </w:rPr>
        <w:t xml:space="preserve">    // d exhausted below threshold; move to next candidate</w:t>
      </w:r>
      <w:r>
        <w:br/>
      </w:r>
      <w:r>
        <w:rPr>
          <w:rFonts w:ascii="Courier New" w:hAnsi="Courier New"/>
          <w:sz w:val="16"/>
        </w:rPr>
        <w:t>return NO_DIAGNOSIS</w:t>
      </w:r>
    </w:p>
    <w:p>
      <w:pPr>
        <w:spacing w:after="120"/>
        <w:ind w:firstLine="216"/>
      </w:pPr>
      <w:r>
        <w:rPr>
          <w:sz w:val="19"/>
        </w:rPr>
        <w:t>Two properties of Algorithm 1 are load-bearing for the auditability claim in Section I. First, C is computed once, from F, before any yes/no question is asked, and never grows — so no sequence of answers, however long, can route the dialogue to a disease outside the set the opening symptom implied (verified in Section V-C on an ambiguous opening symptom shared by three diseases). Second, the return value on confirmation is not a probability but the literal subset of F that satisfied the threshold, which is what is surfaced to the patient as the diagnosis's stated reasons.</w:t>
      </w:r>
    </w:p>
    <w:p>
      <w:pPr>
        <w:keepNext/>
        <w:spacing w:before="120" w:after="60"/>
      </w:pPr>
      <w:r>
        <w:rPr>
          <w:b/>
          <w:i/>
          <w:sz w:val="20"/>
        </w:rPr>
        <w:t>C. On threshold derivation and validation</w:t>
      </w:r>
    </w:p>
    <w:p>
      <w:pPr>
        <w:spacing w:after="120"/>
        <w:ind w:firstLine="216"/>
      </w:pPr>
      <w:r>
        <w:rPr>
          <w:sz w:val="19"/>
        </w:rPr>
        <w:t>The six per-disease thresholds (three confirmed symptoms for diabetes, two for the remaining five conditions) were set by the authors' clinical judgment about how many of each disease's listed questions constitute a reasonably specific pattern, loosely informed by the number of diagnostic criteria typically cited in the corresponding society guideline [19–24]. They have not been statistically validated against outcome-labeled cases, and this paper does not claim they have been. This is a real gap, not a detail: an unvalidated threshold is an unvalidated clinical claim. The concrete remediation this paper proposes, rather than merely acknowledging the gap, is a two-phase calibration procedure directly modeled on the node-screening method of Bhat et al. [26]: (1) a coverage phase that measures, over a labeled case corpus, the sensitivity and specificity obtained at each candidate threshold value for a disease, and (2) a validation phase that fixes the threshold at the value maximizing F1 (or a clinically weighted variant favoring recall) on a held-out split of that corpus, re-run whenever the question set changes. Section VII treats this as required future work, not as already accomplished.</w:t>
      </w:r>
    </w:p>
    <w:p>
      <w:pPr>
        <w:keepNext/>
        <w:spacing w:before="200" w:after="80"/>
      </w:pPr>
      <w:r>
        <w:rPr>
          <w:b/>
          <w:sz w:val="21"/>
        </w:rPr>
        <w:t>V. EVALUATION</w:t>
      </w:r>
    </w:p>
    <w:p>
      <w:pPr>
        <w:spacing w:after="120"/>
        <w:ind w:firstLine="216"/>
      </w:pPr>
      <w:r>
        <w:rPr>
          <w:sz w:val="19"/>
        </w:rPr>
        <w:t>All results below are measured against the live system (unmodified web application and Prolog engine), not simulated. Each dialogue is scripted end-to-end and scored against a known intended label.</w:t>
      </w:r>
    </w:p>
    <w:p>
      <w:pPr>
        <w:keepNext/>
        <w:spacing w:before="120" w:after="60"/>
      </w:pPr>
      <w:r>
        <w:rPr>
          <w:b/>
          <w:i/>
          <w:sz w:val="20"/>
        </w:rPr>
        <w:t>A. Clear-positive / clear-negative confusion matrix</w:t>
      </w:r>
    </w:p>
    <w:p>
      <w:pPr>
        <w:spacing w:after="120"/>
        <w:ind w:firstLine="216"/>
      </w:pPr>
      <w:r>
        <w:rPr>
          <w:sz w:val="19"/>
        </w:rPr>
        <w:t>Six dialogues open with a canonical, lexicon-matching phrase for each disease and answer affirmatively to every subsequent question; six matched dialogues answer negatively to every question. All six positive dialogues correctly confirmed their target disease and all six negative dialogues correctly reached NO_DIAGNOSIS, confirming Algorithm 1's confirmation logic is correct given well-formed input — the input assumption tested directly in parts B–D below.</w:t>
      </w:r>
    </w:p>
    <w:p>
      <w:pPr>
        <w:keepNext/>
        <w:spacing w:before="120" w:after="60"/>
      </w:pPr>
      <w:r>
        <w:rPr>
          <w:b/>
          <w:i/>
          <w:sz w:val="20"/>
        </w:rPr>
        <w:t>B. Canonical phrasing vs. natural paraphrase</w:t>
      </w:r>
    </w:p>
    <w:p>
      <w:pPr>
        <w:spacing w:after="120"/>
        <w:ind w:firstLine="216"/>
      </w:pPr>
      <w:r>
        <w:rPr>
          <w:sz w:val="19"/>
        </w:rPr>
        <w:t>This is the paper's central quantitative result. Each of the six diseases was opened two ways: once with a phrase built from a SYMPTOM_KEYWORDS entry, and once with a natural paraphrase of the same complaint a real patient might plausibly use, both followed by affirmative answers to every subsequent question. Table II reports the outcome.</w:t>
      </w:r>
    </w:p>
    <w:p>
      <w:pPr>
        <w:spacing w:after="60"/>
      </w:pPr>
      <w:r>
        <w:rPr>
          <w:i/>
          <w:sz w:val="17"/>
        </w:rPr>
        <w:t>Table II. Diagnostic accuracy: canonical phrasing vs. natural paraphrase (n = 6 diseases).</w:t>
      </w:r>
    </w:p>
    <w:tbl>
      <w:tblPr>
        <w:tblStyle w:val="TableGrid"/>
        <w:tblW w:type="auto" w:w="0"/>
        <w:tblLook w:firstColumn="1" w:firstRow="1" w:lastColumn="0" w:lastRow="0" w:noHBand="0" w:noVBand="1" w:val="04A0"/>
      </w:tblPr>
      <w:tblGrid>
        <w:gridCol w:w="3360"/>
        <w:gridCol w:w="3360"/>
        <w:gridCol w:w="3360"/>
      </w:tblGrid>
      <w:tr>
        <w:tc>
          <w:tcPr>
            <w:tcW w:type="dxa" w:w="1440"/>
          </w:tcPr>
          <w:p>
            <w:r/>
            <w:r>
              <w:rPr>
                <w:b/>
                <w:sz w:val="16"/>
              </w:rPr>
              <w:t>Disease</w:t>
            </w:r>
          </w:p>
        </w:tc>
        <w:tc>
          <w:tcPr>
            <w:tcW w:type="dxa" w:w="2736"/>
          </w:tcPr>
          <w:p>
            <w:r/>
            <w:r>
              <w:rPr>
                <w:b/>
                <w:sz w:val="16"/>
              </w:rPr>
              <w:t>Canonical Result</w:t>
            </w:r>
          </w:p>
        </w:tc>
        <w:tc>
          <w:tcPr>
            <w:tcW w:type="dxa" w:w="2736"/>
          </w:tcPr>
          <w:p>
            <w:r/>
            <w:r>
              <w:rPr>
                <w:b/>
                <w:sz w:val="16"/>
              </w:rPr>
              <w:t>Paraphrase Result</w:t>
            </w:r>
          </w:p>
        </w:tc>
      </w:tr>
      <w:tr>
        <w:tc>
          <w:tcPr>
            <w:tcW w:type="dxa" w:w="1440"/>
          </w:tcPr>
          <w:p>
            <w:r/>
            <w:r>
              <w:rPr>
                <w:sz w:val="16"/>
              </w:rPr>
              <w:t>Diabetes</w:t>
            </w:r>
          </w:p>
        </w:tc>
        <w:tc>
          <w:tcPr>
            <w:tcW w:type="dxa" w:w="2736"/>
          </w:tcPr>
          <w:p>
            <w:r/>
            <w:r>
              <w:rPr>
                <w:sz w:val="16"/>
              </w:rPr>
              <w:t>diabetes — correct</w:t>
            </w:r>
          </w:p>
        </w:tc>
        <w:tc>
          <w:tcPr>
            <w:tcW w:type="dxa" w:w="2736"/>
          </w:tcPr>
          <w:p>
            <w:r/>
            <w:r>
              <w:rPr>
                <w:sz w:val="16"/>
              </w:rPr>
              <w:t>diabetes — correct</w:t>
            </w:r>
          </w:p>
        </w:tc>
      </w:tr>
      <w:tr>
        <w:tc>
          <w:tcPr>
            <w:tcW w:type="dxa" w:w="1440"/>
          </w:tcPr>
          <w:p>
            <w:r/>
            <w:r>
              <w:rPr>
                <w:sz w:val="16"/>
              </w:rPr>
              <w:t>Hypertension</w:t>
            </w:r>
          </w:p>
        </w:tc>
        <w:tc>
          <w:tcPr>
            <w:tcW w:type="dxa" w:w="2736"/>
          </w:tcPr>
          <w:p>
            <w:r/>
            <w:r>
              <w:rPr>
                <w:sz w:val="16"/>
              </w:rPr>
              <w:t>hypertension — correct</w:t>
            </w:r>
          </w:p>
        </w:tc>
        <w:tc>
          <w:tcPr>
            <w:tcW w:type="dxa" w:w="2736"/>
          </w:tcPr>
          <w:p>
            <w:r/>
            <w:r>
              <w:rPr>
                <w:sz w:val="16"/>
              </w:rPr>
              <w:t>diabetes — WRONG</w:t>
            </w:r>
          </w:p>
        </w:tc>
      </w:tr>
      <w:tr>
        <w:tc>
          <w:tcPr>
            <w:tcW w:type="dxa" w:w="1440"/>
          </w:tcPr>
          <w:p>
            <w:r/>
            <w:r>
              <w:rPr>
                <w:sz w:val="16"/>
              </w:rPr>
              <w:t>Anemia</w:t>
            </w:r>
          </w:p>
        </w:tc>
        <w:tc>
          <w:tcPr>
            <w:tcW w:type="dxa" w:w="2736"/>
          </w:tcPr>
          <w:p>
            <w:r/>
            <w:r>
              <w:rPr>
                <w:sz w:val="16"/>
              </w:rPr>
              <w:t>anemia — correct</w:t>
            </w:r>
          </w:p>
        </w:tc>
        <w:tc>
          <w:tcPr>
            <w:tcW w:type="dxa" w:w="2736"/>
          </w:tcPr>
          <w:p>
            <w:r/>
            <w:r>
              <w:rPr>
                <w:sz w:val="16"/>
              </w:rPr>
              <w:t>anemia — correct</w:t>
            </w:r>
          </w:p>
        </w:tc>
      </w:tr>
      <w:tr>
        <w:tc>
          <w:tcPr>
            <w:tcW w:type="dxa" w:w="1440"/>
          </w:tcPr>
          <w:p>
            <w:r/>
            <w:r>
              <w:rPr>
                <w:sz w:val="16"/>
              </w:rPr>
              <w:t>UTI</w:t>
            </w:r>
          </w:p>
        </w:tc>
        <w:tc>
          <w:tcPr>
            <w:tcW w:type="dxa" w:w="2736"/>
          </w:tcPr>
          <w:p>
            <w:r/>
            <w:r>
              <w:rPr>
                <w:sz w:val="16"/>
              </w:rPr>
              <w:t>uti — correct</w:t>
            </w:r>
          </w:p>
        </w:tc>
        <w:tc>
          <w:tcPr>
            <w:tcW w:type="dxa" w:w="2736"/>
          </w:tcPr>
          <w:p>
            <w:r/>
            <w:r>
              <w:rPr>
                <w:sz w:val="16"/>
              </w:rPr>
              <w:t>diabetes — WRONG</w:t>
            </w:r>
          </w:p>
        </w:tc>
      </w:tr>
      <w:tr>
        <w:tc>
          <w:tcPr>
            <w:tcW w:type="dxa" w:w="1440"/>
          </w:tcPr>
          <w:p>
            <w:r/>
            <w:r>
              <w:rPr>
                <w:sz w:val="16"/>
              </w:rPr>
              <w:t>Asthma</w:t>
            </w:r>
          </w:p>
        </w:tc>
        <w:tc>
          <w:tcPr>
            <w:tcW w:type="dxa" w:w="2736"/>
          </w:tcPr>
          <w:p>
            <w:r/>
            <w:r>
              <w:rPr>
                <w:sz w:val="16"/>
              </w:rPr>
              <w:t>asthma — correct</w:t>
            </w:r>
          </w:p>
        </w:tc>
        <w:tc>
          <w:tcPr>
            <w:tcW w:type="dxa" w:w="2736"/>
          </w:tcPr>
          <w:p>
            <w:r/>
            <w:r>
              <w:rPr>
                <w:sz w:val="16"/>
              </w:rPr>
              <w:t>asthma — correct</w:t>
            </w:r>
          </w:p>
        </w:tc>
      </w:tr>
      <w:tr>
        <w:tc>
          <w:tcPr>
            <w:tcW w:type="dxa" w:w="1440"/>
          </w:tcPr>
          <w:p>
            <w:r/>
            <w:r>
              <w:rPr>
                <w:sz w:val="16"/>
              </w:rPr>
              <w:t>Tuberculosis</w:t>
            </w:r>
          </w:p>
        </w:tc>
        <w:tc>
          <w:tcPr>
            <w:tcW w:type="dxa" w:w="2736"/>
          </w:tcPr>
          <w:p>
            <w:r/>
            <w:r>
              <w:rPr>
                <w:sz w:val="16"/>
              </w:rPr>
              <w:t>tuberculosis — correct</w:t>
            </w:r>
          </w:p>
        </w:tc>
        <w:tc>
          <w:tcPr>
            <w:tcW w:type="dxa" w:w="2736"/>
          </w:tcPr>
          <w:p>
            <w:r/>
            <w:r>
              <w:rPr>
                <w:sz w:val="16"/>
              </w:rPr>
              <w:t>diabetes — WRONG</w:t>
            </w:r>
          </w:p>
        </w:tc>
      </w:tr>
    </w:tbl>
    <w:p>
      <w:pPr>
        <w:spacing w:after="200"/>
      </w:pPr>
    </w:p>
    <w:p>
      <w:pPr>
        <w:spacing w:after="120"/>
        <w:ind w:firstLine="216"/>
      </w:pPr>
      <w:r>
        <w:rPr>
          <w:sz w:val="19"/>
        </w:rPr>
        <w:t>Canonical-phrasing accuracy is 100% (6/6); natural-paraphrase accuracy is 50% (3/6). Critically, every failure is a silent misdiagnosis, not an abstention: when no keyword matches, the candidate list defaults to the full six-disease catalog in dictionary order, and diabetes — first in that order and reachable by any three affirmative answers — absorbs every unrecognized case. A system that cannot recognize a symptom is, under the current design, strictly worse than a system that says so; it instead produces a confident, reasoned-looking, wrong answer, which is the most dangerous failure mode a screening tool can have and the single most important finding of this evaluation.</w:t>
      </w:r>
    </w:p>
    <w:p>
      <w:pPr>
        <w:keepNext/>
        <w:spacing w:before="120" w:after="60"/>
      </w:pPr>
      <w:r>
        <w:rPr>
          <w:b/>
          <w:i/>
          <w:sz w:val="20"/>
        </w:rPr>
        <w:t>C. Ambiguous / overlapping-symptom disambiguation</w:t>
      </w:r>
    </w:p>
    <w:p>
      <w:pPr>
        <w:spacing w:after="120"/>
        <w:ind w:firstLine="216"/>
      </w:pPr>
      <w:r>
        <w:rPr>
          <w:sz w:val="19"/>
        </w:rPr>
        <w:t>An opening of “I feel constantly tired and fatigued” recognizes only the fatigue atom, which routes to anemia, diabetes, and hypertension jointly (Section symptom_routing). Answering affirmatively to the anemia-specific follow-up questions (pale skin, dizziness) correctly confirmed anemia rather than drifting to diabetes or hypertension, verifying that Algorithm 1's fixed candidate ordering correctly disambiguates within a shared-symptom group when the specific answers given are in fact disease-specific.</w:t>
      </w:r>
    </w:p>
    <w:p>
      <w:pPr>
        <w:keepNext/>
        <w:spacing w:before="120" w:after="60"/>
      </w:pPr>
      <w:r>
        <w:rPr>
          <w:b/>
          <w:i/>
          <w:sz w:val="20"/>
        </w:rPr>
        <w:t>D. Irrelevant-statement and misspelling robustness</w:t>
      </w:r>
    </w:p>
    <w:p>
      <w:pPr>
        <w:spacing w:after="120"/>
        <w:ind w:firstLine="216"/>
      </w:pPr>
      <w:r>
        <w:rPr>
          <w:sz w:val="19"/>
        </w:rPr>
        <w:t>Submitting an off-topic statement (“I really enjoy hiking on weekends”) in place of an answer to a pending question correctly re-issued the same question rather than recording any fact, confirming the unrecognized-input safeguard functions as designed. Separately, 8 misspelled or nonstandard yes/no answers (“yess”, “nope!”, “nah man”, “ya”, etc.) were tested; 7 of 8 (87.5%) were classified correctly by the existing pattern rules, with the single two-letter input “ya” incorrectly triggering a re-prompt — a minor, easily fixed gap compared with the paraphrase failure in B.</w:t>
      </w:r>
    </w:p>
    <w:p>
      <w:pPr>
        <w:keepNext/>
        <w:spacing w:before="120" w:after="60"/>
      </w:pPr>
      <w:r>
        <w:rPr>
          <w:b/>
          <w:i/>
          <w:sz w:val="20"/>
        </w:rPr>
        <w:t>E. Negation-handling probe</w:t>
      </w:r>
    </w:p>
    <w:p>
      <w:pPr>
        <w:spacing w:after="120"/>
        <w:ind w:firstLine="216"/>
      </w:pPr>
      <w:r>
        <w:rPr>
          <w:sz w:val="19"/>
        </w:rPr>
        <w:t>The statement “I do not have a cough, but I have been very thirsty and urinating a lot” was submitted as an opening turn. The extractor correctly recognized polyuria and polydipsia, but also asserted cough as a confirmed fact — despite its explicit negation — because keyword matching has no negation scope, unlike the negation-detection module described for clinical-note preprocessing in [26]. This is a second, independently confirmed instance of the same root cause behind B: the extractor has no model of sentence semantics, only substring presence.</w:t>
      </w:r>
    </w:p>
    <w:p>
      <w:pPr>
        <w:keepNext/>
        <w:spacing w:before="200" w:after="80"/>
      </w:pPr>
      <w:r>
        <w:rPr>
          <w:b/>
          <w:sz w:val="21"/>
        </w:rPr>
        <w:t>VI. LIMITATIONS</w:t>
      </w:r>
    </w:p>
    <w:p>
      <w:pPr>
        <w:spacing w:after="120"/>
        <w:ind w:firstLine="216"/>
      </w:pPr>
      <w:r>
        <w:rPr>
          <w:sz w:val="19"/>
        </w:rPr>
        <w:t>Section V-B is the central limitation: the lexical extractor's 50% paraphrase accuracy, combined with its silent-misdiagnosis-on-failure behavior, means the system as built should not be treated as reliable outside phrasing close to its authored keyword list. The negation blindness in Section V-E compounds this risk rather than being independent of it. The six disease thresholds are expert-authored and not yet empirically validated (Section IV-C). The system covers six conditions with fixed question sets; a seventh condition or a symptom outside the 19-atom lexicon is invisible to it by construction. None of these are presented as solved; Section VII treats each as a specific, scoped piece of future work rather than a general caveat.</w:t>
      </w:r>
    </w:p>
    <w:p>
      <w:pPr>
        <w:keepNext/>
        <w:spacing w:before="200" w:after="80"/>
      </w:pPr>
      <w:r>
        <w:rPr>
          <w:b/>
          <w:sz w:val="21"/>
        </w:rPr>
        <w:t>VII. CONCLUSION AND FUTURE WORK</w:t>
      </w:r>
    </w:p>
    <w:p>
      <w:pPr>
        <w:spacing w:after="120"/>
        <w:ind w:firstLine="216"/>
      </w:pPr>
      <w:r>
        <w:rPr>
          <w:sz w:val="19"/>
        </w:rPr>
        <w:t>This paper presented a fully deterministic, auditable conversational expert system for preliminary disease screening and, more importantly, subjected it to a quantitative evaluation that locates exactly where that determinism breaks down: a keyword-matching front end that is perfectly accurate on phrasing it was authored for and only 50% accurate — with silent misdiagnosis, not abstention, on failure — under natural paraphrasing of the same six complaints. The confirmation and routing logic downstream of extraction (Algorithm 1) performed correctly in every scripted test, including the ambiguous-symptom disambiguation case, isolating the fault to the extraction stage specifically rather than to the reasoning engine generally.</w:t>
      </w:r>
    </w:p>
    <w:p>
      <w:pPr>
        <w:spacing w:after="120"/>
        <w:ind w:firstLine="216"/>
      </w:pPr>
      <w:r>
        <w:rPr>
          <w:sz w:val="19"/>
        </w:rPr>
        <w:t>Two concrete next steps follow directly from Section V's numbers rather than from general aspiration. First, the threshold-validation procedure outlined in Section IV-C should be executed against a labeled case corpus before any threshold is treated as clinically meaningful. Second, the extraction stage — and only the extraction stage — should be augmented with a semantic component in the pattern demonstrated by Bhat et al.'s Augmented Decision Tree [26]: a lightweight screening statistic decides, per symptom category, whether keyword coverage is sufficient or a fine-tuned biomedical language model such as PubMedBERT [18] is needed, leaving Algorithm 1's deterministic confirmation and routing logic — this paper's actual contribution — completely untouched. Making that boundary explicit, rather than blurring it, is what keeps the resulting hybrid system as auditable as the one presented here.</w:t>
      </w:r>
    </w:p>
    <w:p>
      <w:pPr>
        <w:keepNext/>
        <w:spacing w:before="200" w:after="80"/>
      </w:pPr>
      <w:r>
        <w:rPr>
          <w:b/>
          <w:sz w:val="21"/>
        </w:rPr>
        <w:t>REFERENCES</w:t>
      </w:r>
    </w:p>
    <w:p>
      <w:pPr>
        <w:spacing w:after="60"/>
        <w:ind w:left="288"/>
      </w:pPr>
      <w:r>
        <w:rPr>
          <w:sz w:val="17"/>
        </w:rPr>
        <w:t>[1]  E. H. Shortliffe, Computer-Based Medical Consultations: MYCIN, Elsevier/North-Holland, 1976.</w:t>
      </w:r>
    </w:p>
    <w:p>
      <w:pPr>
        <w:spacing w:after="60"/>
        <w:ind w:left="288"/>
      </w:pPr>
      <w:r>
        <w:rPr>
          <w:sz w:val="17"/>
        </w:rPr>
        <w:t>[2]  B. G. Buchanan and E. H. Shortliffe, Eds., Rule-Based Expert Systems: The MYCIN Experiments of the Stanford Heuristic Programming Project, Addison-Wesley, 1984.</w:t>
      </w:r>
    </w:p>
    <w:p>
      <w:pPr>
        <w:spacing w:after="60"/>
        <w:ind w:left="288"/>
      </w:pPr>
      <w:r>
        <w:rPr>
          <w:sz w:val="17"/>
        </w:rPr>
        <w:t>[3]  H. R. Warner, P. Haug, O. Bouhaddou, et al., “ILIAD as an expert consultant to teach differential diagnosis,” Proc. Annu. Symp. Comput. Appl. Med. Care, 1988, pp. 371–376. (CADUCEUS/INTERNIST-I lineage.)</w:t>
      </w:r>
    </w:p>
    <w:p>
      <w:pPr>
        <w:spacing w:after="60"/>
        <w:ind w:left="288"/>
      </w:pPr>
      <w:r>
        <w:rPr>
          <w:sz w:val="17"/>
        </w:rPr>
        <w:t>[4]  G. O. Barnett, J. J. Cimino, J. A. Hupp, and E. P. Hoffer, “DXplain: An evolving diagnostic decision-support system,” JAMA, vol. 258, no. 1, pp. 67–74, 1987.</w:t>
      </w:r>
    </w:p>
    <w:p>
      <w:pPr>
        <w:spacing w:after="60"/>
        <w:ind w:left="288"/>
      </w:pPr>
      <w:r>
        <w:rPr>
          <w:sz w:val="17"/>
        </w:rPr>
        <w:t>[5]  R. A. Miller, “Medical Diagnostic Decision Support Systems—Past, Present, and Future,” Journal of the American Medical Informatics Association, vol. 1, no. 1, pp. 8–27, 1994.</w:t>
      </w:r>
    </w:p>
    <w:p>
      <w:pPr>
        <w:spacing w:after="60"/>
        <w:ind w:left="288"/>
      </w:pPr>
      <w:r>
        <w:rPr>
          <w:sz w:val="17"/>
        </w:rPr>
        <w:t>[6]  H. Semigran, J. Linder, C. Gidengil, and A. Mehrotra, “Evaluation of symptom checkers for self diagnosis and triage: audit study,” BMJ, vol. 351, h3480, 2015.</w:t>
      </w:r>
    </w:p>
    <w:p>
      <w:pPr>
        <w:spacing w:after="60"/>
        <w:ind w:left="288"/>
      </w:pPr>
      <w:r>
        <w:rPr>
          <w:sz w:val="17"/>
        </w:rPr>
        <w:t>[7]  S. Razzaki, A. Baker, Y. Perov, et al., “A comparative study of artificial intelligence and human doctors for the purpose of triage and diagnosis,” arXiv:1806.10698, 2018.</w:t>
      </w:r>
    </w:p>
    <w:p>
      <w:pPr>
        <w:spacing w:after="60"/>
        <w:ind w:left="288"/>
      </w:pPr>
      <w:r>
        <w:rPr>
          <w:sz w:val="17"/>
        </w:rPr>
        <w:t>[8]  A. N. D. Meyer, C. A. Giardina, T. Spitzmueller, et al., “Patient perspectives on the usefulness of an artificial intelligence-assisted symptom checker,” JAMA Internal Medicine, vol. 180, no. 9, pp. 1213–1215, 2020.</w:t>
      </w:r>
    </w:p>
    <w:p>
      <w:pPr>
        <w:spacing w:after="60"/>
        <w:ind w:left="288"/>
      </w:pPr>
      <w:r>
        <w:rPr>
          <w:sz w:val="17"/>
        </w:rPr>
        <w:t>[9]  S. Muggleton, “Inductive Logic Programming,” New Generation Computing, vol. 8, no. 4, pp. 295–318, 1991.</w:t>
      </w:r>
    </w:p>
    <w:p>
      <w:pPr>
        <w:spacing w:after="60"/>
        <w:ind w:left="288"/>
      </w:pPr>
      <w:r>
        <w:rPr>
          <w:sz w:val="17"/>
        </w:rPr>
        <w:t>[10]  A. Srinivasan, “The Aleph Manual,” University of Oxford, 2007.</w:t>
      </w:r>
    </w:p>
    <w:p>
      <w:pPr>
        <w:spacing w:after="60"/>
        <w:ind w:left="288"/>
      </w:pPr>
      <w:r>
        <w:rPr>
          <w:sz w:val="17"/>
        </w:rPr>
        <w:t>[11]  Z. C. Lipton, “The Mythos of Model Interpretability,” Communications of the ACM, vol. 61, no. 10, pp. 36–43, 2018 (arXiv:1606.03490, 2016).</w:t>
      </w:r>
    </w:p>
    <w:p>
      <w:pPr>
        <w:spacing w:after="60"/>
        <w:ind w:left="288"/>
      </w:pPr>
      <w:r>
        <w:rPr>
          <w:sz w:val="17"/>
        </w:rPr>
        <w:t>[12]  F. Doshi-Velez and B. Kim, “Towards a Rigorous Science of Interpretable Machine Learning,” arXiv:1702.08608, 2017.</w:t>
      </w:r>
    </w:p>
    <w:p>
      <w:pPr>
        <w:spacing w:after="60"/>
        <w:ind w:left="288"/>
      </w:pPr>
      <w:r>
        <w:rPr>
          <w:sz w:val="17"/>
        </w:rPr>
        <w:t>[13]  M. T. Ribeiro, S. Singh, and C. Guestrin, “‘Why Should I Trust You?’: Explaining the Predictions of Any Classifier,” Proc. ACM SIGKDD, 2016, pp. 1135–1144.</w:t>
      </w:r>
    </w:p>
    <w:p>
      <w:pPr>
        <w:spacing w:after="60"/>
        <w:ind w:left="288"/>
      </w:pPr>
      <w:r>
        <w:rPr>
          <w:sz w:val="17"/>
        </w:rPr>
        <w:t>[14]  C. Rudin, “Stop Explaining Black Box Machine Learning Models for High Stakes Decisions and Use Interpretable Models Instead,” Nature Machine Intelligence, vol. 1, pp. 206–215, 2019.</w:t>
      </w:r>
    </w:p>
    <w:p>
      <w:pPr>
        <w:spacing w:after="60"/>
        <w:ind w:left="288"/>
      </w:pPr>
      <w:r>
        <w:rPr>
          <w:sz w:val="17"/>
        </w:rPr>
        <w:t>[15]  K. Singhal, S. Azizi, T. Tu, et al., “Large language models encode clinical knowledge,” Nature, vol. 620, pp. 172–180, 2023.</w:t>
      </w:r>
    </w:p>
    <w:p>
      <w:pPr>
        <w:spacing w:after="60"/>
        <w:ind w:left="288"/>
      </w:pPr>
      <w:r>
        <w:rPr>
          <w:sz w:val="17"/>
        </w:rPr>
        <w:t>[16]  H. Nori, N. King, S. M. McKinney, et al., “Capabilities of GPT-4 on medical challenge problems,” arXiv:2303.13375, 2023.</w:t>
      </w:r>
    </w:p>
    <w:p>
      <w:pPr>
        <w:spacing w:after="60"/>
        <w:ind w:left="288"/>
      </w:pPr>
      <w:r>
        <w:rPr>
          <w:sz w:val="17"/>
        </w:rPr>
        <w:t>[17]  A. J. Thirunavukarasu, D. S. J. Ting, K. Elangovan, et al., “Large language models in medicine,” Nature Medicine, vol. 29, pp. 1930–1940, 2023.</w:t>
      </w:r>
    </w:p>
    <w:p>
      <w:pPr>
        <w:spacing w:after="60"/>
        <w:ind w:left="288"/>
      </w:pPr>
      <w:r>
        <w:rPr>
          <w:sz w:val="17"/>
        </w:rPr>
        <w:t>[18]  Y. Gu, R. Tinn, H. Cheng, et al., “Domain-specific language model pretraining for biomedical natural language processing,” ACM Transactions on Computing for Healthcare, vol. 3, no. 1, pp. 1–23, 2022. (PubMedBERT.)</w:t>
      </w:r>
    </w:p>
    <w:p>
      <w:pPr>
        <w:spacing w:after="60"/>
        <w:ind w:left="288"/>
      </w:pPr>
      <w:r>
        <w:rPr>
          <w:sz w:val="17"/>
        </w:rPr>
        <w:t>[19]  American Diabetes Association, “Standards of Care in Diabetes—2024,” Diabetes Care, vol. 47, Suppl. 1, 2024.</w:t>
      </w:r>
    </w:p>
    <w:p>
      <w:pPr>
        <w:spacing w:after="60"/>
        <w:ind w:left="288"/>
      </w:pPr>
      <w:r>
        <w:rPr>
          <w:sz w:val="17"/>
        </w:rPr>
        <w:t>[20]  P. K. Whelton et al., “2025 AHA/ACC/Multisociety Guideline for the Prevention, Detection, Evaluation, and Management of High Blood Pressure in Adults,” Hypertension, 2025.</w:t>
      </w:r>
    </w:p>
    <w:p>
      <w:pPr>
        <w:spacing w:after="60"/>
        <w:ind w:left="288"/>
      </w:pPr>
      <w:r>
        <w:rPr>
          <w:sz w:val="17"/>
        </w:rPr>
        <w:t>[21]  World Health Organization, “Haemoglobin Concentrations for the Diagnosis of Anaemia and Assessment of Severity,” WHO/NMH/NHD/MNM/11.1, 2011.</w:t>
      </w:r>
    </w:p>
    <w:p>
      <w:pPr>
        <w:spacing w:after="60"/>
        <w:ind w:left="288"/>
      </w:pPr>
      <w:r>
        <w:rPr>
          <w:sz w:val="17"/>
        </w:rPr>
        <w:t>[22]  Infectious Diseases Society of America / European Society for Clinical Microbiology and Infectious Diseases, “Clinical Practice Guideline for the Management of Uncomplicated Urinary Tract Infection,” Clinical Infectious Diseases, vol. 52, no. 5, 2011.</w:t>
      </w:r>
    </w:p>
    <w:p>
      <w:pPr>
        <w:spacing w:after="60"/>
        <w:ind w:left="288"/>
      </w:pPr>
      <w:r>
        <w:rPr>
          <w:sz w:val="17"/>
        </w:rPr>
        <w:t>[23]  Global Initiative for Asthma, “Global Strategy for Asthma Management and Prevention,” GINA Report, 2024.</w:t>
      </w:r>
    </w:p>
    <w:p>
      <w:pPr>
        <w:spacing w:after="60"/>
        <w:ind w:left="288"/>
      </w:pPr>
      <w:r>
        <w:rPr>
          <w:sz w:val="17"/>
        </w:rPr>
        <w:t>[24]  World Health Organization, Global Tuberculosis Report 2023, WHO, Geneva, 2023.</w:t>
      </w:r>
    </w:p>
    <w:p>
      <w:pPr>
        <w:spacing w:after="60"/>
        <w:ind w:left="288"/>
      </w:pPr>
      <w:r>
        <w:rPr>
          <w:sz w:val="17"/>
        </w:rPr>
        <w:t>[25]  SWI-Prolog Reference Manual, SWI-Prolog Foundation, 2024.</w:t>
      </w:r>
    </w:p>
    <w:p>
      <w:pPr>
        <w:spacing w:after="60"/>
        <w:ind w:left="288"/>
      </w:pPr>
      <w:r>
        <w:rPr>
          <w:sz w:val="17"/>
        </w:rPr>
        <w:t>[26]  S. Bhat, V. S. Bandi, H. Xu, and J. Carberry, “Integrating Deep Learning Nodes into an Augmented Decision Tree for Automated Medical Coding,” Analytics, vol. 5, no. 1, article 11, 2026.</w:t>
      </w:r>
    </w:p>
    <w:p>
      <w:pPr>
        <w:spacing w:after="60"/>
        <w:ind w:left="288"/>
      </w:pPr>
      <w:r>
        <w:rPr>
          <w:sz w:val="17"/>
        </w:rPr>
        <w:t>[27]  Flask Documentation, Pallets Projects, 2024.</w:t>
      </w:r>
    </w:p>
    <w:sectPr w:rsidR="00FC693F" w:rsidRPr="0006063C" w:rsidSect="00034616">
      <w:type w:val="continuous"/>
      <w:pgSz w:w="12240" w:h="15840"/>
      <w:pgMar w:top="1080" w:right="1080" w:bottom="1080" w:left="1080" w:header="720" w:footer="720" w:gutter="0"/>
      <w:cols w:space="432"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jc w:val="both"/>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